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ESTATUTO SOCIAL DA [NOME COMPLETO DA ORGANIZAÇÃO]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DENOMINAÇÃO, NATUREZA, SEDE E DURAÇÃO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(NOME DA ORGANIZAÇÃO)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é uma organização da sociedade civil, nos termos do art. 2º, inciso I, da Lei nº 13.019/2014, pessoa jurídica de direito privado,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sem fins lucrativos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com prazo de duração indeterminado, regida pelo presente Estatuto e pela legislação vigente.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tem sede e foro no município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[cidade/UF]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à Rua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(completar)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podendo atuar em outros municípios ou estados, mediante deliberação da Diretoria Executiva.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DAS FINALIDADES E OBJETIVOS INSTITUCIONAIS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3º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tem por finalidades de relevância pública e social, desenvolver ações de interesse público e social, voltadas à promoção de direitos, fortalecimento comunitário e melhoria da qualidade de vida da população,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sem qualquer forma de discriminação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4º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Para o cumprimento de suas finalidades,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poderá: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Desenvolver programas, projetos e serviços;</w:t>
        <w:br w:type="textWrapping"/>
        <w:t xml:space="preserve">II – Firmar parcerias com a Administração Pública e com a iniciativa privada;</w:t>
        <w:br w:type="textWrapping"/>
        <w:t xml:space="preserve">III – Executar termos de colaboração, termos de fomento e acordos de cooperação;</w:t>
        <w:br w:type="textWrapping"/>
        <w:t xml:space="preserve">IV – Atuar de forma complementar às políticas públicas;</w:t>
        <w:br w:type="textWrapping"/>
        <w:t xml:space="preserve">V – Mobilizar recursos para a sustentabilidade institucional.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III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NÃO DISTRIBUIÇÃO DE RESULTADOS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5º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não distribui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entre seus associados, dirigentes, conselheiros, empregados ou doadores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eventuais resultados, sobras, excedentes operacionais, brutos ou líquidos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devendo aplicá-los integralmente na consecução de seus objetivos institucionais.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IV</w:t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APLICAÇÃO DOS RECURSOS</w:t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6º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aplicará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integralmente suas rendas, recursos e eventual superávit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na manutenção e no desenvolvimento de seus objetivos institucionais, no território nacional.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</w:t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DOS ASSOCIADOS</w:t>
      </w:r>
    </w:p>
    <w:p w:rsidR="00000000" w:rsidDel="00000000" w:rsidP="00000000" w:rsidRDefault="00000000" w:rsidRPr="00000000" w14:paraId="00000020">
      <w:pPr>
        <w:spacing w:after="160" w:line="259" w:lineRule="auto"/>
        <w:jc w:val="left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7º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é composta por número ilimitado de associados, pessoas físicas maiores de 18 anos, que concordem com os objetivos institucionais.</w:t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8º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São direitos e deveres dos associados aqueles previstos no Estatuto Social e nas deliberações da Assembleia Geral.</w:t>
      </w:r>
    </w:p>
    <w:p w:rsidR="00000000" w:rsidDel="00000000" w:rsidP="00000000" w:rsidRDefault="00000000" w:rsidRPr="00000000" w14:paraId="0000002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</w:t>
      </w:r>
    </w:p>
    <w:p w:rsidR="00000000" w:rsidDel="00000000" w:rsidP="00000000" w:rsidRDefault="00000000" w:rsidRPr="00000000" w14:paraId="0000002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ASSEMBLEIA GERAL</w:t>
      </w:r>
    </w:p>
    <w:p w:rsidR="00000000" w:rsidDel="00000000" w:rsidP="00000000" w:rsidRDefault="00000000" w:rsidRPr="00000000" w14:paraId="0000002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9º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Assembleia Geral é o órgão soberano da Associação, competindo-lhe: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Eleger e destituir a Diretoria Executiva e o Conselho Fiscal;</w:t>
        <w:br w:type="textWrapping"/>
        <w:t xml:space="preserve">II – Aprovar planos de trabalho, relatórios e contas;</w:t>
        <w:br w:type="textWrapping"/>
        <w:t xml:space="preserve">III – Alterar o Estatuto Social;</w:t>
        <w:br w:type="textWrapping"/>
        <w:t xml:space="preserve">IV – Deliberar sobre a dissolução da Associação.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</w:t>
      </w:r>
    </w:p>
    <w:p w:rsidR="00000000" w:rsidDel="00000000" w:rsidP="00000000" w:rsidRDefault="00000000" w:rsidRPr="00000000" w14:paraId="0000002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DIRETORIA EXECUTIVA</w:t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10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será administrada por uma Diretoria Executiva composta por: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Presidente;</w:t>
        <w:br w:type="textWrapping"/>
        <w:t xml:space="preserve">II –Diretor(a) Financeiro(a);</w:t>
        <w:br w:type="textWrapping"/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11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à Diretoria Executiva: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Administrar a Associação;</w:t>
        <w:br w:type="textWrapping"/>
        <w:t xml:space="preserve">II – Executar as decisões da Assembleia Geral;</w:t>
        <w:br w:type="textWrapping"/>
        <w:t xml:space="preserve">III – Garantir a correta execução das parcerias firmadas;</w:t>
        <w:br w:type="textWrapping"/>
        <w:t xml:space="preserve">IV – Responder pela boa e regular aplicação dos recursos;</w:t>
        <w:br w:type="textWrapping"/>
        <w:t xml:space="preserve">V – Assegurar a transparência e a prestação de contas.</w:t>
      </w:r>
    </w:p>
    <w:p w:rsidR="00000000" w:rsidDel="00000000" w:rsidP="00000000" w:rsidRDefault="00000000" w:rsidRPr="00000000" w14:paraId="0000003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12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mandato da Diretoria Executiva será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5 anos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permitida a reeleição.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VIII</w:t>
      </w:r>
    </w:p>
    <w:p w:rsidR="00000000" w:rsidDel="00000000" w:rsidP="00000000" w:rsidRDefault="00000000" w:rsidRPr="00000000" w14:paraId="0000003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REMUNERAÇÃO DE DIRIGENTES (CONFORME MROSC)</w:t>
      </w:r>
    </w:p>
    <w:p w:rsidR="00000000" w:rsidDel="00000000" w:rsidP="00000000" w:rsidRDefault="00000000" w:rsidRPr="00000000" w14:paraId="0000003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13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membros da Diretoria Executiva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não serão remunerados pelo exercício do mandato estatutário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sendo admitida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remuneração por atividades técnicas, administrativas ou operacionais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distintas da função de dirigente, desde que: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Haja necessidade institucional comprovada;</w:t>
        <w:br w:type="textWrapping"/>
        <w:t xml:space="preserve">II – A função seja formalmente definida;</w:t>
        <w:br w:type="textWrapping"/>
        <w:t xml:space="preserve">III – Exista vínculo jurídico regular;</w:t>
        <w:br w:type="textWrapping"/>
        <w:t xml:space="preserve">IV – A remuneração seja compatível com os valores de mercado;</w:t>
        <w:br w:type="textWrapping"/>
        <w:t xml:space="preserve">V – Haja aprovação expressa da Assembleia Geral;</w:t>
        <w:br w:type="textWrapping"/>
        <w:t xml:space="preserve">VI – Seja observada a segregação de funções;</w:t>
        <w:br w:type="textWrapping"/>
        <w:t xml:space="preserve">VII – Seja garantida transparência e prestação de contas.</w:t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É vedada a remuneração exclusiva pelo exercício do cargo eletivo.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IX</w:t>
      </w:r>
    </w:p>
    <w:p w:rsidR="00000000" w:rsidDel="00000000" w:rsidP="00000000" w:rsidRDefault="00000000" w:rsidRPr="00000000" w14:paraId="0000004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CONSELHO FISCAL</w:t>
      </w:r>
    </w:p>
    <w:p w:rsidR="00000000" w:rsidDel="00000000" w:rsidP="00000000" w:rsidRDefault="00000000" w:rsidRPr="00000000" w14:paraId="0000004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14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Conselho Fiscal será composto por 3 (três) membros eleitos pela Assembleia Geral, com mandato coincidente com Diretoria Executiva, por 5 anos.</w:t>
      </w:r>
    </w:p>
    <w:p w:rsidR="00000000" w:rsidDel="00000000" w:rsidP="00000000" w:rsidRDefault="00000000" w:rsidRPr="00000000" w14:paraId="0000004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15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ao Conselho Fiscal examinar livros, documentos e contas, emitindo parecer anual.</w:t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</w:t>
      </w:r>
    </w:p>
    <w:p w:rsidR="00000000" w:rsidDel="00000000" w:rsidP="00000000" w:rsidRDefault="00000000" w:rsidRPr="00000000" w14:paraId="0000004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TRANSPARÊNCIA E PRESTAÇÃO DE CONTAS</w:t>
      </w:r>
    </w:p>
    <w:p w:rsidR="00000000" w:rsidDel="00000000" w:rsidP="00000000" w:rsidRDefault="00000000" w:rsidRPr="00000000" w14:paraId="0000004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16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observará os princípios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legalidade, impessoalidade, moralidade, publicidade, economicidade e eficiência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mantendo: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Escrituração contábil regular, seguindo as orientações do ITG 2002;</w:t>
        <w:br w:type="textWrapping"/>
        <w:t xml:space="preserve">II – Relatórios de atividades;</w:t>
        <w:br w:type="textWrapping"/>
        <w:t xml:space="preserve">III – Prestação de contas das parcerias firmadas;</w:t>
        <w:br w:type="textWrapping"/>
        <w:t xml:space="preserve">IV – Documentação disponível aos órgãos de controle.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XI</w:t>
      </w:r>
    </w:p>
    <w:p w:rsidR="00000000" w:rsidDel="00000000" w:rsidP="00000000" w:rsidRDefault="00000000" w:rsidRPr="00000000" w14:paraId="0000004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DISSOLUÇÃO</w:t>
      </w:r>
    </w:p>
    <w:p w:rsidR="00000000" w:rsidDel="00000000" w:rsidP="00000000" w:rsidRDefault="00000000" w:rsidRPr="00000000" w14:paraId="0000005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17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Em caso de dissolução da Associação, o patrimônio remanescente será destinado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outra organização da sociedade civil congênere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regida pela Lei 13.019/2014 e suas regulamentações, sem fins lucrativos, regularmente constituída, vedada qualquer destinação a pessoas físicas ou jurídicas com fins lucrativos.</w:t>
      </w:r>
    </w:p>
    <w:p w:rsidR="00000000" w:rsidDel="00000000" w:rsidP="00000000" w:rsidRDefault="00000000" w:rsidRPr="00000000" w14:paraId="0000005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XII</w:t>
      </w:r>
    </w:p>
    <w:p w:rsidR="00000000" w:rsidDel="00000000" w:rsidP="00000000" w:rsidRDefault="00000000" w:rsidRPr="00000000" w14:paraId="0000005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DAS DISPOSIÇÕES GERAIS</w:t>
      </w:r>
    </w:p>
    <w:p w:rsidR="00000000" w:rsidDel="00000000" w:rsidP="00000000" w:rsidRDefault="00000000" w:rsidRPr="00000000" w14:paraId="0000005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18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casos omissos serão resolvidos pela Assembleia Geral, observada a legislação aplicável.</w:t>
      </w:r>
    </w:p>
    <w:p w:rsidR="00000000" w:rsidDel="00000000" w:rsidP="00000000" w:rsidRDefault="00000000" w:rsidRPr="00000000" w14:paraId="0000005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Assinaturas: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Presidente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Secretário(a)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65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