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REGIMENTO INTERNO DA [NOME COMPLETO DA ORGANIZAÇÃO]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Verdana" w:cs="Verdana" w:eastAsia="Verdana" w:hAnsi="Verdan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FINALIDADE E DO ALCANCE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presente Regimento Interno tem por finalidade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disciplinar a organização administrativa, a governança e os procedimentos internos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 DA ORGANIZAÇÃO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em conformidade com o Estatuto Social e com a Lei nº 13.019/2014 (MROSC).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2º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Este Regimento aplica-se a dirigentes, conselheiros, associados, empregados, prestadores de serviço, voluntários e demais pessoas que atuem em nome da Associação.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DOS PRINCÍPIOS DE ATUAÇÃO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3º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observará, em todas as suas atividades e parcerias, os princípios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legalidade, impessoalidade, moralidade, publicidade, economicidade, eficiência, transparência e controle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4º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vedada a prática de atos que configurem desvio de finalidade, favorecimento pessoal, conflito de interesses ou uso indevido de recursos públicos ou privados.</w:t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III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ASSEMBLEIA GERAL</w:t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5º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Assembleia Geral será convocada e instalada conforme previsto no Estatuto Social.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6º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Assembleia Geral, além das atribuições estatutárias: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Aprovar planos de trabalho vinculados a parcerias públicas;</w:t>
        <w:br w:type="textWrapping"/>
        <w:t xml:space="preserve">II – Deliberar sobre a remuneração de dirigentes, quando permitida;</w:t>
        <w:br w:type="textWrapping"/>
        <w:t xml:space="preserve">III – Aprovar relatórios de atividades e prestações de contas;</w:t>
        <w:br w:type="textWrapping"/>
        <w:t xml:space="preserve">IV – Deliberar sobre medidas corretivas apontadas por órgãos de controle.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IV</w:t>
      </w:r>
    </w:p>
    <w:p w:rsidR="00000000" w:rsidDel="00000000" w:rsidP="00000000" w:rsidRDefault="00000000" w:rsidRPr="00000000" w14:paraId="0000001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DIRETORIA EXECUTIVA</w:t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7º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Diretoria Executiva é responsável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gestão administrativa, financeira, operacional e institucional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 Associação.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8º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à Diretoria Executiva: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Executar as decisões da Assembleia Geral;</w:t>
        <w:br w:type="textWrapping"/>
        <w:t xml:space="preserve">II – Gerir e acompanhar a execução das parcerias firmadas;</w:t>
        <w:br w:type="textWrapping"/>
        <w:t xml:space="preserve">III – Garantir a correta aplicação dos recursos;</w:t>
        <w:br w:type="textWrapping"/>
        <w:t xml:space="preserve">IV – Manter a organização documental e contábil;</w:t>
        <w:br w:type="textWrapping"/>
        <w:t xml:space="preserve">V – Assegurar a transparência das informações;</w:t>
        <w:br w:type="textWrapping"/>
        <w:t xml:space="preserve">VI – Responder perante os órgãos de controle e fiscalização.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</w:t>
      </w:r>
    </w:p>
    <w:p w:rsidR="00000000" w:rsidDel="00000000" w:rsidP="00000000" w:rsidRDefault="00000000" w:rsidRPr="00000000" w14:paraId="0000002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SEGREGAÇÃO DE FUNÇÕES</w:t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9º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Será observada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segregação de funções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especialmente nos processos de: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Aprovação de despesas;</w:t>
        <w:br w:type="textWrapping"/>
        <w:t xml:space="preserve">II – Execução financeira;</w:t>
        <w:br w:type="textWrapping"/>
        <w:t xml:space="preserve">III – Prestação de contas;</w:t>
        <w:br w:type="textWrapping"/>
        <w:t xml:space="preserve">IV – Fiscalização e controle.</w:t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Parágrafo único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É vedada a autoaprovação de atos por dirigentes eventualmente remunerados.</w:t>
      </w:r>
    </w:p>
    <w:p w:rsidR="00000000" w:rsidDel="00000000" w:rsidP="00000000" w:rsidRDefault="00000000" w:rsidRPr="00000000" w14:paraId="0000002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</w:t>
      </w:r>
    </w:p>
    <w:p w:rsidR="00000000" w:rsidDel="00000000" w:rsidP="00000000" w:rsidRDefault="00000000" w:rsidRPr="00000000" w14:paraId="0000002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GESTÃO FINANCEIRA E CONTÁBIL</w:t>
      </w:r>
    </w:p>
    <w:p w:rsidR="00000000" w:rsidDel="00000000" w:rsidP="00000000" w:rsidRDefault="00000000" w:rsidRPr="00000000" w14:paraId="0000002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10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movimentação financeira da Associação será realizada exclusivamente por meio de conta bancária em seu nome.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manterá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escrituração contábil regular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observando as normas aplicáveis às organizações da sociedade civil.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12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As despesas deverão estar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diretamente vinculadas às finalidades institucionais e aos planos de trabalho aprovados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</w:t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TRANSPARÊNCIA E PRESTAÇÃO DE CONTAS</w:t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13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A Associação adotará mecanismos de transparência, garantindo: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Elaboração de relatórios de atividades;</w:t>
        <w:br w:type="textWrapping"/>
        <w:t xml:space="preserve">II – Prestação de contas das parcerias públicas;</w:t>
        <w:br w:type="textWrapping"/>
        <w:t xml:space="preserve">III – Disponibilização de informações aos órgãos competentes;</w:t>
        <w:br w:type="textWrapping"/>
        <w:t xml:space="preserve">IV – Organização e guarda de documentos comprobatórios.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VIII</w:t>
      </w:r>
    </w:p>
    <w:p w:rsidR="00000000" w:rsidDel="00000000" w:rsidP="00000000" w:rsidRDefault="00000000" w:rsidRPr="00000000" w14:paraId="0000003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CONSELHO FISCAL</w:t>
      </w:r>
    </w:p>
    <w:p w:rsidR="00000000" w:rsidDel="00000000" w:rsidP="00000000" w:rsidRDefault="00000000" w:rsidRPr="00000000" w14:paraId="0000003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14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Conselho Fiscal atuará de forma independente, acompanhando a gestão financeira e contábil da Associação.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Compete ao Conselho Fiscal: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Examinar livros e documentos;</w:t>
        <w:br w:type="textWrapping"/>
        <w:t xml:space="preserve">II – Emitir parecer sobre as contas anuais e parcerias;</w:t>
        <w:br w:type="textWrapping"/>
        <w:t xml:space="preserve">III – Recomendar providências corretivas, quando necessário.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IX</w:t>
      </w:r>
    </w:p>
    <w:p w:rsidR="00000000" w:rsidDel="00000000" w:rsidP="00000000" w:rsidRDefault="00000000" w:rsidRPr="00000000" w14:paraId="0000003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INTEGRIDADE E CONDUTA</w:t>
      </w:r>
    </w:p>
    <w:p w:rsidR="00000000" w:rsidDel="00000000" w:rsidP="00000000" w:rsidRDefault="00000000" w:rsidRPr="00000000" w14:paraId="0000003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16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Todos os que atuam em nome da Associação deverão observar conduta ética, transparente e responsável.</w:t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17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Situações de irregularidade deverão ser comunicadas à Diretoria Executiva e, quando cabível, à Assembleia Geral.</w:t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CAPÍTULO X</w:t>
      </w:r>
    </w:p>
    <w:p w:rsidR="00000000" w:rsidDel="00000000" w:rsidP="00000000" w:rsidRDefault="00000000" w:rsidRPr="00000000" w14:paraId="0000004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DAS DISPOSIÇÕES FINAIS</w:t>
      </w:r>
    </w:p>
    <w:p w:rsidR="00000000" w:rsidDel="00000000" w:rsidP="00000000" w:rsidRDefault="00000000" w:rsidRPr="00000000" w14:paraId="0000004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18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 presente Regimento Interno entra em vigor na data de sua aprovação pela Assembleia Geral.</w:t>
      </w:r>
    </w:p>
    <w:p w:rsidR="00000000" w:rsidDel="00000000" w:rsidP="00000000" w:rsidRDefault="00000000" w:rsidRPr="00000000" w14:paraId="0000004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Art. 19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– Os casos omissos serão resolvidos pela Diretoria Executiva, respeitado o Estatuto Social, a legislação vigente e os princípios do MROSC.</w:t>
      </w:r>
    </w:p>
    <w:p w:rsidR="00000000" w:rsidDel="00000000" w:rsidP="00000000" w:rsidRDefault="00000000" w:rsidRPr="00000000" w14:paraId="00000049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 _______________________________</w:t>
      </w:r>
    </w:p>
    <w:p w:rsidR="00000000" w:rsidDel="00000000" w:rsidP="00000000" w:rsidRDefault="00000000" w:rsidRPr="00000000" w14:paraId="0000004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Assinaturas:</w:t>
      </w:r>
    </w:p>
    <w:p w:rsidR="00000000" w:rsidDel="00000000" w:rsidP="00000000" w:rsidRDefault="00000000" w:rsidRPr="00000000" w14:paraId="0000004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04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Secretário(a)</w:t>
      </w:r>
    </w:p>
    <w:p w:rsidR="00000000" w:rsidDel="00000000" w:rsidP="00000000" w:rsidRDefault="00000000" w:rsidRPr="00000000" w14:paraId="0000005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54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