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32"/>
          <w:szCs w:val="32"/>
          <w:rtl w:val="0"/>
        </w:rPr>
        <w:t xml:space="preserve">GUIAS PRÁTICOS 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Esses guias explicam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 “por quê”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só o “como”.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GUIA 1 – COMO ESCOLHER O ESTATUTO CERTO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Está começando?</w:t>
        <w:br w:type="textWrapping"/>
        <w:t xml:space="preserve">Estatuto Modelo Base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Quer acessar recursos públicos?</w:t>
        <w:br w:type="textWrapping"/>
        <w:t xml:space="preserve">Estatuto MROSC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Atua na assistência social?</w:t>
        <w:br w:type="textWrapping"/>
        <w:t xml:space="preserve">Estatuto CEBAS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Quer parcerias públicas + CEBAS?</w:t>
        <w:br w:type="textWrapping"/>
        <w:t xml:space="preserve">Estatuto Integrado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Precisa profissionalizar a gestão?</w:t>
        <w:br w:type="textWrapping"/>
        <w:t xml:space="preserve">Estatuto com Remuneração Permitida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Regra do app: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Não comece pelo mais complexo. Comece pelo necessário.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GUIA 2 – COMO MIGRAR DE UM ESTATUTO PARA OUTRO</w:t>
      </w:r>
    </w:p>
    <w:p w:rsidR="00000000" w:rsidDel="00000000" w:rsidP="00000000" w:rsidRDefault="00000000" w:rsidRPr="00000000" w14:paraId="00000010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Avalie o estágio atual da OSC</w:t>
        <w:br w:type="textWrapping"/>
        <w:t xml:space="preserve">Escolha o novo modelo de estatuto</w:t>
        <w:br w:type="textWrapping"/>
        <w:t xml:space="preserve">Convocar Assembleia Geral</w:t>
        <w:br w:type="textWrapping"/>
        <w:t xml:space="preserve">Aprovar novo Estatuto</w:t>
        <w:br w:type="textWrapping"/>
        <w:t xml:space="preserve">Registrar alteração em cartório</w:t>
        <w:br w:type="textWrapping"/>
        <w:t xml:space="preserve">Atualizar documentos internos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app tem isto em 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linha do tempo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GUIA 3 – CEBAS SEM MEDO</w:t>
      </w:r>
    </w:p>
    <w:p w:rsidR="00000000" w:rsidDel="00000000" w:rsidP="00000000" w:rsidRDefault="00000000" w:rsidRPr="00000000" w14:paraId="00000017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CEBAS não é só certificado</w:t>
        <w:br w:type="textWrapping"/>
        <w:t xml:space="preserve">É rotina, organização e comprovação</w:t>
        <w:br w:type="textWrapping"/>
        <w:t xml:space="preserve">Renúncia fiscal ≠ dinheiro livre</w:t>
        <w:br w:type="textWrapping"/>
        <w:t xml:space="preserve">Tudo deve estar ligado à atividade-fim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Conta Comigo mostra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 que organizar antes de pedir o CEBAS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6"/>
          <w:szCs w:val="26"/>
          <w:rtl w:val="0"/>
        </w:rPr>
        <w:t xml:space="preserve">GUIA 4 – REMUNERAÇÃO DE DIRIGENTES SEM RISCO</w:t>
      </w:r>
    </w:p>
    <w:p w:rsidR="00000000" w:rsidDel="00000000" w:rsidP="00000000" w:rsidRDefault="00000000" w:rsidRPr="00000000" w14:paraId="0000001D">
      <w:pPr>
        <w:spacing w:after="160" w:line="259" w:lineRule="auto"/>
        <w:jc w:val="center"/>
        <w:rPr>
          <w:rFonts w:ascii="Verdana" w:cs="Verdana" w:eastAsia="Verdana" w:hAnsi="Verdan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Não é pelo cargo</w:t>
        <w:br w:type="textWrapping"/>
        <w:t xml:space="preserve">É por função técnica</w:t>
        <w:br w:type="textWrapping"/>
        <w:t xml:space="preserve">Precisa aprovação em assembleia</w:t>
        <w:br w:type="textWrapping"/>
        <w:t xml:space="preserve">Precisa contrato</w:t>
        <w:br w:type="textWrapping"/>
        <w:t xml:space="preserve">Precisa transparência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 Estatuto sozinho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não autoriza pagamento automático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Os modelos disponibilizados pelo APP Conta Comigo são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gratuitos e orientativos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, não substituindo assessoria jurídica ou contábil especializada quando exigida por lei, edital ou órgão público.</w:t>
      </w:r>
    </w:p>
    <w:p w:rsidR="00000000" w:rsidDel="00000000" w:rsidP="00000000" w:rsidRDefault="00000000" w:rsidRPr="00000000" w14:paraId="0000002B">
      <w:pPr>
        <w:spacing w:after="160" w:line="259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É vedada a comercialização, revenda ou redistribuição dos modelos fora do APP Conta Comigo, sem autorização expressa da Rede Papel Solidário.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