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rFonts w:ascii="Aptos Display" w:hAnsi="Aptos Display"/>
          <w:b/>
          <w:color w:val="17365D"/>
          <w:sz w:val="58"/>
        </w:rPr>
        <w:t>BAKKEN PRODUCTION TREND ANALYSIS</w:t>
      </w:r>
    </w:p>
    <w:p>
      <w:pPr>
        <w:jc w:val="center"/>
      </w:pPr>
      <w:r>
        <w:rPr>
          <w:b/>
          <w:color w:val="2F75B5"/>
          <w:sz w:val="50"/>
        </w:rPr>
        <w:t>and Oil Production Forecast</w:t>
      </w:r>
    </w:p>
    <w:p>
      <w:pPr>
        <w:jc w:val="center"/>
      </w:pPr>
      <w:r>
        <w:rPr>
          <w:color w:val="5B6573"/>
          <w:sz w:val="26"/>
        </w:rPr>
        <w:t>Historical period: May 2003 - December 2025</w:t>
        <w:br/>
        <w:t>Forecast horizon: January 2026 - December 2027</w:t>
      </w:r>
    </w:p>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3456"/>
        <w:gridCol w:w="3456"/>
        <w:gridCol w:w="3456"/>
      </w:tblGrid>
      <w:tr>
        <w:tc>
          <w:tcPr>
            <w:tcW w:type="dxa" w:w="3456"/>
            <w:tcMar>
              <w:top w:w="100" w:type="dxa"/>
              <w:start w:w="100" w:type="dxa"/>
              <w:bottom w:w="100" w:type="dxa"/>
              <w:end w:w="100" w:type="dxa"/>
            </w:tcMar>
            <w:shd w:fill="EEF4F8"/>
          </w:tcPr>
          <w:p>
            <w:pPr>
              <w:jc w:val="center"/>
            </w:pPr>
            <w:r>
              <w:rPr>
                <w:b/>
                <w:color w:val="17365D"/>
                <w:sz w:val="30"/>
              </w:rPr>
              <w:t>29,442</w:t>
            </w:r>
          </w:p>
          <w:p>
            <w:pPr>
              <w:pStyle w:val="Small"/>
              <w:jc w:val="center"/>
            </w:pPr>
            <w:r>
              <w:t>Clean monthly records</w:t>
            </w:r>
          </w:p>
        </w:tc>
        <w:tc>
          <w:tcPr>
            <w:tcW w:type="dxa" w:w="3456"/>
            <w:tcMar>
              <w:top w:w="100" w:type="dxa"/>
              <w:start w:w="100" w:type="dxa"/>
              <w:bottom w:w="100" w:type="dxa"/>
              <w:end w:w="100" w:type="dxa"/>
            </w:tcMar>
            <w:shd w:fill="D9EAF7"/>
          </w:tcPr>
          <w:p>
            <w:pPr>
              <w:jc w:val="center"/>
            </w:pPr>
            <w:r>
              <w:rPr>
                <w:b/>
                <w:color w:val="17365D"/>
                <w:sz w:val="30"/>
              </w:rPr>
              <w:t>130</w:t>
            </w:r>
          </w:p>
          <w:p>
            <w:pPr>
              <w:pStyle w:val="Small"/>
              <w:jc w:val="center"/>
            </w:pPr>
            <w:r>
              <w:t>Unique wells</w:t>
            </w:r>
          </w:p>
        </w:tc>
        <w:tc>
          <w:tcPr>
            <w:tcW w:type="dxa" w:w="3456"/>
            <w:tcMar>
              <w:top w:w="100" w:type="dxa"/>
              <w:start w:w="100" w:type="dxa"/>
              <w:bottom w:w="100" w:type="dxa"/>
              <w:end w:w="100" w:type="dxa"/>
            </w:tcMar>
            <w:shd w:fill="EEF4F8"/>
          </w:tcPr>
          <w:p>
            <w:pPr>
              <w:jc w:val="center"/>
            </w:pPr>
            <w:r>
              <w:rPr>
                <w:b/>
                <w:color w:val="17365D"/>
                <w:sz w:val="30"/>
              </w:rPr>
              <w:t>535,289 bbl</w:t>
            </w:r>
          </w:p>
          <w:p>
            <w:pPr>
              <w:pStyle w:val="Small"/>
              <w:jc w:val="center"/>
            </w:pPr>
            <w:r>
              <w:t>2025 oil production</w:t>
            </w:r>
          </w:p>
        </w:tc>
      </w:tr>
      <w:tr>
        <w:tc>
          <w:tcPr>
            <w:tcW w:type="dxa" w:w="3456"/>
            <w:tcMar>
              <w:top w:w="100" w:type="dxa"/>
              <w:start w:w="100" w:type="dxa"/>
              <w:bottom w:w="100" w:type="dxa"/>
              <w:end w:w="100" w:type="dxa"/>
            </w:tcMar>
            <w:shd w:fill="D9EAF7"/>
          </w:tcPr>
          <w:p>
            <w:pPr>
              <w:jc w:val="center"/>
            </w:pPr>
            <w:r>
              <w:rPr>
                <w:b/>
                <w:color w:val="17365D"/>
                <w:sz w:val="30"/>
              </w:rPr>
              <w:t>497,842 bbl</w:t>
            </w:r>
          </w:p>
          <w:p>
            <w:pPr>
              <w:pStyle w:val="Small"/>
              <w:jc w:val="center"/>
            </w:pPr>
            <w:r>
              <w:t>2026 P50 forecast</w:t>
            </w:r>
          </w:p>
        </w:tc>
        <w:tc>
          <w:tcPr>
            <w:tcW w:type="dxa" w:w="3456"/>
            <w:tcMar>
              <w:top w:w="100" w:type="dxa"/>
              <w:start w:w="100" w:type="dxa"/>
              <w:bottom w:w="100" w:type="dxa"/>
              <w:end w:w="100" w:type="dxa"/>
            </w:tcMar>
            <w:shd w:fill="EEF4F8"/>
          </w:tcPr>
          <w:p>
            <w:pPr>
              <w:jc w:val="center"/>
            </w:pPr>
            <w:r>
              <w:rPr>
                <w:b/>
                <w:color w:val="17365D"/>
                <w:sz w:val="30"/>
              </w:rPr>
              <w:t>480,676 bbl</w:t>
            </w:r>
          </w:p>
          <w:p>
            <w:pPr>
              <w:pStyle w:val="Small"/>
              <w:jc w:val="center"/>
            </w:pPr>
            <w:r>
              <w:t>2027 P50 forecast</w:t>
            </w:r>
          </w:p>
        </w:tc>
        <w:tc>
          <w:tcPr>
            <w:tcW w:type="dxa" w:w="3456"/>
            <w:tcMar>
              <w:top w:w="100" w:type="dxa"/>
              <w:start w:w="100" w:type="dxa"/>
              <w:bottom w:w="100" w:type="dxa"/>
              <w:end w:w="100" w:type="dxa"/>
            </w:tcMar>
            <w:shd w:fill="D9EAF7"/>
          </w:tcPr>
          <w:p>
            <w:pPr>
              <w:jc w:val="center"/>
            </w:pPr>
            <w:r>
              <w:rPr>
                <w:b/>
                <w:color w:val="17365D"/>
                <w:sz w:val="30"/>
              </w:rPr>
              <w:t>5.8%</w:t>
            </w:r>
          </w:p>
          <w:p>
            <w:pPr>
              <w:pStyle w:val="Small"/>
              <w:jc w:val="center"/>
            </w:pPr>
            <w:r>
              <w:t>Backtest MAPE</w:t>
            </w:r>
          </w:p>
        </w:tc>
      </w:tr>
    </w:tbl>
    <w:p>
      <w:pPr>
        <w:spacing w:after="0"/>
      </w:pPr>
    </w:p>
    <w:p/>
    <w:tbl>
      <w:tblPr>
        <w:tblW w:type="auto" w:w="0"/>
        <w:jc w:val="center"/>
        <w:tblLook w:firstColumn="1" w:firstRow="1" w:lastColumn="0" w:lastRow="0" w:noHBand="0" w:noVBand="1" w:val="04A0"/>
        <w:tblBorders>
          <w:top w:val="single" w:sz="4" w:color="EAF2F8"/>
          <w:left w:val="single" w:sz="4" w:color="EAF2F8"/>
          <w:bottom w:val="single" w:sz="4" w:color="EAF2F8"/>
          <w:right w:val="single" w:sz="4" w:color="EAF2F8"/>
          <w:insideH w:val="single" w:sz="4" w:color="EAF2F8"/>
          <w:insideV w:val="single" w:sz="4" w:color="EAF2F8"/>
        </w:tblBorders>
      </w:tblPr>
      <w:tblGrid>
        <w:gridCol w:w="10368"/>
      </w:tblGrid>
      <w:tr>
        <w:tc>
          <w:tcPr>
            <w:tcW w:type="dxa" w:w="10368"/>
            <w:shd w:fill="EAF2F8"/>
            <w:tcMar>
              <w:top w:w="100" w:type="dxa"/>
              <w:start w:w="140" w:type="dxa"/>
              <w:bottom w:w="100" w:type="dxa"/>
              <w:end w:w="140" w:type="dxa"/>
            </w:tcMar>
          </w:tcPr>
          <w:p>
            <w:r>
              <w:rPr>
                <w:b/>
                <w:color w:val="17365D"/>
              </w:rPr>
              <w:t xml:space="preserve">Report purpose: </w:t>
            </w:r>
            <w:r>
              <w:t>Provide a transparent production-history review, identify field-level trends, and estimate near-term oil production using decline-curve analysis.</w:t>
            </w:r>
          </w:p>
        </w:tc>
      </w:tr>
    </w:tbl>
    <w:p>
      <w:pPr>
        <w:spacing w:before="920"/>
        <w:jc w:val="center"/>
      </w:pPr>
      <w:r>
        <w:rPr>
          <w:color w:val="5B6573"/>
          <w:sz w:val="20"/>
        </w:rPr>
        <w:t>Prepared from the supplied Bakken production dataset</w:t>
        <w:br/>
        <w:t>28 July 2026</w:t>
      </w:r>
    </w:p>
    <w:p>
      <w:r>
        <w:br w:type="page"/>
      </w:r>
    </w:p>
    <w:p>
      <w:pPr>
        <w:pStyle w:val="Heading1"/>
      </w:pPr>
      <w:r>
        <w:t>Table of contents</w:t>
      </w:r>
    </w:p>
    <w:p>
      <w:pPr>
        <w:pStyle w:val="Small"/>
      </w:pPr>
      <w:r>
        <w:t>The report is organized as a decision-oriented technical review.</w:t>
      </w:r>
    </w:p>
    <w:tbl>
      <w:tblPr>
        <w:tblW w:type="auto" w:w="0"/>
        <w:jc w:val="center"/>
        <w:tblLayout w:type="fixed"/>
        <w:tblLook w:firstColumn="1" w:firstRow="1" w:lastColumn="0" w:lastRow="0" w:noHBand="0" w:noVBand="1" w:val="04A0"/>
        <w:tblBorders>
          <w:top w:val="single" w:sz="4" w:color="C9D3DD"/>
          <w:left w:val="single" w:sz="4" w:color="C9D3DD"/>
          <w:bottom w:val="single" w:sz="4" w:color="C9D3DD"/>
          <w:right w:val="single" w:sz="4" w:color="C9D3DD"/>
          <w:insideH w:val="single" w:sz="4" w:color="C9D3DD"/>
          <w:insideV w:val="single" w:sz="4" w:color="C9D3DD"/>
        </w:tblBorders>
      </w:tblPr>
      <w:tblGrid>
        <w:gridCol w:w="3456"/>
        <w:gridCol w:w="3456"/>
        <w:gridCol w:w="3456"/>
      </w:tblGrid>
      <w:tr>
        <w:trPr>
          <w:tblHeader w:val="true"/>
        </w:trPr>
        <w:tc>
          <w:tcPr>
            <w:tcW w:type="dxa" w:w="1152"/>
            <w:shd w:fill="17365D"/>
            <w:tcMar>
              <w:top w:w="70" w:type="dxa"/>
              <w:start w:w="80" w:type="dxa"/>
              <w:bottom w:w="70" w:type="dxa"/>
              <w:end w:w="80" w:type="dxa"/>
            </w:tcMar>
          </w:tcPr>
          <w:p>
            <w:pPr>
              <w:jc w:val="center"/>
            </w:pPr>
            <w:r>
              <w:rPr>
                <w:b/>
                <w:color w:val="FFFFFF"/>
                <w:sz w:val="18"/>
              </w:rPr>
              <w:t>Section</w:t>
            </w:r>
          </w:p>
        </w:tc>
        <w:tc>
          <w:tcPr>
            <w:tcW w:type="dxa" w:w="7920"/>
            <w:shd w:fill="17365D"/>
            <w:tcMar>
              <w:top w:w="70" w:type="dxa"/>
              <w:start w:w="80" w:type="dxa"/>
              <w:bottom w:w="70" w:type="dxa"/>
              <w:end w:w="80" w:type="dxa"/>
            </w:tcMar>
          </w:tcPr>
          <w:p>
            <w:pPr>
              <w:jc w:val="center"/>
            </w:pPr>
            <w:r>
              <w:rPr>
                <w:b/>
                <w:color w:val="FFFFFF"/>
                <w:sz w:val="18"/>
              </w:rPr>
              <w:t>Topic</w:t>
            </w:r>
          </w:p>
        </w:tc>
        <w:tc>
          <w:tcPr>
            <w:tcW w:type="dxa" w:w="1152"/>
            <w:shd w:fill="17365D"/>
            <w:tcMar>
              <w:top w:w="70" w:type="dxa"/>
              <w:start w:w="80" w:type="dxa"/>
              <w:bottom w:w="70" w:type="dxa"/>
              <w:end w:w="80" w:type="dxa"/>
            </w:tcMar>
          </w:tcPr>
          <w:p>
            <w:pPr>
              <w:jc w:val="center"/>
            </w:pPr>
            <w:r>
              <w:rPr>
                <w:b/>
                <w:color w:val="FFFFFF"/>
                <w:sz w:val="18"/>
              </w:rPr>
              <w:t>Page</w:t>
            </w:r>
          </w:p>
        </w:tc>
      </w:tr>
      <w:tr>
        <w:tc>
          <w:tcPr>
            <w:tcW w:type="dxa" w:w="1152"/>
            <w:tcMar>
              <w:top w:w="70" w:type="dxa"/>
              <w:start w:w="80" w:type="dxa"/>
              <w:bottom w:w="70" w:type="dxa"/>
              <w:end w:w="80" w:type="dxa"/>
            </w:tcMar>
          </w:tcPr>
          <w:p>
            <w:pPr>
              <w:jc w:val="left"/>
            </w:pPr>
            <w:r>
              <w:rPr>
                <w:sz w:val="18"/>
              </w:rPr>
              <w:t>1</w:t>
            </w:r>
          </w:p>
        </w:tc>
        <w:tc>
          <w:tcPr>
            <w:tcW w:type="dxa" w:w="7920"/>
            <w:tcMar>
              <w:top w:w="70" w:type="dxa"/>
              <w:start w:w="80" w:type="dxa"/>
              <w:bottom w:w="70" w:type="dxa"/>
              <w:end w:w="80" w:type="dxa"/>
            </w:tcMar>
          </w:tcPr>
          <w:p>
            <w:pPr>
              <w:jc w:val="left"/>
            </w:pPr>
            <w:r>
              <w:rPr>
                <w:sz w:val="18"/>
              </w:rPr>
              <w:t>Executive summary</w:t>
            </w:r>
          </w:p>
        </w:tc>
        <w:tc>
          <w:tcPr>
            <w:tcW w:type="dxa" w:w="1152"/>
            <w:tcMar>
              <w:top w:w="70" w:type="dxa"/>
              <w:start w:w="80" w:type="dxa"/>
              <w:bottom w:w="70" w:type="dxa"/>
              <w:end w:w="80" w:type="dxa"/>
            </w:tcMar>
          </w:tcPr>
          <w:p>
            <w:pPr>
              <w:jc w:val="left"/>
            </w:pPr>
            <w:r>
              <w:rPr>
                <w:sz w:val="18"/>
              </w:rPr>
              <w:t>3</w:t>
            </w:r>
          </w:p>
        </w:tc>
      </w:tr>
      <w:tr>
        <w:tc>
          <w:tcPr>
            <w:tcW w:type="dxa" w:w="1152"/>
            <w:tcMar>
              <w:top w:w="70" w:type="dxa"/>
              <w:start w:w="80" w:type="dxa"/>
              <w:bottom w:w="70" w:type="dxa"/>
              <w:end w:w="80" w:type="dxa"/>
            </w:tcMar>
            <w:shd w:fill="F5F7F9"/>
          </w:tcPr>
          <w:p>
            <w:pPr>
              <w:jc w:val="left"/>
            </w:pPr>
            <w:r>
              <w:rPr>
                <w:sz w:val="18"/>
              </w:rPr>
              <w:t>2</w:t>
            </w:r>
          </w:p>
        </w:tc>
        <w:tc>
          <w:tcPr>
            <w:tcW w:type="dxa" w:w="7920"/>
            <w:tcMar>
              <w:top w:w="70" w:type="dxa"/>
              <w:start w:w="80" w:type="dxa"/>
              <w:bottom w:w="70" w:type="dxa"/>
              <w:end w:w="80" w:type="dxa"/>
            </w:tcMar>
            <w:shd w:fill="F5F7F9"/>
          </w:tcPr>
          <w:p>
            <w:pPr>
              <w:jc w:val="left"/>
            </w:pPr>
            <w:r>
              <w:rPr>
                <w:sz w:val="18"/>
              </w:rPr>
              <w:t>Dataset scope and variable definitions</w:t>
            </w:r>
          </w:p>
        </w:tc>
        <w:tc>
          <w:tcPr>
            <w:tcW w:type="dxa" w:w="1152"/>
            <w:tcMar>
              <w:top w:w="70" w:type="dxa"/>
              <w:start w:w="80" w:type="dxa"/>
              <w:bottom w:w="70" w:type="dxa"/>
              <w:end w:w="80" w:type="dxa"/>
            </w:tcMar>
            <w:shd w:fill="F5F7F9"/>
          </w:tcPr>
          <w:p>
            <w:pPr>
              <w:jc w:val="left"/>
            </w:pPr>
            <w:r>
              <w:rPr>
                <w:sz w:val="18"/>
              </w:rPr>
              <w:t>4</w:t>
            </w:r>
          </w:p>
        </w:tc>
      </w:tr>
      <w:tr>
        <w:tc>
          <w:tcPr>
            <w:tcW w:type="dxa" w:w="1152"/>
            <w:tcMar>
              <w:top w:w="70" w:type="dxa"/>
              <w:start w:w="80" w:type="dxa"/>
              <w:bottom w:w="70" w:type="dxa"/>
              <w:end w:w="80" w:type="dxa"/>
            </w:tcMar>
          </w:tcPr>
          <w:p>
            <w:pPr>
              <w:jc w:val="left"/>
            </w:pPr>
            <w:r>
              <w:rPr>
                <w:sz w:val="18"/>
              </w:rPr>
              <w:t>3</w:t>
            </w:r>
          </w:p>
        </w:tc>
        <w:tc>
          <w:tcPr>
            <w:tcW w:type="dxa" w:w="7920"/>
            <w:tcMar>
              <w:top w:w="70" w:type="dxa"/>
              <w:start w:w="80" w:type="dxa"/>
              <w:bottom w:w="70" w:type="dxa"/>
              <w:end w:w="80" w:type="dxa"/>
            </w:tcMar>
          </w:tcPr>
          <w:p>
            <w:pPr>
              <w:jc w:val="left"/>
            </w:pPr>
            <w:r>
              <w:rPr>
                <w:sz w:val="18"/>
              </w:rPr>
              <w:t>Data quality and preprocessing</w:t>
            </w:r>
          </w:p>
        </w:tc>
        <w:tc>
          <w:tcPr>
            <w:tcW w:type="dxa" w:w="1152"/>
            <w:tcMar>
              <w:top w:w="70" w:type="dxa"/>
              <w:start w:w="80" w:type="dxa"/>
              <w:bottom w:w="70" w:type="dxa"/>
              <w:end w:w="80" w:type="dxa"/>
            </w:tcMar>
          </w:tcPr>
          <w:p>
            <w:pPr>
              <w:jc w:val="left"/>
            </w:pPr>
            <w:r>
              <w:rPr>
                <w:sz w:val="18"/>
              </w:rPr>
              <w:t>5</w:t>
            </w:r>
          </w:p>
        </w:tc>
      </w:tr>
      <w:tr>
        <w:tc>
          <w:tcPr>
            <w:tcW w:type="dxa" w:w="1152"/>
            <w:tcMar>
              <w:top w:w="70" w:type="dxa"/>
              <w:start w:w="80" w:type="dxa"/>
              <w:bottom w:w="70" w:type="dxa"/>
              <w:end w:w="80" w:type="dxa"/>
            </w:tcMar>
            <w:shd w:fill="F5F7F9"/>
          </w:tcPr>
          <w:p>
            <w:pPr>
              <w:jc w:val="left"/>
            </w:pPr>
            <w:r>
              <w:rPr>
                <w:sz w:val="18"/>
              </w:rPr>
              <w:t>4</w:t>
            </w:r>
          </w:p>
        </w:tc>
        <w:tc>
          <w:tcPr>
            <w:tcW w:type="dxa" w:w="7920"/>
            <w:tcMar>
              <w:top w:w="70" w:type="dxa"/>
              <w:start w:w="80" w:type="dxa"/>
              <w:bottom w:w="70" w:type="dxa"/>
              <w:end w:w="80" w:type="dxa"/>
            </w:tcMar>
            <w:shd w:fill="F5F7F9"/>
          </w:tcPr>
          <w:p>
            <w:pPr>
              <w:jc w:val="left"/>
            </w:pPr>
            <w:r>
              <w:rPr>
                <w:sz w:val="18"/>
              </w:rPr>
              <w:t>Monthly oil production history</w:t>
            </w:r>
          </w:p>
        </w:tc>
        <w:tc>
          <w:tcPr>
            <w:tcW w:type="dxa" w:w="1152"/>
            <w:tcMar>
              <w:top w:w="70" w:type="dxa"/>
              <w:start w:w="80" w:type="dxa"/>
              <w:bottom w:w="70" w:type="dxa"/>
              <w:end w:w="80" w:type="dxa"/>
            </w:tcMar>
            <w:shd w:fill="F5F7F9"/>
          </w:tcPr>
          <w:p>
            <w:pPr>
              <w:jc w:val="left"/>
            </w:pPr>
            <w:r>
              <w:rPr>
                <w:sz w:val="18"/>
              </w:rPr>
              <w:t>6</w:t>
            </w:r>
          </w:p>
        </w:tc>
      </w:tr>
      <w:tr>
        <w:tc>
          <w:tcPr>
            <w:tcW w:type="dxa" w:w="1152"/>
            <w:tcMar>
              <w:top w:w="70" w:type="dxa"/>
              <w:start w:w="80" w:type="dxa"/>
              <w:bottom w:w="70" w:type="dxa"/>
              <w:end w:w="80" w:type="dxa"/>
            </w:tcMar>
          </w:tcPr>
          <w:p>
            <w:pPr>
              <w:jc w:val="left"/>
            </w:pPr>
            <w:r>
              <w:rPr>
                <w:sz w:val="18"/>
              </w:rPr>
              <w:t>5</w:t>
            </w:r>
          </w:p>
        </w:tc>
        <w:tc>
          <w:tcPr>
            <w:tcW w:type="dxa" w:w="7920"/>
            <w:tcMar>
              <w:top w:w="70" w:type="dxa"/>
              <w:start w:w="80" w:type="dxa"/>
              <w:bottom w:w="70" w:type="dxa"/>
              <w:end w:w="80" w:type="dxa"/>
            </w:tcMar>
          </w:tcPr>
          <w:p>
            <w:pPr>
              <w:jc w:val="left"/>
            </w:pPr>
            <w:r>
              <w:rPr>
                <w:sz w:val="18"/>
              </w:rPr>
              <w:t>Annual oil production and decline</w:t>
            </w:r>
          </w:p>
        </w:tc>
        <w:tc>
          <w:tcPr>
            <w:tcW w:type="dxa" w:w="1152"/>
            <w:tcMar>
              <w:top w:w="70" w:type="dxa"/>
              <w:start w:w="80" w:type="dxa"/>
              <w:bottom w:w="70" w:type="dxa"/>
              <w:end w:w="80" w:type="dxa"/>
            </w:tcMar>
          </w:tcPr>
          <w:p>
            <w:pPr>
              <w:jc w:val="left"/>
            </w:pPr>
            <w:r>
              <w:rPr>
                <w:sz w:val="18"/>
              </w:rPr>
              <w:t>7</w:t>
            </w:r>
          </w:p>
        </w:tc>
      </w:tr>
      <w:tr>
        <w:tc>
          <w:tcPr>
            <w:tcW w:type="dxa" w:w="1152"/>
            <w:tcMar>
              <w:top w:w="70" w:type="dxa"/>
              <w:start w:w="80" w:type="dxa"/>
              <w:bottom w:w="70" w:type="dxa"/>
              <w:end w:w="80" w:type="dxa"/>
            </w:tcMar>
            <w:shd w:fill="F5F7F9"/>
          </w:tcPr>
          <w:p>
            <w:pPr>
              <w:jc w:val="left"/>
            </w:pPr>
            <w:r>
              <w:rPr>
                <w:sz w:val="18"/>
              </w:rPr>
              <w:t>6</w:t>
            </w:r>
          </w:p>
        </w:tc>
        <w:tc>
          <w:tcPr>
            <w:tcW w:type="dxa" w:w="7920"/>
            <w:tcMar>
              <w:top w:w="70" w:type="dxa"/>
              <w:start w:w="80" w:type="dxa"/>
              <w:bottom w:w="70" w:type="dxa"/>
              <w:end w:w="80" w:type="dxa"/>
            </w:tcMar>
            <w:shd w:fill="F5F7F9"/>
          </w:tcPr>
          <w:p>
            <w:pPr>
              <w:jc w:val="left"/>
            </w:pPr>
            <w:r>
              <w:rPr>
                <w:sz w:val="18"/>
              </w:rPr>
              <w:t>Gas and water production trends</w:t>
            </w:r>
          </w:p>
        </w:tc>
        <w:tc>
          <w:tcPr>
            <w:tcW w:type="dxa" w:w="1152"/>
            <w:tcMar>
              <w:top w:w="70" w:type="dxa"/>
              <w:start w:w="80" w:type="dxa"/>
              <w:bottom w:w="70" w:type="dxa"/>
              <w:end w:w="80" w:type="dxa"/>
            </w:tcMar>
            <w:shd w:fill="F5F7F9"/>
          </w:tcPr>
          <w:p>
            <w:pPr>
              <w:jc w:val="left"/>
            </w:pPr>
            <w:r>
              <w:rPr>
                <w:sz w:val="18"/>
              </w:rPr>
              <w:t>8</w:t>
            </w:r>
          </w:p>
        </w:tc>
      </w:tr>
      <w:tr>
        <w:tc>
          <w:tcPr>
            <w:tcW w:type="dxa" w:w="1152"/>
            <w:tcMar>
              <w:top w:w="70" w:type="dxa"/>
              <w:start w:w="80" w:type="dxa"/>
              <w:bottom w:w="70" w:type="dxa"/>
              <w:end w:w="80" w:type="dxa"/>
            </w:tcMar>
          </w:tcPr>
          <w:p>
            <w:pPr>
              <w:jc w:val="left"/>
            </w:pPr>
            <w:r>
              <w:rPr>
                <w:sz w:val="18"/>
              </w:rPr>
              <w:t>7</w:t>
            </w:r>
          </w:p>
        </w:tc>
        <w:tc>
          <w:tcPr>
            <w:tcW w:type="dxa" w:w="7920"/>
            <w:tcMar>
              <w:top w:w="70" w:type="dxa"/>
              <w:start w:w="80" w:type="dxa"/>
              <w:bottom w:w="70" w:type="dxa"/>
              <w:end w:w="80" w:type="dxa"/>
            </w:tcMar>
          </w:tcPr>
          <w:p>
            <w:pPr>
              <w:jc w:val="left"/>
            </w:pPr>
            <w:r>
              <w:rPr>
                <w:sz w:val="18"/>
              </w:rPr>
              <w:t>Well activity and productivity</w:t>
            </w:r>
          </w:p>
        </w:tc>
        <w:tc>
          <w:tcPr>
            <w:tcW w:type="dxa" w:w="1152"/>
            <w:tcMar>
              <w:top w:w="70" w:type="dxa"/>
              <w:start w:w="80" w:type="dxa"/>
              <w:bottom w:w="70" w:type="dxa"/>
              <w:end w:w="80" w:type="dxa"/>
            </w:tcMar>
          </w:tcPr>
          <w:p>
            <w:pPr>
              <w:jc w:val="left"/>
            </w:pPr>
            <w:r>
              <w:rPr>
                <w:sz w:val="18"/>
              </w:rPr>
              <w:t>9</w:t>
            </w:r>
          </w:p>
        </w:tc>
      </w:tr>
      <w:tr>
        <w:tc>
          <w:tcPr>
            <w:tcW w:type="dxa" w:w="1152"/>
            <w:tcMar>
              <w:top w:w="70" w:type="dxa"/>
              <w:start w:w="80" w:type="dxa"/>
              <w:bottom w:w="70" w:type="dxa"/>
              <w:end w:w="80" w:type="dxa"/>
            </w:tcMar>
            <w:shd w:fill="F5F7F9"/>
          </w:tcPr>
          <w:p>
            <w:pPr>
              <w:jc w:val="left"/>
            </w:pPr>
            <w:r>
              <w:rPr>
                <w:sz w:val="18"/>
              </w:rPr>
              <w:t>8</w:t>
            </w:r>
          </w:p>
        </w:tc>
        <w:tc>
          <w:tcPr>
            <w:tcW w:type="dxa" w:w="7920"/>
            <w:tcMar>
              <w:top w:w="70" w:type="dxa"/>
              <w:start w:w="80" w:type="dxa"/>
              <w:bottom w:w="70" w:type="dxa"/>
              <w:end w:w="80" w:type="dxa"/>
            </w:tcMar>
            <w:shd w:fill="F5F7F9"/>
          </w:tcPr>
          <w:p>
            <w:pPr>
              <w:jc w:val="left"/>
            </w:pPr>
            <w:r>
              <w:rPr>
                <w:sz w:val="18"/>
              </w:rPr>
              <w:t>Gas-oil ratio and water-cut behavior</w:t>
            </w:r>
          </w:p>
        </w:tc>
        <w:tc>
          <w:tcPr>
            <w:tcW w:type="dxa" w:w="1152"/>
            <w:tcMar>
              <w:top w:w="70" w:type="dxa"/>
              <w:start w:w="80" w:type="dxa"/>
              <w:bottom w:w="70" w:type="dxa"/>
              <w:end w:w="80" w:type="dxa"/>
            </w:tcMar>
            <w:shd w:fill="F5F7F9"/>
          </w:tcPr>
          <w:p>
            <w:pPr>
              <w:jc w:val="left"/>
            </w:pPr>
            <w:r>
              <w:rPr>
                <w:sz w:val="18"/>
              </w:rPr>
              <w:t>10</w:t>
            </w:r>
          </w:p>
        </w:tc>
      </w:tr>
      <w:tr>
        <w:tc>
          <w:tcPr>
            <w:tcW w:type="dxa" w:w="1152"/>
            <w:tcMar>
              <w:top w:w="70" w:type="dxa"/>
              <w:start w:w="80" w:type="dxa"/>
              <w:bottom w:w="70" w:type="dxa"/>
              <w:end w:w="80" w:type="dxa"/>
            </w:tcMar>
          </w:tcPr>
          <w:p>
            <w:pPr>
              <w:jc w:val="left"/>
            </w:pPr>
            <w:r>
              <w:rPr>
                <w:sz w:val="18"/>
              </w:rPr>
              <w:t>9</w:t>
            </w:r>
          </w:p>
        </w:tc>
        <w:tc>
          <w:tcPr>
            <w:tcW w:type="dxa" w:w="7920"/>
            <w:tcMar>
              <w:top w:w="70" w:type="dxa"/>
              <w:start w:w="80" w:type="dxa"/>
              <w:bottom w:w="70" w:type="dxa"/>
              <w:end w:w="80" w:type="dxa"/>
            </w:tcMar>
          </w:tcPr>
          <w:p>
            <w:pPr>
              <w:jc w:val="left"/>
            </w:pPr>
            <w:r>
              <w:rPr>
                <w:sz w:val="18"/>
              </w:rPr>
              <w:t>Well-level production performance</w:t>
            </w:r>
          </w:p>
        </w:tc>
        <w:tc>
          <w:tcPr>
            <w:tcW w:type="dxa" w:w="1152"/>
            <w:tcMar>
              <w:top w:w="70" w:type="dxa"/>
              <w:start w:w="80" w:type="dxa"/>
              <w:bottom w:w="70" w:type="dxa"/>
              <w:end w:w="80" w:type="dxa"/>
            </w:tcMar>
          </w:tcPr>
          <w:p>
            <w:pPr>
              <w:jc w:val="left"/>
            </w:pPr>
            <w:r>
              <w:rPr>
                <w:sz w:val="18"/>
              </w:rPr>
              <w:t>11</w:t>
            </w:r>
          </w:p>
        </w:tc>
      </w:tr>
      <w:tr>
        <w:tc>
          <w:tcPr>
            <w:tcW w:type="dxa" w:w="1152"/>
            <w:tcMar>
              <w:top w:w="70" w:type="dxa"/>
              <w:start w:w="80" w:type="dxa"/>
              <w:bottom w:w="70" w:type="dxa"/>
              <w:end w:w="80" w:type="dxa"/>
            </w:tcMar>
            <w:shd w:fill="F5F7F9"/>
          </w:tcPr>
          <w:p>
            <w:pPr>
              <w:jc w:val="left"/>
            </w:pPr>
            <w:r>
              <w:rPr>
                <w:sz w:val="18"/>
              </w:rPr>
              <w:t>10</w:t>
            </w:r>
          </w:p>
        </w:tc>
        <w:tc>
          <w:tcPr>
            <w:tcW w:type="dxa" w:w="7920"/>
            <w:tcMar>
              <w:top w:w="70" w:type="dxa"/>
              <w:start w:w="80" w:type="dxa"/>
              <w:bottom w:w="70" w:type="dxa"/>
              <w:end w:w="80" w:type="dxa"/>
            </w:tcMar>
            <w:shd w:fill="F5F7F9"/>
          </w:tcPr>
          <w:p>
            <w:pPr>
              <w:jc w:val="left"/>
            </w:pPr>
            <w:r>
              <w:rPr>
                <w:sz w:val="18"/>
              </w:rPr>
              <w:t>Forecast methodology and model selection</w:t>
            </w:r>
          </w:p>
        </w:tc>
        <w:tc>
          <w:tcPr>
            <w:tcW w:type="dxa" w:w="1152"/>
            <w:tcMar>
              <w:top w:w="70" w:type="dxa"/>
              <w:start w:w="80" w:type="dxa"/>
              <w:bottom w:w="70" w:type="dxa"/>
              <w:end w:w="80" w:type="dxa"/>
            </w:tcMar>
            <w:shd w:fill="F5F7F9"/>
          </w:tcPr>
          <w:p>
            <w:pPr>
              <w:jc w:val="left"/>
            </w:pPr>
            <w:r>
              <w:rPr>
                <w:sz w:val="18"/>
              </w:rPr>
              <w:t>12</w:t>
            </w:r>
          </w:p>
        </w:tc>
      </w:tr>
      <w:tr>
        <w:tc>
          <w:tcPr>
            <w:tcW w:type="dxa" w:w="1152"/>
            <w:tcMar>
              <w:top w:w="70" w:type="dxa"/>
              <w:start w:w="80" w:type="dxa"/>
              <w:bottom w:w="70" w:type="dxa"/>
              <w:end w:w="80" w:type="dxa"/>
            </w:tcMar>
          </w:tcPr>
          <w:p>
            <w:pPr>
              <w:jc w:val="left"/>
            </w:pPr>
            <w:r>
              <w:rPr>
                <w:sz w:val="18"/>
              </w:rPr>
              <w:t>11</w:t>
            </w:r>
          </w:p>
        </w:tc>
        <w:tc>
          <w:tcPr>
            <w:tcW w:type="dxa" w:w="7920"/>
            <w:tcMar>
              <w:top w:w="70" w:type="dxa"/>
              <w:start w:w="80" w:type="dxa"/>
              <w:bottom w:w="70" w:type="dxa"/>
              <w:end w:w="80" w:type="dxa"/>
            </w:tcMar>
          </w:tcPr>
          <w:p>
            <w:pPr>
              <w:jc w:val="left"/>
            </w:pPr>
            <w:r>
              <w:rPr>
                <w:sz w:val="18"/>
              </w:rPr>
              <w:t>Backtest validation</w:t>
            </w:r>
          </w:p>
        </w:tc>
        <w:tc>
          <w:tcPr>
            <w:tcW w:type="dxa" w:w="1152"/>
            <w:tcMar>
              <w:top w:w="70" w:type="dxa"/>
              <w:start w:w="80" w:type="dxa"/>
              <w:bottom w:w="70" w:type="dxa"/>
              <w:end w:w="80" w:type="dxa"/>
            </w:tcMar>
          </w:tcPr>
          <w:p>
            <w:pPr>
              <w:jc w:val="left"/>
            </w:pPr>
            <w:r>
              <w:rPr>
                <w:sz w:val="18"/>
              </w:rPr>
              <w:t>13</w:t>
            </w:r>
          </w:p>
        </w:tc>
      </w:tr>
      <w:tr>
        <w:tc>
          <w:tcPr>
            <w:tcW w:type="dxa" w:w="1152"/>
            <w:tcMar>
              <w:top w:w="70" w:type="dxa"/>
              <w:start w:w="80" w:type="dxa"/>
              <w:bottom w:w="70" w:type="dxa"/>
              <w:end w:w="80" w:type="dxa"/>
            </w:tcMar>
            <w:shd w:fill="F5F7F9"/>
          </w:tcPr>
          <w:p>
            <w:pPr>
              <w:jc w:val="left"/>
            </w:pPr>
            <w:r>
              <w:rPr>
                <w:sz w:val="18"/>
              </w:rPr>
              <w:t>12</w:t>
            </w:r>
          </w:p>
        </w:tc>
        <w:tc>
          <w:tcPr>
            <w:tcW w:type="dxa" w:w="7920"/>
            <w:tcMar>
              <w:top w:w="70" w:type="dxa"/>
              <w:start w:w="80" w:type="dxa"/>
              <w:bottom w:w="70" w:type="dxa"/>
              <w:end w:w="80" w:type="dxa"/>
            </w:tcMar>
            <w:shd w:fill="F5F7F9"/>
          </w:tcPr>
          <w:p>
            <w:pPr>
              <w:jc w:val="left"/>
            </w:pPr>
            <w:r>
              <w:rPr>
                <w:sz w:val="18"/>
              </w:rPr>
              <w:t>Production forecast for 2026-2027</w:t>
            </w:r>
          </w:p>
        </w:tc>
        <w:tc>
          <w:tcPr>
            <w:tcW w:type="dxa" w:w="1152"/>
            <w:tcMar>
              <w:top w:w="70" w:type="dxa"/>
              <w:start w:w="80" w:type="dxa"/>
              <w:bottom w:w="70" w:type="dxa"/>
              <w:end w:w="80" w:type="dxa"/>
            </w:tcMar>
            <w:shd w:fill="F5F7F9"/>
          </w:tcPr>
          <w:p>
            <w:pPr>
              <w:jc w:val="left"/>
            </w:pPr>
            <w:r>
              <w:rPr>
                <w:sz w:val="18"/>
              </w:rPr>
              <w:t>14</w:t>
            </w:r>
          </w:p>
        </w:tc>
      </w:tr>
      <w:tr>
        <w:tc>
          <w:tcPr>
            <w:tcW w:type="dxa" w:w="1152"/>
            <w:tcMar>
              <w:top w:w="70" w:type="dxa"/>
              <w:start w:w="80" w:type="dxa"/>
              <w:bottom w:w="70" w:type="dxa"/>
              <w:end w:w="80" w:type="dxa"/>
            </w:tcMar>
          </w:tcPr>
          <w:p>
            <w:pPr>
              <w:jc w:val="left"/>
            </w:pPr>
            <w:r>
              <w:rPr>
                <w:sz w:val="18"/>
              </w:rPr>
              <w:t>13</w:t>
            </w:r>
          </w:p>
        </w:tc>
        <w:tc>
          <w:tcPr>
            <w:tcW w:type="dxa" w:w="7920"/>
            <w:tcMar>
              <w:top w:w="70" w:type="dxa"/>
              <w:start w:w="80" w:type="dxa"/>
              <w:bottom w:w="70" w:type="dxa"/>
              <w:end w:w="80" w:type="dxa"/>
            </w:tcMar>
          </w:tcPr>
          <w:p>
            <w:pPr>
              <w:jc w:val="left"/>
            </w:pPr>
            <w:r>
              <w:rPr>
                <w:sz w:val="18"/>
              </w:rPr>
              <w:t>Monthly forecast, limitations and conclusions</w:t>
            </w:r>
          </w:p>
        </w:tc>
        <w:tc>
          <w:tcPr>
            <w:tcW w:type="dxa" w:w="1152"/>
            <w:tcMar>
              <w:top w:w="70" w:type="dxa"/>
              <w:start w:w="80" w:type="dxa"/>
              <w:bottom w:w="70" w:type="dxa"/>
              <w:end w:w="80" w:type="dxa"/>
            </w:tcMar>
          </w:tcPr>
          <w:p>
            <w:pPr>
              <w:jc w:val="left"/>
            </w:pPr>
            <w:r>
              <w:rPr>
                <w:sz w:val="18"/>
              </w:rPr>
              <w:t>15</w:t>
            </w:r>
          </w:p>
        </w:tc>
      </w:tr>
    </w:tbl>
    <w:p/>
    <w:tbl>
      <w:tblPr>
        <w:tblW w:type="auto" w:w="0"/>
        <w:jc w:val="center"/>
        <w:tblLook w:firstColumn="1" w:firstRow="1" w:lastColumn="0" w:lastRow="0" w:noHBand="0" w:noVBand="1" w:val="04A0"/>
        <w:tblBorders>
          <w:top w:val="single" w:sz="4" w:color="EAF2F8"/>
          <w:left w:val="single" w:sz="4" w:color="EAF2F8"/>
          <w:bottom w:val="single" w:sz="4" w:color="EAF2F8"/>
          <w:right w:val="single" w:sz="4" w:color="EAF2F8"/>
          <w:insideH w:val="single" w:sz="4" w:color="EAF2F8"/>
          <w:insideV w:val="single" w:sz="4" w:color="EAF2F8"/>
        </w:tblBorders>
      </w:tblPr>
      <w:tblGrid>
        <w:gridCol w:w="10368"/>
      </w:tblGrid>
      <w:tr>
        <w:tc>
          <w:tcPr>
            <w:tcW w:type="dxa" w:w="10368"/>
            <w:shd w:fill="EAF2F8"/>
            <w:tcMar>
              <w:top w:w="100" w:type="dxa"/>
              <w:start w:w="140" w:type="dxa"/>
              <w:bottom w:w="100" w:type="dxa"/>
              <w:end w:w="140" w:type="dxa"/>
            </w:tcMar>
          </w:tcPr>
          <w:p>
            <w:r>
              <w:rPr>
                <w:b/>
                <w:color w:val="17365D"/>
              </w:rPr>
              <w:t xml:space="preserve">Scope note: </w:t>
            </w:r>
            <w:r>
              <w:t>The forecast is an aggregate statistical decline forecast for the wells in the workbook. It is not a reserves estimate and does not include planned drilling, workovers, shut-ins or economic limits.</w:t>
            </w:r>
          </w:p>
        </w:tc>
      </w:tr>
    </w:tbl>
    <w:p/>
    <w:p>
      <w:r>
        <w:br w:type="page"/>
      </w:r>
    </w:p>
    <w:p>
      <w:pPr>
        <w:pStyle w:val="Heading1"/>
      </w:pPr>
      <w:r>
        <w:t>1. Executive summary</w:t>
      </w:r>
    </w:p>
    <w:p>
      <w:r>
        <w:t>The dataset describes monthly oil, gas and water production from 130 Bakken wells. After removing exact duplicate records, the cleaned history contains 29,442 well-month rows from May 2003 through December 2025.</w:t>
      </w:r>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3456"/>
        <w:gridCol w:w="3456"/>
        <w:gridCol w:w="3456"/>
      </w:tblGrid>
      <w:tr>
        <w:tc>
          <w:tcPr>
            <w:tcW w:type="dxa" w:w="3456"/>
            <w:tcMar>
              <w:top w:w="100" w:type="dxa"/>
              <w:start w:w="100" w:type="dxa"/>
              <w:bottom w:w="100" w:type="dxa"/>
              <w:end w:w="100" w:type="dxa"/>
            </w:tcMar>
            <w:shd w:fill="EEF4F8"/>
          </w:tcPr>
          <w:p>
            <w:pPr>
              <w:jc w:val="center"/>
            </w:pPr>
            <w:r>
              <w:rPr>
                <w:b/>
                <w:color w:val="17365D"/>
                <w:sz w:val="30"/>
              </w:rPr>
              <w:t>333,099 bbl (Dec 2006)</w:t>
            </w:r>
          </w:p>
          <w:p>
            <w:pPr>
              <w:pStyle w:val="Small"/>
              <w:jc w:val="center"/>
            </w:pPr>
            <w:r>
              <w:t>Peak monthly oil</w:t>
            </w:r>
          </w:p>
        </w:tc>
        <w:tc>
          <w:tcPr>
            <w:tcW w:type="dxa" w:w="3456"/>
            <w:tcMar>
              <w:top w:w="100" w:type="dxa"/>
              <w:start w:w="100" w:type="dxa"/>
              <w:bottom w:w="100" w:type="dxa"/>
              <w:end w:w="100" w:type="dxa"/>
            </w:tcMar>
            <w:shd w:fill="D9EAF7"/>
          </w:tcPr>
          <w:p>
            <w:pPr>
              <w:jc w:val="center"/>
            </w:pPr>
            <w:r>
              <w:rPr>
                <w:b/>
                <w:color w:val="17365D"/>
                <w:sz w:val="30"/>
              </w:rPr>
              <w:t>3.53 million bbl (2007)</w:t>
            </w:r>
          </w:p>
          <w:p>
            <w:pPr>
              <w:pStyle w:val="Small"/>
              <w:jc w:val="center"/>
            </w:pPr>
            <w:r>
              <w:t>Peak annual oil</w:t>
            </w:r>
          </w:p>
        </w:tc>
        <w:tc>
          <w:tcPr>
            <w:tcW w:type="dxa" w:w="3456"/>
            <w:tcMar>
              <w:top w:w="100" w:type="dxa"/>
              <w:start w:w="100" w:type="dxa"/>
              <w:bottom w:w="100" w:type="dxa"/>
              <w:end w:w="100" w:type="dxa"/>
            </w:tcMar>
            <w:shd w:fill="EEF4F8"/>
          </w:tcPr>
          <w:p>
            <w:pPr>
              <w:jc w:val="center"/>
            </w:pPr>
            <w:r>
              <w:rPr>
                <w:b/>
                <w:color w:val="17365D"/>
                <w:sz w:val="30"/>
              </w:rPr>
              <w:t>582,214 bbl</w:t>
            </w:r>
          </w:p>
          <w:p>
            <w:pPr>
              <w:pStyle w:val="Small"/>
              <w:jc w:val="center"/>
            </w:pPr>
            <w:r>
              <w:t>2024 oil</w:t>
            </w:r>
          </w:p>
        </w:tc>
      </w:tr>
      <w:tr>
        <w:tc>
          <w:tcPr>
            <w:tcW w:type="dxa" w:w="3456"/>
            <w:tcMar>
              <w:top w:w="100" w:type="dxa"/>
              <w:start w:w="100" w:type="dxa"/>
              <w:bottom w:w="100" w:type="dxa"/>
              <w:end w:w="100" w:type="dxa"/>
            </w:tcMar>
            <w:shd w:fill="D9EAF7"/>
          </w:tcPr>
          <w:p>
            <w:pPr>
              <w:jc w:val="center"/>
            </w:pPr>
            <w:r>
              <w:rPr>
                <w:b/>
                <w:color w:val="17365D"/>
                <w:sz w:val="30"/>
              </w:rPr>
              <w:t>535,289 bbl</w:t>
            </w:r>
          </w:p>
          <w:p>
            <w:pPr>
              <w:pStyle w:val="Small"/>
              <w:jc w:val="center"/>
            </w:pPr>
            <w:r>
              <w:t>2025 oil</w:t>
            </w:r>
          </w:p>
        </w:tc>
        <w:tc>
          <w:tcPr>
            <w:tcW w:type="dxa" w:w="3456"/>
            <w:tcMar>
              <w:top w:w="100" w:type="dxa"/>
              <w:start w:w="100" w:type="dxa"/>
              <w:bottom w:w="100" w:type="dxa"/>
              <w:end w:w="100" w:type="dxa"/>
            </w:tcMar>
            <w:shd w:fill="EEF4F8"/>
          </w:tcPr>
          <w:p>
            <w:pPr>
              <w:jc w:val="center"/>
            </w:pPr>
            <w:r>
              <w:rPr>
                <w:b/>
                <w:color w:val="17365D"/>
                <w:sz w:val="30"/>
              </w:rPr>
              <w:t>-8.1%</w:t>
            </w:r>
          </w:p>
          <w:p>
            <w:pPr>
              <w:pStyle w:val="Small"/>
              <w:jc w:val="center"/>
            </w:pPr>
            <w:r>
              <w:t>2025 year-on-year</w:t>
            </w:r>
          </w:p>
        </w:tc>
        <w:tc>
          <w:tcPr>
            <w:tcW w:type="dxa" w:w="3456"/>
            <w:tcMar>
              <w:top w:w="100" w:type="dxa"/>
              <w:start w:w="100" w:type="dxa"/>
              <w:bottom w:w="100" w:type="dxa"/>
              <w:end w:w="100" w:type="dxa"/>
            </w:tcMar>
            <w:shd w:fill="D9EAF7"/>
          </w:tcPr>
          <w:p>
            <w:pPr>
              <w:jc w:val="center"/>
            </w:pPr>
            <w:r>
              <w:rPr>
                <w:b/>
                <w:color w:val="17365D"/>
                <w:sz w:val="30"/>
              </w:rPr>
              <w:t>31.72 million bbl</w:t>
            </w:r>
          </w:p>
          <w:p>
            <w:pPr>
              <w:pStyle w:val="Small"/>
              <w:jc w:val="center"/>
            </w:pPr>
            <w:r>
              <w:t>Cumulative oil</w:t>
            </w:r>
          </w:p>
        </w:tc>
      </w:tr>
    </w:tbl>
    <w:p>
      <w:pPr>
        <w:spacing w:after="0"/>
      </w:pPr>
    </w:p>
    <w:p>
      <w:pPr>
        <w:pStyle w:val="Heading2"/>
      </w:pPr>
      <w:r>
        <w:t>Principal findings</w:t>
      </w:r>
    </w:p>
    <w:p>
      <w:pPr>
        <w:pStyle w:val="ListBullet"/>
        <w:spacing w:after="40"/>
      </w:pPr>
      <w:r>
        <w:t>The production system is mature. Annual oil production in 2025 was about 84.8% below the 2007 peak.</w:t>
      </w:r>
    </w:p>
    <w:p>
      <w:pPr>
        <w:pStyle w:val="ListBullet"/>
        <w:spacing w:after="40"/>
      </w:pPr>
      <w:r>
        <w:t>The number of active wells remained broadly stable near 123 wells in recent years, while production per active well declined substantially.</w:t>
      </w:r>
    </w:p>
    <w:p>
      <w:pPr>
        <w:pStyle w:val="ListBullet"/>
        <w:spacing w:after="40"/>
      </w:pPr>
      <w:r>
        <w:t>Gas-oil ratio increased over the life of the dataset, indicating progressively more gas relative to oil, although it eased in 2024-2025.</w:t>
      </w:r>
    </w:p>
    <w:p>
      <w:pPr>
        <w:pStyle w:val="ListBullet"/>
        <w:spacing w:after="40"/>
      </w:pPr>
      <w:r>
        <w:t>Water cut has remained elevated at roughly 38-41% in recent years, but is variable and influenced by individual high-water months.</w:t>
      </w:r>
    </w:p>
    <w:p>
      <w:pPr>
        <w:pStyle w:val="ListBullet"/>
        <w:spacing w:after="40"/>
      </w:pPr>
      <w:r>
        <w:t>A hyperbolic decline model fitted to the most recent 120 months gave the best 2025 backtest performance, with MAPE of approximately 5.8%.</w:t>
      </w:r>
    </w:p>
    <w:p>
      <w:pPr>
        <w:pStyle w:val="ListBullet"/>
        <w:spacing w:after="40"/>
      </w:pPr>
      <w:r>
        <w:t>The P50 forecast is 497,842 bbl for 2026 and 480,676 bbl for 2027, representing declines of about 7.0% and 3.4%, respectively.</w:t>
      </w:r>
    </w:p>
    <w:tbl>
      <w:tblPr>
        <w:tblW w:type="auto" w:w="0"/>
        <w:jc w:val="center"/>
        <w:tblLook w:firstColumn="1" w:firstRow="1" w:lastColumn="0" w:lastRow="0" w:noHBand="0" w:noVBand="1" w:val="04A0"/>
        <w:tblBorders>
          <w:top w:val="single" w:sz="4" w:color="EAF2F8"/>
          <w:left w:val="single" w:sz="4" w:color="EAF2F8"/>
          <w:bottom w:val="single" w:sz="4" w:color="EAF2F8"/>
          <w:right w:val="single" w:sz="4" w:color="EAF2F8"/>
          <w:insideH w:val="single" w:sz="4" w:color="EAF2F8"/>
          <w:insideV w:val="single" w:sz="4" w:color="EAF2F8"/>
        </w:tblBorders>
      </w:tblPr>
      <w:tblGrid>
        <w:gridCol w:w="10368"/>
      </w:tblGrid>
      <w:tr>
        <w:tc>
          <w:tcPr>
            <w:tcW w:type="dxa" w:w="10368"/>
            <w:shd w:fill="EAF2F8"/>
            <w:tcMar>
              <w:top w:w="100" w:type="dxa"/>
              <w:start w:w="140" w:type="dxa"/>
              <w:bottom w:w="100" w:type="dxa"/>
              <w:end w:w="140" w:type="dxa"/>
            </w:tcMar>
          </w:tcPr>
          <w:p>
            <w:r>
              <w:rPr>
                <w:b/>
                <w:color w:val="17365D"/>
              </w:rPr>
              <w:t xml:space="preserve">Decision implication: </w:t>
            </w:r>
            <w:r>
              <w:t>Without new drilling or material production optimization, aggregate oil output is expected to continue declining, but at a slower rate than the 2025 year-on-year drop.</w:t>
            </w:r>
          </w:p>
        </w:tc>
      </w:tr>
    </w:tbl>
    <w:p>
      <w:r>
        <w:br w:type="page"/>
      </w:r>
    </w:p>
    <w:p>
      <w:pPr>
        <w:pStyle w:val="Heading1"/>
      </w:pPr>
      <w:r>
        <w:t>2. Dataset scope and variable definitions</w:t>
      </w:r>
    </w:p>
    <w:p>
      <w:r>
        <w:t>Each row represents one well production record for a reporting month. The reporting date is normally the last day of the month; repeated dates are expected because many wells report during the same month.</w:t>
      </w:r>
    </w:p>
    <w:tbl>
      <w:tblPr>
        <w:tblW w:type="auto" w:w="0"/>
        <w:jc w:val="center"/>
        <w:tblLayout w:type="fixed"/>
        <w:tblLook w:firstColumn="1" w:firstRow="1" w:lastColumn="0" w:lastRow="0" w:noHBand="0" w:noVBand="1" w:val="04A0"/>
        <w:tblBorders>
          <w:top w:val="single" w:sz="4" w:color="C9D3DD"/>
          <w:left w:val="single" w:sz="4" w:color="C9D3DD"/>
          <w:bottom w:val="single" w:sz="4" w:color="C9D3DD"/>
          <w:right w:val="single" w:sz="4" w:color="C9D3DD"/>
          <w:insideH w:val="single" w:sz="4" w:color="C9D3DD"/>
          <w:insideV w:val="single" w:sz="4" w:color="C9D3DD"/>
        </w:tblBorders>
      </w:tblPr>
      <w:tblGrid>
        <w:gridCol w:w="5184"/>
        <w:gridCol w:w="5184"/>
      </w:tblGrid>
      <w:tr>
        <w:trPr>
          <w:tblHeader w:val="true"/>
        </w:trPr>
        <w:tc>
          <w:tcPr>
            <w:tcW w:type="dxa" w:w="2232"/>
            <w:shd w:fill="17365D"/>
            <w:tcMar>
              <w:top w:w="70" w:type="dxa"/>
              <w:start w:w="80" w:type="dxa"/>
              <w:bottom w:w="70" w:type="dxa"/>
              <w:end w:w="80" w:type="dxa"/>
            </w:tcMar>
          </w:tcPr>
          <w:p>
            <w:pPr>
              <w:jc w:val="center"/>
            </w:pPr>
            <w:r>
              <w:rPr>
                <w:b/>
                <w:color w:val="FFFFFF"/>
                <w:sz w:val="16"/>
              </w:rPr>
              <w:t>Column</w:t>
            </w:r>
          </w:p>
        </w:tc>
        <w:tc>
          <w:tcPr>
            <w:tcW w:type="dxa" w:w="7992"/>
            <w:shd w:fill="17365D"/>
            <w:tcMar>
              <w:top w:w="70" w:type="dxa"/>
              <w:start w:w="80" w:type="dxa"/>
              <w:bottom w:w="70" w:type="dxa"/>
              <w:end w:w="80" w:type="dxa"/>
            </w:tcMar>
          </w:tcPr>
          <w:p>
            <w:pPr>
              <w:jc w:val="center"/>
            </w:pPr>
            <w:r>
              <w:rPr>
                <w:b/>
                <w:color w:val="FFFFFF"/>
                <w:sz w:val="16"/>
              </w:rPr>
              <w:t>Interpretation</w:t>
            </w:r>
          </w:p>
        </w:tc>
      </w:tr>
      <w:tr>
        <w:tc>
          <w:tcPr>
            <w:tcW w:type="dxa" w:w="2232"/>
            <w:tcMar>
              <w:top w:w="70" w:type="dxa"/>
              <w:start w:w="80" w:type="dxa"/>
              <w:bottom w:w="70" w:type="dxa"/>
              <w:end w:w="80" w:type="dxa"/>
            </w:tcMar>
          </w:tcPr>
          <w:p>
            <w:pPr>
              <w:jc w:val="left"/>
            </w:pPr>
            <w:r>
              <w:rPr>
                <w:sz w:val="16"/>
              </w:rPr>
              <w:t>API #</w:t>
            </w:r>
          </w:p>
        </w:tc>
        <w:tc>
          <w:tcPr>
            <w:tcW w:type="dxa" w:w="7992"/>
            <w:tcMar>
              <w:top w:w="70" w:type="dxa"/>
              <w:start w:w="80" w:type="dxa"/>
              <w:bottom w:w="70" w:type="dxa"/>
              <w:end w:w="80" w:type="dxa"/>
            </w:tcMar>
          </w:tcPr>
          <w:p>
            <w:pPr>
              <w:jc w:val="left"/>
            </w:pPr>
            <w:r>
              <w:rPr>
                <w:sz w:val="16"/>
              </w:rPr>
              <w:t>Unique well identifier. The combination of API number and report month should normally identify one well-month record.</w:t>
            </w:r>
          </w:p>
        </w:tc>
      </w:tr>
      <w:tr>
        <w:tc>
          <w:tcPr>
            <w:tcW w:type="dxa" w:w="2232"/>
            <w:tcMar>
              <w:top w:w="70" w:type="dxa"/>
              <w:start w:w="80" w:type="dxa"/>
              <w:bottom w:w="70" w:type="dxa"/>
              <w:end w:w="80" w:type="dxa"/>
            </w:tcMar>
            <w:shd w:fill="F5F7F9"/>
          </w:tcPr>
          <w:p>
            <w:pPr>
              <w:jc w:val="left"/>
            </w:pPr>
            <w:r>
              <w:rPr>
                <w:sz w:val="16"/>
              </w:rPr>
              <w:t>C</w:t>
            </w:r>
          </w:p>
        </w:tc>
        <w:tc>
          <w:tcPr>
            <w:tcW w:type="dxa" w:w="7992"/>
            <w:tcMar>
              <w:top w:w="70" w:type="dxa"/>
              <w:start w:w="80" w:type="dxa"/>
              <w:bottom w:w="70" w:type="dxa"/>
              <w:end w:w="80" w:type="dxa"/>
            </w:tcMar>
            <w:shd w:fill="F5F7F9"/>
          </w:tcPr>
          <w:p>
            <w:pPr>
              <w:jc w:val="left"/>
            </w:pPr>
            <w:r>
              <w:rPr>
                <w:sz w:val="16"/>
              </w:rPr>
              <w:t>A time field imported as 12:00 AM for every row; it carries no analytical information in this dataset.</w:t>
            </w:r>
          </w:p>
        </w:tc>
      </w:tr>
      <w:tr>
        <w:tc>
          <w:tcPr>
            <w:tcW w:type="dxa" w:w="2232"/>
            <w:tcMar>
              <w:top w:w="70" w:type="dxa"/>
              <w:start w:w="80" w:type="dxa"/>
              <w:bottom w:w="70" w:type="dxa"/>
              <w:end w:w="80" w:type="dxa"/>
            </w:tcMar>
          </w:tcPr>
          <w:p>
            <w:pPr>
              <w:jc w:val="left"/>
            </w:pPr>
            <w:r>
              <w:rPr>
                <w:sz w:val="16"/>
              </w:rPr>
              <w:t>RptDate</w:t>
            </w:r>
          </w:p>
        </w:tc>
        <w:tc>
          <w:tcPr>
            <w:tcW w:type="dxa" w:w="7992"/>
            <w:tcMar>
              <w:top w:w="70" w:type="dxa"/>
              <w:start w:w="80" w:type="dxa"/>
              <w:bottom w:w="70" w:type="dxa"/>
              <w:end w:w="80" w:type="dxa"/>
            </w:tcMar>
          </w:tcPr>
          <w:p>
            <w:pPr>
              <w:jc w:val="left"/>
            </w:pPr>
            <w:r>
              <w:rPr>
                <w:sz w:val="16"/>
              </w:rPr>
              <w:t>End-of-month reporting date for the production period.</w:t>
            </w:r>
          </w:p>
        </w:tc>
      </w:tr>
      <w:tr>
        <w:tc>
          <w:tcPr>
            <w:tcW w:type="dxa" w:w="2232"/>
            <w:tcMar>
              <w:top w:w="70" w:type="dxa"/>
              <w:start w:w="80" w:type="dxa"/>
              <w:bottom w:w="70" w:type="dxa"/>
              <w:end w:w="80" w:type="dxa"/>
            </w:tcMar>
            <w:shd w:fill="F5F7F9"/>
          </w:tcPr>
          <w:p>
            <w:pPr>
              <w:jc w:val="left"/>
            </w:pPr>
            <w:r>
              <w:rPr>
                <w:sz w:val="16"/>
              </w:rPr>
              <w:t>Formation</w:t>
            </w:r>
          </w:p>
        </w:tc>
        <w:tc>
          <w:tcPr>
            <w:tcW w:type="dxa" w:w="7992"/>
            <w:tcMar>
              <w:top w:w="70" w:type="dxa"/>
              <w:start w:w="80" w:type="dxa"/>
              <w:bottom w:w="70" w:type="dxa"/>
              <w:end w:w="80" w:type="dxa"/>
            </w:tcMar>
            <w:shd w:fill="F5F7F9"/>
          </w:tcPr>
          <w:p>
            <w:pPr>
              <w:jc w:val="left"/>
            </w:pPr>
            <w:r>
              <w:rPr>
                <w:sz w:val="16"/>
              </w:rPr>
              <w:t>Producing geological formation; all records in the workbook are labeled Bakken.</w:t>
            </w:r>
          </w:p>
        </w:tc>
      </w:tr>
      <w:tr>
        <w:tc>
          <w:tcPr>
            <w:tcW w:type="dxa" w:w="2232"/>
            <w:tcMar>
              <w:top w:w="70" w:type="dxa"/>
              <w:start w:w="80" w:type="dxa"/>
              <w:bottom w:w="70" w:type="dxa"/>
              <w:end w:w="80" w:type="dxa"/>
            </w:tcMar>
          </w:tcPr>
          <w:p>
            <w:pPr>
              <w:jc w:val="left"/>
            </w:pPr>
            <w:r>
              <w:rPr>
                <w:sz w:val="16"/>
              </w:rPr>
              <w:t>Lease_Unit</w:t>
            </w:r>
          </w:p>
        </w:tc>
        <w:tc>
          <w:tcPr>
            <w:tcW w:type="dxa" w:w="7992"/>
            <w:tcMar>
              <w:top w:w="70" w:type="dxa"/>
              <w:start w:w="80" w:type="dxa"/>
              <w:bottom w:w="70" w:type="dxa"/>
              <w:end w:w="80" w:type="dxa"/>
            </w:tcMar>
          </w:tcPr>
          <w:p>
            <w:pPr>
              <w:jc w:val="left"/>
            </w:pPr>
            <w:r>
              <w:rPr>
                <w:sz w:val="16"/>
              </w:rPr>
              <w:t>Lease or unit identifier associated with the well.</w:t>
            </w:r>
          </w:p>
        </w:tc>
      </w:tr>
      <w:tr>
        <w:tc>
          <w:tcPr>
            <w:tcW w:type="dxa" w:w="2232"/>
            <w:tcMar>
              <w:top w:w="70" w:type="dxa"/>
              <w:start w:w="80" w:type="dxa"/>
              <w:bottom w:w="70" w:type="dxa"/>
              <w:end w:w="80" w:type="dxa"/>
            </w:tcMar>
            <w:shd w:fill="F5F7F9"/>
          </w:tcPr>
          <w:p>
            <w:pPr>
              <w:jc w:val="left"/>
            </w:pPr>
            <w:r>
              <w:rPr>
                <w:sz w:val="16"/>
              </w:rPr>
              <w:t>BBLS_OIL_COND</w:t>
            </w:r>
          </w:p>
        </w:tc>
        <w:tc>
          <w:tcPr>
            <w:tcW w:type="dxa" w:w="7992"/>
            <w:tcMar>
              <w:top w:w="70" w:type="dxa"/>
              <w:start w:w="80" w:type="dxa"/>
              <w:bottom w:w="70" w:type="dxa"/>
              <w:end w:w="80" w:type="dxa"/>
            </w:tcMar>
            <w:shd w:fill="F5F7F9"/>
          </w:tcPr>
          <w:p>
            <w:pPr>
              <w:jc w:val="left"/>
            </w:pPr>
            <w:r>
              <w:rPr>
                <w:sz w:val="16"/>
              </w:rPr>
              <w:t>Monthly oil or condensate volume in barrels.</w:t>
            </w:r>
          </w:p>
        </w:tc>
      </w:tr>
      <w:tr>
        <w:tc>
          <w:tcPr>
            <w:tcW w:type="dxa" w:w="2232"/>
            <w:tcMar>
              <w:top w:w="70" w:type="dxa"/>
              <w:start w:w="80" w:type="dxa"/>
              <w:bottom w:w="70" w:type="dxa"/>
              <w:end w:w="80" w:type="dxa"/>
            </w:tcMar>
          </w:tcPr>
          <w:p>
            <w:pPr>
              <w:jc w:val="left"/>
            </w:pPr>
            <w:r>
              <w:rPr>
                <w:sz w:val="16"/>
              </w:rPr>
              <w:t>MCF_GAS</w:t>
            </w:r>
          </w:p>
        </w:tc>
        <w:tc>
          <w:tcPr>
            <w:tcW w:type="dxa" w:w="7992"/>
            <w:tcMar>
              <w:top w:w="70" w:type="dxa"/>
              <w:start w:w="80" w:type="dxa"/>
              <w:bottom w:w="70" w:type="dxa"/>
              <w:end w:w="80" w:type="dxa"/>
            </w:tcMar>
          </w:tcPr>
          <w:p>
            <w:pPr>
              <w:jc w:val="left"/>
            </w:pPr>
            <w:r>
              <w:rPr>
                <w:sz w:val="16"/>
              </w:rPr>
              <w:t>Monthly natural-gas volume in thousand cubic feet.</w:t>
            </w:r>
          </w:p>
        </w:tc>
      </w:tr>
      <w:tr>
        <w:tc>
          <w:tcPr>
            <w:tcW w:type="dxa" w:w="2232"/>
            <w:tcMar>
              <w:top w:w="70" w:type="dxa"/>
              <w:start w:w="80" w:type="dxa"/>
              <w:bottom w:w="70" w:type="dxa"/>
              <w:end w:w="80" w:type="dxa"/>
            </w:tcMar>
            <w:shd w:fill="F5F7F9"/>
          </w:tcPr>
          <w:p>
            <w:pPr>
              <w:jc w:val="left"/>
            </w:pPr>
            <w:r>
              <w:rPr>
                <w:sz w:val="16"/>
              </w:rPr>
              <w:t>BBLS_WTR</w:t>
            </w:r>
          </w:p>
        </w:tc>
        <w:tc>
          <w:tcPr>
            <w:tcW w:type="dxa" w:w="7992"/>
            <w:tcMar>
              <w:top w:w="70" w:type="dxa"/>
              <w:start w:w="80" w:type="dxa"/>
              <w:bottom w:w="70" w:type="dxa"/>
              <w:end w:w="80" w:type="dxa"/>
            </w:tcMar>
            <w:shd w:fill="F5F7F9"/>
          </w:tcPr>
          <w:p>
            <w:pPr>
              <w:jc w:val="left"/>
            </w:pPr>
            <w:r>
              <w:rPr>
                <w:sz w:val="16"/>
              </w:rPr>
              <w:t>Monthly produced-water volume in barrels.</w:t>
            </w:r>
          </w:p>
        </w:tc>
      </w:tr>
      <w:tr>
        <w:tc>
          <w:tcPr>
            <w:tcW w:type="dxa" w:w="2232"/>
            <w:tcMar>
              <w:top w:w="70" w:type="dxa"/>
              <w:start w:w="80" w:type="dxa"/>
              <w:bottom w:w="70" w:type="dxa"/>
              <w:end w:w="80" w:type="dxa"/>
            </w:tcMar>
          </w:tcPr>
          <w:p>
            <w:pPr>
              <w:jc w:val="left"/>
            </w:pPr>
            <w:r>
              <w:rPr>
                <w:sz w:val="16"/>
              </w:rPr>
              <w:t>DAYS_PROD</w:t>
            </w:r>
          </w:p>
        </w:tc>
        <w:tc>
          <w:tcPr>
            <w:tcW w:type="dxa" w:w="7992"/>
            <w:tcMar>
              <w:top w:w="70" w:type="dxa"/>
              <w:start w:w="80" w:type="dxa"/>
              <w:bottom w:w="70" w:type="dxa"/>
              <w:end w:w="80" w:type="dxa"/>
            </w:tcMar>
          </w:tcPr>
          <w:p>
            <w:pPr>
              <w:jc w:val="left"/>
            </w:pPr>
            <w:r>
              <w:rPr>
                <w:sz w:val="16"/>
              </w:rPr>
              <w:t>Number of producing days reported for the well in that month.</w:t>
            </w:r>
          </w:p>
        </w:tc>
      </w:tr>
    </w:tbl>
    <w:p/>
    <w:p>
      <w:pPr>
        <w:pStyle w:val="Heading2"/>
      </w:pPr>
      <w:r>
        <w:t>Analytical scope</w:t>
      </w:r>
    </w:p>
    <w:p>
      <w:pPr>
        <w:pStyle w:val="ListBullet"/>
        <w:spacing w:after="40"/>
      </w:pPr>
      <w:r>
        <w:t>Monthly and annual aggregation of oil, gas and water.</w:t>
      </w:r>
    </w:p>
    <w:p>
      <w:pPr>
        <w:pStyle w:val="ListBullet"/>
        <w:spacing w:after="40"/>
      </w:pPr>
      <w:r>
        <w:t>Calendar-day field rates, active-well counts and oil per active well-month.</w:t>
      </w:r>
    </w:p>
    <w:p>
      <w:pPr>
        <w:pStyle w:val="ListBullet"/>
        <w:spacing w:after="40"/>
      </w:pPr>
      <w:r>
        <w:t>Gas-oil ratio and water-cut trend analysis.</w:t>
      </w:r>
    </w:p>
    <w:p>
      <w:pPr>
        <w:pStyle w:val="ListBullet"/>
        <w:spacing w:after="40"/>
      </w:pPr>
      <w:r>
        <w:t>Well ranking by cumulative oil and recent production.</w:t>
      </w:r>
    </w:p>
    <w:p>
      <w:pPr>
        <w:pStyle w:val="ListBullet"/>
        <w:spacing w:after="40"/>
      </w:pPr>
      <w:r>
        <w:t>Aggregate decline-curve forecasting through December 2027.</w:t>
      </w:r>
    </w:p>
    <w:p>
      <w:r>
        <w:br w:type="page"/>
      </w:r>
    </w:p>
    <w:p>
      <w:pPr>
        <w:pStyle w:val="Heading1"/>
      </w:pPr>
      <w:r>
        <w:t>3. Data quality and preprocessing</w:t>
      </w:r>
    </w:p>
    <w:p>
      <w:r>
        <w:t>Data cleaning was performed before trend calculation and forecasting. Exact duplicates were removed, while negative production values were retained as likely reporting corrections or reversals.</w:t>
      </w:r>
    </w:p>
    <w:tbl>
      <w:tblPr>
        <w:tblW w:type="auto" w:w="0"/>
        <w:jc w:val="center"/>
        <w:tblLayout w:type="fixed"/>
        <w:tblLook w:firstColumn="1" w:firstRow="1" w:lastColumn="0" w:lastRow="0" w:noHBand="0" w:noVBand="1" w:val="04A0"/>
        <w:tblBorders>
          <w:top w:val="single" w:sz="4" w:color="C9D3DD"/>
          <w:left w:val="single" w:sz="4" w:color="C9D3DD"/>
          <w:bottom w:val="single" w:sz="4" w:color="C9D3DD"/>
          <w:right w:val="single" w:sz="4" w:color="C9D3DD"/>
          <w:insideH w:val="single" w:sz="4" w:color="C9D3DD"/>
          <w:insideV w:val="single" w:sz="4" w:color="C9D3DD"/>
        </w:tblBorders>
      </w:tblPr>
      <w:tblGrid>
        <w:gridCol w:w="3456"/>
        <w:gridCol w:w="3456"/>
        <w:gridCol w:w="3456"/>
      </w:tblGrid>
      <w:tr>
        <w:trPr>
          <w:tblHeader w:val="true"/>
        </w:trPr>
        <w:tc>
          <w:tcPr>
            <w:tcW w:type="dxa" w:w="2592"/>
            <w:shd w:fill="17365D"/>
            <w:tcMar>
              <w:top w:w="70" w:type="dxa"/>
              <w:start w:w="80" w:type="dxa"/>
              <w:bottom w:w="70" w:type="dxa"/>
              <w:end w:w="80" w:type="dxa"/>
            </w:tcMar>
          </w:tcPr>
          <w:p>
            <w:pPr>
              <w:jc w:val="center"/>
            </w:pPr>
            <w:r>
              <w:rPr>
                <w:b/>
                <w:color w:val="FFFFFF"/>
                <w:sz w:val="16"/>
              </w:rPr>
              <w:t>Check</w:t>
            </w:r>
          </w:p>
        </w:tc>
        <w:tc>
          <w:tcPr>
            <w:tcW w:type="dxa" w:w="1728"/>
            <w:shd w:fill="17365D"/>
            <w:tcMar>
              <w:top w:w="70" w:type="dxa"/>
              <w:start w:w="80" w:type="dxa"/>
              <w:bottom w:w="70" w:type="dxa"/>
              <w:end w:w="80" w:type="dxa"/>
            </w:tcMar>
          </w:tcPr>
          <w:p>
            <w:pPr>
              <w:jc w:val="center"/>
            </w:pPr>
            <w:r>
              <w:rPr>
                <w:b/>
                <w:color w:val="FFFFFF"/>
                <w:sz w:val="16"/>
              </w:rPr>
              <w:t>Result</w:t>
            </w:r>
          </w:p>
        </w:tc>
        <w:tc>
          <w:tcPr>
            <w:tcW w:type="dxa" w:w="5904"/>
            <w:shd w:fill="17365D"/>
            <w:tcMar>
              <w:top w:w="70" w:type="dxa"/>
              <w:start w:w="80" w:type="dxa"/>
              <w:bottom w:w="70" w:type="dxa"/>
              <w:end w:w="80" w:type="dxa"/>
            </w:tcMar>
          </w:tcPr>
          <w:p>
            <w:pPr>
              <w:jc w:val="center"/>
            </w:pPr>
            <w:r>
              <w:rPr>
                <w:b/>
                <w:color w:val="FFFFFF"/>
                <w:sz w:val="16"/>
              </w:rPr>
              <w:t>Treatment</w:t>
            </w:r>
          </w:p>
        </w:tc>
      </w:tr>
      <w:tr>
        <w:tc>
          <w:tcPr>
            <w:tcW w:type="dxa" w:w="2592"/>
            <w:tcMar>
              <w:top w:w="70" w:type="dxa"/>
              <w:start w:w="80" w:type="dxa"/>
              <w:bottom w:w="70" w:type="dxa"/>
              <w:end w:w="80" w:type="dxa"/>
            </w:tcMar>
          </w:tcPr>
          <w:p>
            <w:pPr>
              <w:jc w:val="left"/>
            </w:pPr>
            <w:r>
              <w:rPr>
                <w:sz w:val="16"/>
              </w:rPr>
              <w:t>Raw records</w:t>
            </w:r>
          </w:p>
        </w:tc>
        <w:tc>
          <w:tcPr>
            <w:tcW w:type="dxa" w:w="1728"/>
            <w:tcMar>
              <w:top w:w="70" w:type="dxa"/>
              <w:start w:w="80" w:type="dxa"/>
              <w:bottom w:w="70" w:type="dxa"/>
              <w:end w:w="80" w:type="dxa"/>
            </w:tcMar>
          </w:tcPr>
          <w:p>
            <w:pPr>
              <w:jc w:val="left"/>
            </w:pPr>
            <w:r>
              <w:rPr>
                <w:sz w:val="16"/>
              </w:rPr>
              <w:t>29,692</w:t>
            </w:r>
          </w:p>
        </w:tc>
        <w:tc>
          <w:tcPr>
            <w:tcW w:type="dxa" w:w="5904"/>
            <w:tcMar>
              <w:top w:w="70" w:type="dxa"/>
              <w:start w:w="80" w:type="dxa"/>
              <w:bottom w:w="70" w:type="dxa"/>
              <w:end w:w="80" w:type="dxa"/>
            </w:tcMar>
          </w:tcPr>
          <w:p>
            <w:pPr>
              <w:jc w:val="left"/>
            </w:pPr>
            <w:r>
              <w:rPr>
                <w:sz w:val="16"/>
              </w:rPr>
              <w:t>Input workbook row count.</w:t>
            </w:r>
          </w:p>
        </w:tc>
      </w:tr>
      <w:tr>
        <w:tc>
          <w:tcPr>
            <w:tcW w:type="dxa" w:w="2592"/>
            <w:tcMar>
              <w:top w:w="70" w:type="dxa"/>
              <w:start w:w="80" w:type="dxa"/>
              <w:bottom w:w="70" w:type="dxa"/>
              <w:end w:w="80" w:type="dxa"/>
            </w:tcMar>
            <w:shd w:fill="F5F7F9"/>
          </w:tcPr>
          <w:p>
            <w:pPr>
              <w:jc w:val="left"/>
            </w:pPr>
            <w:r>
              <w:rPr>
                <w:sz w:val="16"/>
              </w:rPr>
              <w:t>Exact duplicate records</w:t>
            </w:r>
          </w:p>
        </w:tc>
        <w:tc>
          <w:tcPr>
            <w:tcW w:type="dxa" w:w="1728"/>
            <w:tcMar>
              <w:top w:w="70" w:type="dxa"/>
              <w:start w:w="80" w:type="dxa"/>
              <w:bottom w:w="70" w:type="dxa"/>
              <w:end w:w="80" w:type="dxa"/>
            </w:tcMar>
            <w:shd w:fill="F5F7F9"/>
          </w:tcPr>
          <w:p>
            <w:pPr>
              <w:jc w:val="left"/>
            </w:pPr>
            <w:r>
              <w:rPr>
                <w:sz w:val="16"/>
              </w:rPr>
              <w:t>250</w:t>
            </w:r>
          </w:p>
        </w:tc>
        <w:tc>
          <w:tcPr>
            <w:tcW w:type="dxa" w:w="5904"/>
            <w:tcMar>
              <w:top w:w="70" w:type="dxa"/>
              <w:start w:w="80" w:type="dxa"/>
              <w:bottom w:w="70" w:type="dxa"/>
              <w:end w:w="80" w:type="dxa"/>
            </w:tcMar>
            <w:shd w:fill="F5F7F9"/>
          </w:tcPr>
          <w:p>
            <w:pPr>
              <w:jc w:val="left"/>
            </w:pPr>
            <w:r>
              <w:rPr>
                <w:sz w:val="16"/>
              </w:rPr>
              <w:t>All duplicates belonged to API 25-083-22199-00-00 and repeated 250 monthly records.</w:t>
            </w:r>
          </w:p>
        </w:tc>
      </w:tr>
      <w:tr>
        <w:tc>
          <w:tcPr>
            <w:tcW w:type="dxa" w:w="2592"/>
            <w:tcMar>
              <w:top w:w="70" w:type="dxa"/>
              <w:start w:w="80" w:type="dxa"/>
              <w:bottom w:w="70" w:type="dxa"/>
              <w:end w:w="80" w:type="dxa"/>
            </w:tcMar>
          </w:tcPr>
          <w:p>
            <w:pPr>
              <w:jc w:val="left"/>
            </w:pPr>
            <w:r>
              <w:rPr>
                <w:sz w:val="16"/>
              </w:rPr>
              <w:t>Clean records</w:t>
            </w:r>
          </w:p>
        </w:tc>
        <w:tc>
          <w:tcPr>
            <w:tcW w:type="dxa" w:w="1728"/>
            <w:tcMar>
              <w:top w:w="70" w:type="dxa"/>
              <w:start w:w="80" w:type="dxa"/>
              <w:bottom w:w="70" w:type="dxa"/>
              <w:end w:w="80" w:type="dxa"/>
            </w:tcMar>
          </w:tcPr>
          <w:p>
            <w:pPr>
              <w:jc w:val="left"/>
            </w:pPr>
            <w:r>
              <w:rPr>
                <w:sz w:val="16"/>
              </w:rPr>
              <w:t>29,442</w:t>
            </w:r>
          </w:p>
        </w:tc>
        <w:tc>
          <w:tcPr>
            <w:tcW w:type="dxa" w:w="5904"/>
            <w:tcMar>
              <w:top w:w="70" w:type="dxa"/>
              <w:start w:w="80" w:type="dxa"/>
              <w:bottom w:w="70" w:type="dxa"/>
              <w:end w:w="80" w:type="dxa"/>
            </w:tcMar>
          </w:tcPr>
          <w:p>
            <w:pPr>
              <w:jc w:val="left"/>
            </w:pPr>
            <w:r>
              <w:rPr>
                <w:sz w:val="16"/>
              </w:rPr>
              <w:t>Used for all results in this report.</w:t>
            </w:r>
          </w:p>
        </w:tc>
      </w:tr>
      <w:tr>
        <w:tc>
          <w:tcPr>
            <w:tcW w:type="dxa" w:w="2592"/>
            <w:tcMar>
              <w:top w:w="70" w:type="dxa"/>
              <w:start w:w="80" w:type="dxa"/>
              <w:bottom w:w="70" w:type="dxa"/>
              <w:end w:w="80" w:type="dxa"/>
            </w:tcMar>
            <w:shd w:fill="F5F7F9"/>
          </w:tcPr>
          <w:p>
            <w:pPr>
              <w:jc w:val="left"/>
            </w:pPr>
            <w:r>
              <w:rPr>
                <w:sz w:val="16"/>
              </w:rPr>
              <w:t>Missing values</w:t>
            </w:r>
          </w:p>
        </w:tc>
        <w:tc>
          <w:tcPr>
            <w:tcW w:type="dxa" w:w="1728"/>
            <w:tcMar>
              <w:top w:w="70" w:type="dxa"/>
              <w:start w:w="80" w:type="dxa"/>
              <w:bottom w:w="70" w:type="dxa"/>
              <w:end w:w="80" w:type="dxa"/>
            </w:tcMar>
            <w:shd w:fill="F5F7F9"/>
          </w:tcPr>
          <w:p>
            <w:pPr>
              <w:jc w:val="left"/>
            </w:pPr>
            <w:r>
              <w:rPr>
                <w:sz w:val="16"/>
              </w:rPr>
              <w:t>0</w:t>
            </w:r>
          </w:p>
        </w:tc>
        <w:tc>
          <w:tcPr>
            <w:tcW w:type="dxa" w:w="5904"/>
            <w:tcMar>
              <w:top w:w="70" w:type="dxa"/>
              <w:start w:w="80" w:type="dxa"/>
              <w:bottom w:w="70" w:type="dxa"/>
              <w:end w:w="80" w:type="dxa"/>
            </w:tcMar>
            <w:shd w:fill="F5F7F9"/>
          </w:tcPr>
          <w:p>
            <w:pPr>
              <w:jc w:val="left"/>
            </w:pPr>
            <w:r>
              <w:rPr>
                <w:sz w:val="16"/>
              </w:rPr>
              <w:t>No missing values in the nine supplied columns.</w:t>
            </w:r>
          </w:p>
        </w:tc>
      </w:tr>
      <w:tr>
        <w:tc>
          <w:tcPr>
            <w:tcW w:type="dxa" w:w="2592"/>
            <w:tcMar>
              <w:top w:w="70" w:type="dxa"/>
              <w:start w:w="80" w:type="dxa"/>
              <w:bottom w:w="70" w:type="dxa"/>
              <w:end w:w="80" w:type="dxa"/>
            </w:tcMar>
          </w:tcPr>
          <w:p>
            <w:pPr>
              <w:jc w:val="left"/>
            </w:pPr>
            <w:r>
              <w:rPr>
                <w:sz w:val="16"/>
              </w:rPr>
              <w:t>DAYS_PROD &gt; 31</w:t>
            </w:r>
          </w:p>
        </w:tc>
        <w:tc>
          <w:tcPr>
            <w:tcW w:type="dxa" w:w="1728"/>
            <w:tcMar>
              <w:top w:w="70" w:type="dxa"/>
              <w:start w:w="80" w:type="dxa"/>
              <w:bottom w:w="70" w:type="dxa"/>
              <w:end w:w="80" w:type="dxa"/>
            </w:tcMar>
          </w:tcPr>
          <w:p>
            <w:pPr>
              <w:jc w:val="left"/>
            </w:pPr>
            <w:r>
              <w:rPr>
                <w:sz w:val="16"/>
              </w:rPr>
              <w:t>1</w:t>
            </w:r>
          </w:p>
        </w:tc>
        <w:tc>
          <w:tcPr>
            <w:tcW w:type="dxa" w:w="5904"/>
            <w:tcMar>
              <w:top w:w="70" w:type="dxa"/>
              <w:start w:w="80" w:type="dxa"/>
              <w:bottom w:w="70" w:type="dxa"/>
              <w:end w:w="80" w:type="dxa"/>
            </w:tcMar>
          </w:tcPr>
          <w:p>
            <w:pPr>
              <w:jc w:val="left"/>
            </w:pPr>
            <w:r>
              <w:rPr>
                <w:sz w:val="16"/>
              </w:rPr>
              <w:t>One record reports 73 days; flagged as invalid but does not affect calendar-day field-rate forecasting.</w:t>
            </w:r>
          </w:p>
        </w:tc>
      </w:tr>
      <w:tr>
        <w:tc>
          <w:tcPr>
            <w:tcW w:type="dxa" w:w="2592"/>
            <w:tcMar>
              <w:top w:w="70" w:type="dxa"/>
              <w:start w:w="80" w:type="dxa"/>
              <w:bottom w:w="70" w:type="dxa"/>
              <w:end w:w="80" w:type="dxa"/>
            </w:tcMar>
            <w:shd w:fill="F5F7F9"/>
          </w:tcPr>
          <w:p>
            <w:pPr>
              <w:jc w:val="left"/>
            </w:pPr>
            <w:r>
              <w:rPr>
                <w:sz w:val="16"/>
              </w:rPr>
              <w:t>DAYS_PROD = 0</w:t>
            </w:r>
          </w:p>
        </w:tc>
        <w:tc>
          <w:tcPr>
            <w:tcW w:type="dxa" w:w="1728"/>
            <w:tcMar>
              <w:top w:w="70" w:type="dxa"/>
              <w:start w:w="80" w:type="dxa"/>
              <w:bottom w:w="70" w:type="dxa"/>
              <w:end w:w="80" w:type="dxa"/>
            </w:tcMar>
            <w:shd w:fill="F5F7F9"/>
          </w:tcPr>
          <w:p>
            <w:pPr>
              <w:jc w:val="left"/>
            </w:pPr>
            <w:r>
              <w:rPr>
                <w:sz w:val="16"/>
              </w:rPr>
              <w:t>1,135</w:t>
            </w:r>
          </w:p>
        </w:tc>
        <w:tc>
          <w:tcPr>
            <w:tcW w:type="dxa" w:w="5904"/>
            <w:tcMar>
              <w:top w:w="70" w:type="dxa"/>
              <w:start w:w="80" w:type="dxa"/>
              <w:bottom w:w="70" w:type="dxa"/>
              <w:end w:w="80" w:type="dxa"/>
            </w:tcMar>
            <w:shd w:fill="F5F7F9"/>
          </w:tcPr>
          <w:p>
            <w:pPr>
              <w:jc w:val="left"/>
            </w:pPr>
            <w:r>
              <w:rPr>
                <w:sz w:val="16"/>
              </w:rPr>
              <w:t>Represents reported months with no producing days.</w:t>
            </w:r>
          </w:p>
        </w:tc>
      </w:tr>
      <w:tr>
        <w:tc>
          <w:tcPr>
            <w:tcW w:type="dxa" w:w="2592"/>
            <w:tcMar>
              <w:top w:w="70" w:type="dxa"/>
              <w:start w:w="80" w:type="dxa"/>
              <w:bottom w:w="70" w:type="dxa"/>
              <w:end w:w="80" w:type="dxa"/>
            </w:tcMar>
          </w:tcPr>
          <w:p>
            <w:pPr>
              <w:jc w:val="left"/>
            </w:pPr>
            <w:r>
              <w:rPr>
                <w:sz w:val="16"/>
              </w:rPr>
              <w:t>Negative oil values</w:t>
            </w:r>
          </w:p>
        </w:tc>
        <w:tc>
          <w:tcPr>
            <w:tcW w:type="dxa" w:w="1728"/>
            <w:tcMar>
              <w:top w:w="70" w:type="dxa"/>
              <w:start w:w="80" w:type="dxa"/>
              <w:bottom w:w="70" w:type="dxa"/>
              <w:end w:w="80" w:type="dxa"/>
            </w:tcMar>
          </w:tcPr>
          <w:p>
            <w:pPr>
              <w:jc w:val="left"/>
            </w:pPr>
            <w:r>
              <w:rPr>
                <w:sz w:val="16"/>
              </w:rPr>
              <w:t>5</w:t>
            </w:r>
          </w:p>
        </w:tc>
        <w:tc>
          <w:tcPr>
            <w:tcW w:type="dxa" w:w="5904"/>
            <w:tcMar>
              <w:top w:w="70" w:type="dxa"/>
              <w:start w:w="80" w:type="dxa"/>
              <w:bottom w:w="70" w:type="dxa"/>
              <w:end w:w="80" w:type="dxa"/>
            </w:tcMar>
          </w:tcPr>
          <w:p>
            <w:pPr>
              <w:jc w:val="left"/>
            </w:pPr>
            <w:r>
              <w:rPr>
                <w:sz w:val="16"/>
              </w:rPr>
              <w:t>Small correction entries; retained in aggregate totals.</w:t>
            </w:r>
          </w:p>
        </w:tc>
      </w:tr>
      <w:tr>
        <w:tc>
          <w:tcPr>
            <w:tcW w:type="dxa" w:w="2592"/>
            <w:tcMar>
              <w:top w:w="70" w:type="dxa"/>
              <w:start w:w="80" w:type="dxa"/>
              <w:bottom w:w="70" w:type="dxa"/>
              <w:end w:w="80" w:type="dxa"/>
            </w:tcMar>
            <w:shd w:fill="F5F7F9"/>
          </w:tcPr>
          <w:p>
            <w:pPr>
              <w:jc w:val="left"/>
            </w:pPr>
            <w:r>
              <w:rPr>
                <w:sz w:val="16"/>
              </w:rPr>
              <w:t>Negative water values</w:t>
            </w:r>
          </w:p>
        </w:tc>
        <w:tc>
          <w:tcPr>
            <w:tcW w:type="dxa" w:w="1728"/>
            <w:tcMar>
              <w:top w:w="70" w:type="dxa"/>
              <w:start w:w="80" w:type="dxa"/>
              <w:bottom w:w="70" w:type="dxa"/>
              <w:end w:w="80" w:type="dxa"/>
            </w:tcMar>
            <w:shd w:fill="F5F7F9"/>
          </w:tcPr>
          <w:p>
            <w:pPr>
              <w:jc w:val="left"/>
            </w:pPr>
            <w:r>
              <w:rPr>
                <w:sz w:val="16"/>
              </w:rPr>
              <w:t>10</w:t>
            </w:r>
          </w:p>
        </w:tc>
        <w:tc>
          <w:tcPr>
            <w:tcW w:type="dxa" w:w="5904"/>
            <w:tcMar>
              <w:top w:w="70" w:type="dxa"/>
              <w:start w:w="80" w:type="dxa"/>
              <w:bottom w:w="70" w:type="dxa"/>
              <w:end w:w="80" w:type="dxa"/>
            </w:tcMar>
            <w:shd w:fill="F5F7F9"/>
          </w:tcPr>
          <w:p>
            <w:pPr>
              <w:jc w:val="left"/>
            </w:pPr>
            <w:r>
              <w:rPr>
                <w:sz w:val="16"/>
              </w:rPr>
              <w:t>Correction entries; retained in aggregate totals.</w:t>
            </w:r>
          </w:p>
        </w:tc>
      </w:tr>
    </w:tbl>
    <w:p/>
    <w:p>
      <w:pPr>
        <w:pStyle w:val="Heading2"/>
      </w:pPr>
      <w:r>
        <w:t>Preprocessing rules</w:t>
      </w:r>
    </w:p>
    <w:p>
      <w:pPr>
        <w:pStyle w:val="ListNumber"/>
        <w:spacing w:after="40"/>
      </w:pPr>
      <w:r>
        <w:t>Converted report dates to monthly timestamps and sorted chronologically.</w:t>
      </w:r>
    </w:p>
    <w:p>
      <w:pPr>
        <w:pStyle w:val="ListNumber"/>
        <w:spacing w:after="40"/>
      </w:pPr>
      <w:r>
        <w:t>Removed only exact duplicate rows; no interpolation was used for production volumes.</w:t>
      </w:r>
    </w:p>
    <w:p>
      <w:pPr>
        <w:pStyle w:val="ListNumber"/>
        <w:spacing w:after="40"/>
      </w:pPr>
      <w:r>
        <w:t>Aggregated production by month and divided by calendar days to obtain field BOPD.</w:t>
      </w:r>
    </w:p>
    <w:p>
      <w:pPr>
        <w:pStyle w:val="ListNumber"/>
        <w:spacing w:after="40"/>
      </w:pPr>
      <w:r>
        <w:t>Defined an active well as a row with DAYS_PROD greater than zero.</w:t>
      </w:r>
    </w:p>
    <w:p>
      <w:pPr>
        <w:pStyle w:val="ListNumber"/>
        <w:spacing w:after="40"/>
      </w:pPr>
      <w:r>
        <w:t>Used total monthly oil as the forecast target; the DAYS_PROD anomaly was therefore not used in model fitting.</w:t>
      </w:r>
    </w:p>
    <w:tbl>
      <w:tblPr>
        <w:tblW w:type="auto" w:w="0"/>
        <w:jc w:val="center"/>
        <w:tblLook w:firstColumn="1" w:firstRow="1" w:lastColumn="0" w:lastRow="0" w:noHBand="0" w:noVBand="1" w:val="04A0"/>
        <w:tblBorders>
          <w:top w:val="single" w:sz="4" w:color="EAF2F8"/>
          <w:left w:val="single" w:sz="4" w:color="EAF2F8"/>
          <w:bottom w:val="single" w:sz="4" w:color="EAF2F8"/>
          <w:right w:val="single" w:sz="4" w:color="EAF2F8"/>
          <w:insideH w:val="single" w:sz="4" w:color="EAF2F8"/>
          <w:insideV w:val="single" w:sz="4" w:color="EAF2F8"/>
        </w:tblBorders>
      </w:tblPr>
      <w:tblGrid>
        <w:gridCol w:w="10368"/>
      </w:tblGrid>
      <w:tr>
        <w:tc>
          <w:tcPr>
            <w:tcW w:type="dxa" w:w="10368"/>
            <w:shd w:fill="EAF2F8"/>
            <w:tcMar>
              <w:top w:w="100" w:type="dxa"/>
              <w:start w:w="140" w:type="dxa"/>
              <w:bottom w:w="100" w:type="dxa"/>
              <w:end w:w="140" w:type="dxa"/>
            </w:tcMar>
          </w:tcPr>
          <w:p>
            <w:r>
              <w:rPr>
                <w:b/>
                <w:color w:val="17365D"/>
              </w:rPr>
              <w:t xml:space="preserve">Important correction: </w:t>
            </w:r>
            <w:r>
              <w:t>The cleaned 2024 and 2025 oil totals are 582,214 bbl and 535,289 bbl. These values supersede preliminary totals calculated before duplicate removal.</w:t>
            </w:r>
          </w:p>
        </w:tc>
      </w:tr>
    </w:tbl>
    <w:p>
      <w:r>
        <w:br w:type="page"/>
      </w:r>
    </w:p>
    <w:p>
      <w:pPr>
        <w:pStyle w:val="Heading1"/>
      </w:pPr>
      <w:r>
        <w:t>4. Monthly oil production history</w:t>
      </w:r>
    </w:p>
    <w:p>
      <w:pPr>
        <w:spacing w:after="0"/>
        <w:jc w:val="center"/>
      </w:pPr>
      <w:r>
        <w:drawing>
          <wp:inline xmlns:a="http://schemas.openxmlformats.org/drawingml/2006/main" xmlns:pic="http://schemas.openxmlformats.org/drawingml/2006/picture">
            <wp:extent cx="6492240" cy="3352332"/>
            <wp:docPr id="1" name="Picture 1"/>
            <wp:cNvGraphicFramePr>
              <a:graphicFrameLocks noChangeAspect="1"/>
            </wp:cNvGraphicFramePr>
            <a:graphic>
              <a:graphicData uri="http://schemas.openxmlformats.org/drawingml/2006/picture">
                <pic:pic>
                  <pic:nvPicPr>
                    <pic:cNvPr id="0" name="fig01_monthly_oil.png"/>
                    <pic:cNvPicPr/>
                  </pic:nvPicPr>
                  <pic:blipFill>
                    <a:blip r:embed="rId11"/>
                    <a:stretch>
                      <a:fillRect/>
                    </a:stretch>
                  </pic:blipFill>
                  <pic:spPr>
                    <a:xfrm>
                      <a:off x="0" y="0"/>
                      <a:ext cx="6492240" cy="3352332"/>
                    </a:xfrm>
                    <a:prstGeom prst="rect"/>
                  </pic:spPr>
                </pic:pic>
              </a:graphicData>
            </a:graphic>
          </wp:inline>
        </w:drawing>
      </w:r>
    </w:p>
    <w:p>
      <w:pPr>
        <w:pStyle w:val="FigureCaption"/>
      </w:pPr>
      <w:r>
        <w:t>Figure 1. Monthly oil production and 12-month moving average, May 2003 - December 2025.</w:t>
      </w:r>
    </w:p>
    <w:p>
      <w:r>
        <w:t>Monthly production rose rapidly after 2003 as wells entered the dataset. The highest monthly oil volume was 333,099 bbl in December 2006. The 12-month moving average shows a broad decline after the 2006-2008 plateau, interrupted by shorter periods of stabilization or recovery.</w:t>
      </w:r>
    </w:p>
    <w:p>
      <w:pPr>
        <w:pStyle w:val="Heading2"/>
      </w:pPr>
      <w:r>
        <w:t>Trend interpretation</w:t>
      </w:r>
    </w:p>
    <w:p>
      <w:pPr>
        <w:pStyle w:val="ListBullet"/>
        <w:spacing w:after="40"/>
      </w:pPr>
      <w:r>
        <w:t>2003-2007: rapid development and production build-up.</w:t>
      </w:r>
    </w:p>
    <w:p>
      <w:pPr>
        <w:pStyle w:val="ListBullet"/>
        <w:spacing w:after="40"/>
      </w:pPr>
      <w:r>
        <w:t>2007-2013: high production followed by gradual decline and temporary stabilization.</w:t>
      </w:r>
    </w:p>
    <w:p>
      <w:pPr>
        <w:pStyle w:val="ListBullet"/>
        <w:spacing w:after="40"/>
      </w:pPr>
      <w:r>
        <w:t>2014-2020: stronger decline, with a pronounced fall in 2020.</w:t>
      </w:r>
    </w:p>
    <w:p>
      <w:pPr>
        <w:pStyle w:val="ListBullet"/>
        <w:spacing w:after="40"/>
      </w:pPr>
      <w:r>
        <w:t>2021-2024: relatively stable field output around 0.56-0.59 million bbl/year.</w:t>
      </w:r>
    </w:p>
    <w:p>
      <w:pPr>
        <w:pStyle w:val="ListBullet"/>
        <w:spacing w:after="40"/>
      </w:pPr>
      <w:r>
        <w:t>2025: renewed decline, with monthly oil generally between about 40,000 and 51,000 bbl.</w:t>
      </w:r>
    </w:p>
    <w:p>
      <w:r>
        <w:br w:type="page"/>
      </w:r>
    </w:p>
    <w:p>
      <w:pPr>
        <w:pStyle w:val="Heading1"/>
      </w:pPr>
      <w:r>
        <w:t>5. Annual oil production and decline</w:t>
      </w:r>
    </w:p>
    <w:p>
      <w:pPr>
        <w:spacing w:after="0"/>
        <w:jc w:val="center"/>
      </w:pPr>
      <w:r>
        <w:drawing>
          <wp:inline xmlns:a="http://schemas.openxmlformats.org/drawingml/2006/main" xmlns:pic="http://schemas.openxmlformats.org/drawingml/2006/picture">
            <wp:extent cx="6492240" cy="3349118"/>
            <wp:docPr id="2" name="Picture 2"/>
            <wp:cNvGraphicFramePr>
              <a:graphicFrameLocks noChangeAspect="1"/>
            </wp:cNvGraphicFramePr>
            <a:graphic>
              <a:graphicData uri="http://schemas.openxmlformats.org/drawingml/2006/picture">
                <pic:pic>
                  <pic:nvPicPr>
                    <pic:cNvPr id="0" name="fig02_annual_oil_yoy.png"/>
                    <pic:cNvPicPr/>
                  </pic:nvPicPr>
                  <pic:blipFill>
                    <a:blip r:embed="rId12"/>
                    <a:stretch>
                      <a:fillRect/>
                    </a:stretch>
                  </pic:blipFill>
                  <pic:spPr>
                    <a:xfrm>
                      <a:off x="0" y="0"/>
                      <a:ext cx="6492240" cy="3349118"/>
                    </a:xfrm>
                    <a:prstGeom prst="rect"/>
                  </pic:spPr>
                </pic:pic>
              </a:graphicData>
            </a:graphic>
          </wp:inline>
        </w:drawing>
      </w:r>
    </w:p>
    <w:p>
      <w:pPr>
        <w:pStyle w:val="FigureCaption"/>
      </w:pPr>
      <w:r>
        <w:t>Figure 2. Annual oil production and year-on-year change. The first and last years are partial/full according to dataset coverage.</w:t>
      </w:r>
    </w:p>
    <w:tbl>
      <w:tblPr>
        <w:tblW w:type="auto" w:w="0"/>
        <w:jc w:val="center"/>
        <w:tblLayout w:type="fixed"/>
        <w:tblLook w:firstColumn="1" w:firstRow="1" w:lastColumn="0" w:lastRow="0" w:noHBand="0" w:noVBand="1" w:val="04A0"/>
        <w:tblBorders>
          <w:top w:val="single" w:sz="4" w:color="C9D3DD"/>
          <w:left w:val="single" w:sz="4" w:color="C9D3DD"/>
          <w:bottom w:val="single" w:sz="4" w:color="C9D3DD"/>
          <w:right w:val="single" w:sz="4" w:color="C9D3DD"/>
          <w:insideH w:val="single" w:sz="4" w:color="C9D3DD"/>
          <w:insideV w:val="single" w:sz="4" w:color="C9D3DD"/>
        </w:tblBorders>
      </w:tblPr>
      <w:tblGrid>
        <w:gridCol w:w="2592"/>
        <w:gridCol w:w="2592"/>
        <w:gridCol w:w="2592"/>
        <w:gridCol w:w="2592"/>
      </w:tblGrid>
      <w:tr>
        <w:trPr>
          <w:tblHeader w:val="true"/>
        </w:trPr>
        <w:tc>
          <w:tcPr>
            <w:tcW w:type="dxa" w:w="1296"/>
            <w:shd w:fill="17365D"/>
            <w:tcMar>
              <w:top w:w="70" w:type="dxa"/>
              <w:start w:w="80" w:type="dxa"/>
              <w:bottom w:w="70" w:type="dxa"/>
              <w:end w:w="80" w:type="dxa"/>
            </w:tcMar>
          </w:tcPr>
          <w:p>
            <w:pPr>
              <w:jc w:val="center"/>
            </w:pPr>
            <w:r>
              <w:rPr>
                <w:b/>
                <w:color w:val="FFFFFF"/>
                <w:sz w:val="17"/>
              </w:rPr>
              <w:t>Year</w:t>
            </w:r>
          </w:p>
        </w:tc>
        <w:tc>
          <w:tcPr>
            <w:tcW w:type="dxa" w:w="2880"/>
            <w:shd w:fill="17365D"/>
            <w:tcMar>
              <w:top w:w="70" w:type="dxa"/>
              <w:start w:w="80" w:type="dxa"/>
              <w:bottom w:w="70" w:type="dxa"/>
              <w:end w:w="80" w:type="dxa"/>
            </w:tcMar>
          </w:tcPr>
          <w:p>
            <w:pPr>
              <w:jc w:val="center"/>
            </w:pPr>
            <w:r>
              <w:rPr>
                <w:b/>
                <w:color w:val="FFFFFF"/>
                <w:sz w:val="17"/>
              </w:rPr>
              <w:t>Oil (bbl)</w:t>
            </w:r>
          </w:p>
        </w:tc>
        <w:tc>
          <w:tcPr>
            <w:tcW w:type="dxa" w:w="2160"/>
            <w:shd w:fill="17365D"/>
            <w:tcMar>
              <w:top w:w="70" w:type="dxa"/>
              <w:start w:w="80" w:type="dxa"/>
              <w:bottom w:w="70" w:type="dxa"/>
              <w:end w:w="80" w:type="dxa"/>
            </w:tcMar>
          </w:tcPr>
          <w:p>
            <w:pPr>
              <w:jc w:val="center"/>
            </w:pPr>
            <w:r>
              <w:rPr>
                <w:b/>
                <w:color w:val="FFFFFF"/>
                <w:sz w:val="17"/>
              </w:rPr>
              <w:t>YoY change</w:t>
            </w:r>
          </w:p>
        </w:tc>
        <w:tc>
          <w:tcPr>
            <w:tcW w:type="dxa" w:w="2592"/>
            <w:shd w:fill="17365D"/>
            <w:tcMar>
              <w:top w:w="70" w:type="dxa"/>
              <w:start w:w="80" w:type="dxa"/>
              <w:bottom w:w="70" w:type="dxa"/>
              <w:end w:w="80" w:type="dxa"/>
            </w:tcMar>
          </w:tcPr>
          <w:p>
            <w:pPr>
              <w:jc w:val="center"/>
            </w:pPr>
            <w:r>
              <w:rPr>
                <w:b/>
                <w:color w:val="FFFFFF"/>
                <w:sz w:val="17"/>
              </w:rPr>
              <w:t>Avg. active wells</w:t>
            </w:r>
          </w:p>
        </w:tc>
      </w:tr>
      <w:tr>
        <w:tc>
          <w:tcPr>
            <w:tcW w:type="dxa" w:w="1296"/>
            <w:tcMar>
              <w:top w:w="70" w:type="dxa"/>
              <w:start w:w="80" w:type="dxa"/>
              <w:bottom w:w="70" w:type="dxa"/>
              <w:end w:w="80" w:type="dxa"/>
            </w:tcMar>
          </w:tcPr>
          <w:p>
            <w:pPr>
              <w:jc w:val="right"/>
            </w:pPr>
            <w:r>
              <w:rPr>
                <w:sz w:val="17"/>
              </w:rPr>
              <w:t>2004</w:t>
            </w:r>
          </w:p>
        </w:tc>
        <w:tc>
          <w:tcPr>
            <w:tcW w:type="dxa" w:w="2880"/>
            <w:tcMar>
              <w:top w:w="70" w:type="dxa"/>
              <w:start w:w="80" w:type="dxa"/>
              <w:bottom w:w="70" w:type="dxa"/>
              <w:end w:w="80" w:type="dxa"/>
            </w:tcMar>
          </w:tcPr>
          <w:p>
            <w:pPr>
              <w:jc w:val="left"/>
            </w:pPr>
            <w:r>
              <w:rPr>
                <w:sz w:val="17"/>
              </w:rPr>
              <w:t>665,297</w:t>
            </w:r>
          </w:p>
        </w:tc>
        <w:tc>
          <w:tcPr>
            <w:tcW w:type="dxa" w:w="2160"/>
            <w:tcMar>
              <w:top w:w="70" w:type="dxa"/>
              <w:start w:w="80" w:type="dxa"/>
              <w:bottom w:w="70" w:type="dxa"/>
              <w:end w:w="80" w:type="dxa"/>
            </w:tcMar>
          </w:tcPr>
          <w:p>
            <w:pPr>
              <w:jc w:val="left"/>
            </w:pPr>
            <w:r>
              <w:rPr>
                <w:sz w:val="17"/>
              </w:rPr>
              <w:t>1901.3%</w:t>
            </w:r>
          </w:p>
        </w:tc>
        <w:tc>
          <w:tcPr>
            <w:tcW w:type="dxa" w:w="2592"/>
            <w:tcMar>
              <w:top w:w="70" w:type="dxa"/>
              <w:start w:w="80" w:type="dxa"/>
              <w:bottom w:w="70" w:type="dxa"/>
              <w:end w:w="80" w:type="dxa"/>
            </w:tcMar>
          </w:tcPr>
          <w:p>
            <w:pPr>
              <w:jc w:val="left"/>
            </w:pPr>
            <w:r>
              <w:rPr>
                <w:sz w:val="17"/>
              </w:rPr>
              <w:t>9.2</w:t>
            </w:r>
          </w:p>
        </w:tc>
      </w:tr>
      <w:tr>
        <w:tc>
          <w:tcPr>
            <w:tcW w:type="dxa" w:w="1296"/>
            <w:tcMar>
              <w:top w:w="70" w:type="dxa"/>
              <w:start w:w="80" w:type="dxa"/>
              <w:bottom w:w="70" w:type="dxa"/>
              <w:end w:w="80" w:type="dxa"/>
            </w:tcMar>
            <w:shd w:fill="F5F7F9"/>
          </w:tcPr>
          <w:p>
            <w:pPr>
              <w:jc w:val="right"/>
            </w:pPr>
            <w:r>
              <w:rPr>
                <w:sz w:val="17"/>
              </w:rPr>
              <w:t>2007</w:t>
            </w:r>
          </w:p>
        </w:tc>
        <w:tc>
          <w:tcPr>
            <w:tcW w:type="dxa" w:w="2880"/>
            <w:tcMar>
              <w:top w:w="70" w:type="dxa"/>
              <w:start w:w="80" w:type="dxa"/>
              <w:bottom w:w="70" w:type="dxa"/>
              <w:end w:w="80" w:type="dxa"/>
            </w:tcMar>
            <w:shd w:fill="F5F7F9"/>
          </w:tcPr>
          <w:p>
            <w:pPr>
              <w:jc w:val="left"/>
            </w:pPr>
            <w:r>
              <w:rPr>
                <w:sz w:val="17"/>
              </w:rPr>
              <w:t>3,528,543</w:t>
            </w:r>
          </w:p>
        </w:tc>
        <w:tc>
          <w:tcPr>
            <w:tcW w:type="dxa" w:w="2160"/>
            <w:tcMar>
              <w:top w:w="70" w:type="dxa"/>
              <w:start w:w="80" w:type="dxa"/>
              <w:bottom w:w="70" w:type="dxa"/>
              <w:end w:w="80" w:type="dxa"/>
            </w:tcMar>
            <w:shd w:fill="F5F7F9"/>
          </w:tcPr>
          <w:p>
            <w:pPr>
              <w:jc w:val="left"/>
            </w:pPr>
            <w:r>
              <w:rPr>
                <w:sz w:val="17"/>
              </w:rPr>
              <w:t>0.5%</w:t>
            </w:r>
          </w:p>
        </w:tc>
        <w:tc>
          <w:tcPr>
            <w:tcW w:type="dxa" w:w="2592"/>
            <w:tcMar>
              <w:top w:w="70" w:type="dxa"/>
              <w:start w:w="80" w:type="dxa"/>
              <w:bottom w:w="70" w:type="dxa"/>
              <w:end w:w="80" w:type="dxa"/>
            </w:tcMar>
            <w:shd w:fill="F5F7F9"/>
          </w:tcPr>
          <w:p>
            <w:pPr>
              <w:jc w:val="left"/>
            </w:pPr>
            <w:r>
              <w:rPr>
                <w:sz w:val="17"/>
              </w:rPr>
              <w:t>91.0</w:t>
            </w:r>
          </w:p>
        </w:tc>
      </w:tr>
      <w:tr>
        <w:tc>
          <w:tcPr>
            <w:tcW w:type="dxa" w:w="1296"/>
            <w:tcMar>
              <w:top w:w="70" w:type="dxa"/>
              <w:start w:w="80" w:type="dxa"/>
              <w:bottom w:w="70" w:type="dxa"/>
              <w:end w:w="80" w:type="dxa"/>
            </w:tcMar>
          </w:tcPr>
          <w:p>
            <w:pPr>
              <w:jc w:val="right"/>
            </w:pPr>
            <w:r>
              <w:rPr>
                <w:sz w:val="17"/>
              </w:rPr>
              <w:t>2010</w:t>
            </w:r>
          </w:p>
        </w:tc>
        <w:tc>
          <w:tcPr>
            <w:tcW w:type="dxa" w:w="2880"/>
            <w:tcMar>
              <w:top w:w="70" w:type="dxa"/>
              <w:start w:w="80" w:type="dxa"/>
              <w:bottom w:w="70" w:type="dxa"/>
              <w:end w:w="80" w:type="dxa"/>
            </w:tcMar>
          </w:tcPr>
          <w:p>
            <w:pPr>
              <w:jc w:val="left"/>
            </w:pPr>
            <w:r>
              <w:rPr>
                <w:sz w:val="17"/>
              </w:rPr>
              <w:t>1,928,850</w:t>
            </w:r>
          </w:p>
        </w:tc>
        <w:tc>
          <w:tcPr>
            <w:tcW w:type="dxa" w:w="2160"/>
            <w:tcMar>
              <w:top w:w="70" w:type="dxa"/>
              <w:start w:w="80" w:type="dxa"/>
              <w:bottom w:w="70" w:type="dxa"/>
              <w:end w:w="80" w:type="dxa"/>
            </w:tcMar>
          </w:tcPr>
          <w:p>
            <w:pPr>
              <w:jc w:val="left"/>
            </w:pPr>
            <w:r>
              <w:rPr>
                <w:sz w:val="17"/>
              </w:rPr>
              <w:t>-21.1%</w:t>
            </w:r>
          </w:p>
        </w:tc>
        <w:tc>
          <w:tcPr>
            <w:tcW w:type="dxa" w:w="2592"/>
            <w:tcMar>
              <w:top w:w="70" w:type="dxa"/>
              <w:start w:w="80" w:type="dxa"/>
              <w:bottom w:w="70" w:type="dxa"/>
              <w:end w:w="80" w:type="dxa"/>
            </w:tcMar>
          </w:tcPr>
          <w:p>
            <w:pPr>
              <w:jc w:val="left"/>
            </w:pPr>
            <w:r>
              <w:rPr>
                <w:sz w:val="17"/>
              </w:rPr>
              <w:t>114.7</w:t>
            </w:r>
          </w:p>
        </w:tc>
      </w:tr>
      <w:tr>
        <w:tc>
          <w:tcPr>
            <w:tcW w:type="dxa" w:w="1296"/>
            <w:tcMar>
              <w:top w:w="70" w:type="dxa"/>
              <w:start w:w="80" w:type="dxa"/>
              <w:bottom w:w="70" w:type="dxa"/>
              <w:end w:w="80" w:type="dxa"/>
            </w:tcMar>
            <w:shd w:fill="F5F7F9"/>
          </w:tcPr>
          <w:p>
            <w:pPr>
              <w:jc w:val="right"/>
            </w:pPr>
            <w:r>
              <w:rPr>
                <w:sz w:val="17"/>
              </w:rPr>
              <w:t>2015</w:t>
            </w:r>
          </w:p>
        </w:tc>
        <w:tc>
          <w:tcPr>
            <w:tcW w:type="dxa" w:w="2880"/>
            <w:tcMar>
              <w:top w:w="70" w:type="dxa"/>
              <w:start w:w="80" w:type="dxa"/>
              <w:bottom w:w="70" w:type="dxa"/>
              <w:end w:w="80" w:type="dxa"/>
            </w:tcMar>
            <w:shd w:fill="F5F7F9"/>
          </w:tcPr>
          <w:p>
            <w:pPr>
              <w:jc w:val="left"/>
            </w:pPr>
            <w:r>
              <w:rPr>
                <w:sz w:val="17"/>
              </w:rPr>
              <w:t>1,165,377</w:t>
            </w:r>
          </w:p>
        </w:tc>
        <w:tc>
          <w:tcPr>
            <w:tcW w:type="dxa" w:w="2160"/>
            <w:tcMar>
              <w:top w:w="70" w:type="dxa"/>
              <w:start w:w="80" w:type="dxa"/>
              <w:bottom w:w="70" w:type="dxa"/>
              <w:end w:w="80" w:type="dxa"/>
            </w:tcMar>
            <w:shd w:fill="F5F7F9"/>
          </w:tcPr>
          <w:p>
            <w:pPr>
              <w:jc w:val="left"/>
            </w:pPr>
            <w:r>
              <w:rPr>
                <w:sz w:val="17"/>
              </w:rPr>
              <w:t>-13.3%</w:t>
            </w:r>
          </w:p>
        </w:tc>
        <w:tc>
          <w:tcPr>
            <w:tcW w:type="dxa" w:w="2592"/>
            <w:tcMar>
              <w:top w:w="70" w:type="dxa"/>
              <w:start w:w="80" w:type="dxa"/>
              <w:bottom w:w="70" w:type="dxa"/>
              <w:end w:w="80" w:type="dxa"/>
            </w:tcMar>
            <w:shd w:fill="F5F7F9"/>
          </w:tcPr>
          <w:p>
            <w:pPr>
              <w:jc w:val="left"/>
            </w:pPr>
            <w:r>
              <w:rPr>
                <w:sz w:val="17"/>
              </w:rPr>
              <w:t>122.0</w:t>
            </w:r>
          </w:p>
        </w:tc>
      </w:tr>
      <w:tr>
        <w:tc>
          <w:tcPr>
            <w:tcW w:type="dxa" w:w="1296"/>
            <w:tcMar>
              <w:top w:w="70" w:type="dxa"/>
              <w:start w:w="80" w:type="dxa"/>
              <w:bottom w:w="70" w:type="dxa"/>
              <w:end w:w="80" w:type="dxa"/>
            </w:tcMar>
          </w:tcPr>
          <w:p>
            <w:pPr>
              <w:jc w:val="right"/>
            </w:pPr>
            <w:r>
              <w:rPr>
                <w:sz w:val="17"/>
              </w:rPr>
              <w:t>2020</w:t>
            </w:r>
          </w:p>
        </w:tc>
        <w:tc>
          <w:tcPr>
            <w:tcW w:type="dxa" w:w="2880"/>
            <w:tcMar>
              <w:top w:w="70" w:type="dxa"/>
              <w:start w:w="80" w:type="dxa"/>
              <w:bottom w:w="70" w:type="dxa"/>
              <w:end w:w="80" w:type="dxa"/>
            </w:tcMar>
          </w:tcPr>
          <w:p>
            <w:pPr>
              <w:jc w:val="left"/>
            </w:pPr>
            <w:r>
              <w:rPr>
                <w:sz w:val="17"/>
              </w:rPr>
              <w:t>564,502</w:t>
            </w:r>
          </w:p>
        </w:tc>
        <w:tc>
          <w:tcPr>
            <w:tcW w:type="dxa" w:w="2160"/>
            <w:tcMar>
              <w:top w:w="70" w:type="dxa"/>
              <w:start w:w="80" w:type="dxa"/>
              <w:bottom w:w="70" w:type="dxa"/>
              <w:end w:w="80" w:type="dxa"/>
            </w:tcMar>
          </w:tcPr>
          <w:p>
            <w:pPr>
              <w:jc w:val="left"/>
            </w:pPr>
            <w:r>
              <w:rPr>
                <w:sz w:val="17"/>
              </w:rPr>
              <w:t>-21.4%</w:t>
            </w:r>
          </w:p>
        </w:tc>
        <w:tc>
          <w:tcPr>
            <w:tcW w:type="dxa" w:w="2592"/>
            <w:tcMar>
              <w:top w:w="70" w:type="dxa"/>
              <w:start w:w="80" w:type="dxa"/>
              <w:bottom w:w="70" w:type="dxa"/>
              <w:end w:w="80" w:type="dxa"/>
            </w:tcMar>
          </w:tcPr>
          <w:p>
            <w:pPr>
              <w:jc w:val="left"/>
            </w:pPr>
            <w:r>
              <w:rPr>
                <w:sz w:val="17"/>
              </w:rPr>
              <w:t>120.1</w:t>
            </w:r>
          </w:p>
        </w:tc>
      </w:tr>
      <w:tr>
        <w:tc>
          <w:tcPr>
            <w:tcW w:type="dxa" w:w="1296"/>
            <w:tcMar>
              <w:top w:w="70" w:type="dxa"/>
              <w:start w:w="80" w:type="dxa"/>
              <w:bottom w:w="70" w:type="dxa"/>
              <w:end w:w="80" w:type="dxa"/>
            </w:tcMar>
            <w:shd w:fill="F5F7F9"/>
          </w:tcPr>
          <w:p>
            <w:pPr>
              <w:jc w:val="right"/>
            </w:pPr>
            <w:r>
              <w:rPr>
                <w:sz w:val="17"/>
              </w:rPr>
              <w:t>2024</w:t>
            </w:r>
          </w:p>
        </w:tc>
        <w:tc>
          <w:tcPr>
            <w:tcW w:type="dxa" w:w="2880"/>
            <w:tcMar>
              <w:top w:w="70" w:type="dxa"/>
              <w:start w:w="80" w:type="dxa"/>
              <w:bottom w:w="70" w:type="dxa"/>
              <w:end w:w="80" w:type="dxa"/>
            </w:tcMar>
            <w:shd w:fill="F5F7F9"/>
          </w:tcPr>
          <w:p>
            <w:pPr>
              <w:jc w:val="left"/>
            </w:pPr>
            <w:r>
              <w:rPr>
                <w:sz w:val="17"/>
              </w:rPr>
              <w:t>582,214</w:t>
            </w:r>
          </w:p>
        </w:tc>
        <w:tc>
          <w:tcPr>
            <w:tcW w:type="dxa" w:w="2160"/>
            <w:tcMar>
              <w:top w:w="70" w:type="dxa"/>
              <w:start w:w="80" w:type="dxa"/>
              <w:bottom w:w="70" w:type="dxa"/>
              <w:end w:w="80" w:type="dxa"/>
            </w:tcMar>
            <w:shd w:fill="F5F7F9"/>
          </w:tcPr>
          <w:p>
            <w:pPr>
              <w:jc w:val="left"/>
            </w:pPr>
            <w:r>
              <w:rPr>
                <w:sz w:val="17"/>
              </w:rPr>
              <w:t>-0.4%</w:t>
            </w:r>
          </w:p>
        </w:tc>
        <w:tc>
          <w:tcPr>
            <w:tcW w:type="dxa" w:w="2592"/>
            <w:tcMar>
              <w:top w:w="70" w:type="dxa"/>
              <w:start w:w="80" w:type="dxa"/>
              <w:bottom w:w="70" w:type="dxa"/>
              <w:end w:w="80" w:type="dxa"/>
            </w:tcMar>
            <w:shd w:fill="F5F7F9"/>
          </w:tcPr>
          <w:p>
            <w:pPr>
              <w:jc w:val="left"/>
            </w:pPr>
            <w:r>
              <w:rPr>
                <w:sz w:val="17"/>
              </w:rPr>
              <w:t>123.2</w:t>
            </w:r>
          </w:p>
        </w:tc>
      </w:tr>
      <w:tr>
        <w:tc>
          <w:tcPr>
            <w:tcW w:type="dxa" w:w="1296"/>
            <w:tcMar>
              <w:top w:w="70" w:type="dxa"/>
              <w:start w:w="80" w:type="dxa"/>
              <w:bottom w:w="70" w:type="dxa"/>
              <w:end w:w="80" w:type="dxa"/>
            </w:tcMar>
          </w:tcPr>
          <w:p>
            <w:pPr>
              <w:jc w:val="right"/>
            </w:pPr>
            <w:r>
              <w:rPr>
                <w:sz w:val="17"/>
              </w:rPr>
              <w:t>2025</w:t>
            </w:r>
          </w:p>
        </w:tc>
        <w:tc>
          <w:tcPr>
            <w:tcW w:type="dxa" w:w="2880"/>
            <w:tcMar>
              <w:top w:w="70" w:type="dxa"/>
              <w:start w:w="80" w:type="dxa"/>
              <w:bottom w:w="70" w:type="dxa"/>
              <w:end w:w="80" w:type="dxa"/>
            </w:tcMar>
          </w:tcPr>
          <w:p>
            <w:pPr>
              <w:jc w:val="left"/>
            </w:pPr>
            <w:r>
              <w:rPr>
                <w:sz w:val="17"/>
              </w:rPr>
              <w:t>535,289</w:t>
            </w:r>
          </w:p>
        </w:tc>
        <w:tc>
          <w:tcPr>
            <w:tcW w:type="dxa" w:w="2160"/>
            <w:tcMar>
              <w:top w:w="70" w:type="dxa"/>
              <w:start w:w="80" w:type="dxa"/>
              <w:bottom w:w="70" w:type="dxa"/>
              <w:end w:w="80" w:type="dxa"/>
            </w:tcMar>
          </w:tcPr>
          <w:p>
            <w:pPr>
              <w:jc w:val="left"/>
            </w:pPr>
            <w:r>
              <w:rPr>
                <w:sz w:val="17"/>
              </w:rPr>
              <w:t>-8.1%</w:t>
            </w:r>
          </w:p>
        </w:tc>
        <w:tc>
          <w:tcPr>
            <w:tcW w:type="dxa" w:w="2592"/>
            <w:tcMar>
              <w:top w:w="70" w:type="dxa"/>
              <w:start w:w="80" w:type="dxa"/>
              <w:bottom w:w="70" w:type="dxa"/>
              <w:end w:w="80" w:type="dxa"/>
            </w:tcMar>
          </w:tcPr>
          <w:p>
            <w:pPr>
              <w:jc w:val="left"/>
            </w:pPr>
            <w:r>
              <w:rPr>
                <w:sz w:val="17"/>
              </w:rPr>
              <w:t>123.2</w:t>
            </w:r>
          </w:p>
        </w:tc>
      </w:tr>
    </w:tbl>
    <w:p>
      <w:r>
        <w:t>Annual oil peaked at 3.53 million bbl in 2007. By 2025, output had fallen to 0.535 million bbl, an 84.8% reduction from the annual peak. The implied compound decline from 2007 to 2025 is approximately 10% per year, although the trajectory is not uniform.</w:t>
      </w:r>
    </w:p>
    <w:p>
      <w:r>
        <w:br w:type="page"/>
      </w:r>
    </w:p>
    <w:p>
      <w:pPr>
        <w:pStyle w:val="Heading1"/>
      </w:pPr>
      <w:r>
        <w:t>6. Gas and water production trends</w:t>
      </w:r>
    </w:p>
    <w:p>
      <w:pPr>
        <w:spacing w:after="0"/>
        <w:jc w:val="center"/>
      </w:pPr>
      <w:r>
        <w:drawing>
          <wp:inline xmlns:a="http://schemas.openxmlformats.org/drawingml/2006/main" xmlns:pic="http://schemas.openxmlformats.org/drawingml/2006/picture">
            <wp:extent cx="6400800" cy="3802520"/>
            <wp:docPr id="3" name="Picture 3"/>
            <wp:cNvGraphicFramePr>
              <a:graphicFrameLocks noChangeAspect="1"/>
            </wp:cNvGraphicFramePr>
            <a:graphic>
              <a:graphicData uri="http://schemas.openxmlformats.org/drawingml/2006/picture">
                <pic:pic>
                  <pic:nvPicPr>
                    <pic:cNvPr id="0" name="fig03_gas_water.png"/>
                    <pic:cNvPicPr/>
                  </pic:nvPicPr>
                  <pic:blipFill>
                    <a:blip r:embed="rId13"/>
                    <a:stretch>
                      <a:fillRect/>
                    </a:stretch>
                  </pic:blipFill>
                  <pic:spPr>
                    <a:xfrm>
                      <a:off x="0" y="0"/>
                      <a:ext cx="6400800" cy="3802520"/>
                    </a:xfrm>
                    <a:prstGeom prst="rect"/>
                  </pic:spPr>
                </pic:pic>
              </a:graphicData>
            </a:graphic>
          </wp:inline>
        </w:drawing>
      </w:r>
    </w:p>
    <w:p>
      <w:pPr>
        <w:pStyle w:val="FigureCaption"/>
      </w:pPr>
      <w:r>
        <w:t>Figure 3. Annual natural-gas and produced-water volumes.</w:t>
      </w:r>
    </w:p>
    <w:p>
      <w:r>
        <w:t>Gas production generally followed the oil-development cycle, but the gas decline has been less proportional than the oil decline. Produced-water volumes are more irregular, reflecting well-specific water behavior, operational changes and occasional large water-reporting events.</w:t>
      </w:r>
    </w:p>
    <w:tbl>
      <w:tblPr>
        <w:tblW w:type="auto" w:w="0"/>
        <w:jc w:val="center"/>
        <w:tblLayout w:type="fixed"/>
        <w:tblLook w:firstColumn="1" w:firstRow="1" w:lastColumn="0" w:lastRow="0" w:noHBand="0" w:noVBand="1" w:val="04A0"/>
        <w:tblBorders>
          <w:top w:val="single" w:sz="4" w:color="C9D3DD"/>
          <w:left w:val="single" w:sz="4" w:color="C9D3DD"/>
          <w:bottom w:val="single" w:sz="4" w:color="C9D3DD"/>
          <w:right w:val="single" w:sz="4" w:color="C9D3DD"/>
          <w:insideH w:val="single" w:sz="4" w:color="C9D3DD"/>
          <w:insideV w:val="single" w:sz="4" w:color="C9D3DD"/>
        </w:tblBorders>
      </w:tblPr>
      <w:tblGrid>
        <w:gridCol w:w="3456"/>
        <w:gridCol w:w="3456"/>
        <w:gridCol w:w="3456"/>
      </w:tblGrid>
      <w:tr>
        <w:trPr>
          <w:tblHeader w:val="true"/>
        </w:trPr>
        <w:tc>
          <w:tcPr>
            <w:tcW w:type="dxa" w:w="3024"/>
            <w:shd w:fill="17365D"/>
            <w:tcMar>
              <w:top w:w="70" w:type="dxa"/>
              <w:start w:w="80" w:type="dxa"/>
              <w:bottom w:w="70" w:type="dxa"/>
              <w:end w:w="80" w:type="dxa"/>
            </w:tcMar>
          </w:tcPr>
          <w:p>
            <w:pPr>
              <w:jc w:val="center"/>
            </w:pPr>
            <w:r>
              <w:rPr>
                <w:b/>
                <w:color w:val="FFFFFF"/>
                <w:sz w:val="17"/>
              </w:rPr>
              <w:t>Metric</w:t>
            </w:r>
          </w:p>
        </w:tc>
        <w:tc>
          <w:tcPr>
            <w:tcW w:type="dxa" w:w="3888"/>
            <w:shd w:fill="17365D"/>
            <w:tcMar>
              <w:top w:w="70" w:type="dxa"/>
              <w:start w:w="80" w:type="dxa"/>
              <w:bottom w:w="70" w:type="dxa"/>
              <w:end w:w="80" w:type="dxa"/>
            </w:tcMar>
          </w:tcPr>
          <w:p>
            <w:pPr>
              <w:jc w:val="center"/>
            </w:pPr>
            <w:r>
              <w:rPr>
                <w:b/>
                <w:color w:val="FFFFFF"/>
                <w:sz w:val="17"/>
              </w:rPr>
              <w:t>Volume</w:t>
            </w:r>
          </w:p>
        </w:tc>
        <w:tc>
          <w:tcPr>
            <w:tcW w:type="dxa" w:w="2016"/>
            <w:shd w:fill="17365D"/>
            <w:tcMar>
              <w:top w:w="70" w:type="dxa"/>
              <w:start w:w="80" w:type="dxa"/>
              <w:bottom w:w="70" w:type="dxa"/>
              <w:end w:w="80" w:type="dxa"/>
            </w:tcMar>
          </w:tcPr>
          <w:p>
            <w:pPr>
              <w:jc w:val="center"/>
            </w:pPr>
            <w:r>
              <w:rPr>
                <w:b/>
                <w:color w:val="FFFFFF"/>
                <w:sz w:val="17"/>
              </w:rPr>
              <w:t>Period</w:t>
            </w:r>
          </w:p>
        </w:tc>
      </w:tr>
      <w:tr>
        <w:tc>
          <w:tcPr>
            <w:tcW w:type="dxa" w:w="3024"/>
            <w:tcMar>
              <w:top w:w="70" w:type="dxa"/>
              <w:start w:w="80" w:type="dxa"/>
              <w:bottom w:w="70" w:type="dxa"/>
              <w:end w:w="80" w:type="dxa"/>
            </w:tcMar>
          </w:tcPr>
          <w:p>
            <w:pPr>
              <w:jc w:val="left"/>
            </w:pPr>
            <w:r>
              <w:rPr>
                <w:sz w:val="17"/>
              </w:rPr>
              <w:t>Peak annual gas</w:t>
            </w:r>
          </w:p>
        </w:tc>
        <w:tc>
          <w:tcPr>
            <w:tcW w:type="dxa" w:w="3888"/>
            <w:tcMar>
              <w:top w:w="70" w:type="dxa"/>
              <w:start w:w="80" w:type="dxa"/>
              <w:bottom w:w="70" w:type="dxa"/>
              <w:end w:w="80" w:type="dxa"/>
            </w:tcMar>
          </w:tcPr>
          <w:p>
            <w:pPr>
              <w:jc w:val="left"/>
            </w:pPr>
            <w:r>
              <w:rPr>
                <w:sz w:val="17"/>
              </w:rPr>
              <w:t>3,244,419 MCF</w:t>
            </w:r>
          </w:p>
        </w:tc>
        <w:tc>
          <w:tcPr>
            <w:tcW w:type="dxa" w:w="2016"/>
            <w:tcMar>
              <w:top w:w="70" w:type="dxa"/>
              <w:start w:w="80" w:type="dxa"/>
              <w:bottom w:w="70" w:type="dxa"/>
              <w:end w:w="80" w:type="dxa"/>
            </w:tcMar>
          </w:tcPr>
          <w:p>
            <w:pPr>
              <w:jc w:val="left"/>
            </w:pPr>
            <w:r>
              <w:rPr>
                <w:sz w:val="17"/>
              </w:rPr>
              <w:t>2008</w:t>
            </w:r>
          </w:p>
        </w:tc>
      </w:tr>
      <w:tr>
        <w:tc>
          <w:tcPr>
            <w:tcW w:type="dxa" w:w="3024"/>
            <w:tcMar>
              <w:top w:w="70" w:type="dxa"/>
              <w:start w:w="80" w:type="dxa"/>
              <w:bottom w:w="70" w:type="dxa"/>
              <w:end w:w="80" w:type="dxa"/>
            </w:tcMar>
            <w:shd w:fill="F5F7F9"/>
          </w:tcPr>
          <w:p>
            <w:pPr>
              <w:jc w:val="left"/>
            </w:pPr>
            <w:r>
              <w:rPr>
                <w:sz w:val="17"/>
              </w:rPr>
              <w:t>2025 gas</w:t>
            </w:r>
          </w:p>
        </w:tc>
        <w:tc>
          <w:tcPr>
            <w:tcW w:type="dxa" w:w="3888"/>
            <w:tcMar>
              <w:top w:w="70" w:type="dxa"/>
              <w:start w:w="80" w:type="dxa"/>
              <w:bottom w:w="70" w:type="dxa"/>
              <w:end w:w="80" w:type="dxa"/>
            </w:tcMar>
            <w:shd w:fill="F5F7F9"/>
          </w:tcPr>
          <w:p>
            <w:pPr>
              <w:jc w:val="left"/>
            </w:pPr>
            <w:r>
              <w:rPr>
                <w:sz w:val="17"/>
              </w:rPr>
              <w:t>914,837 MCF</w:t>
            </w:r>
          </w:p>
        </w:tc>
        <w:tc>
          <w:tcPr>
            <w:tcW w:type="dxa" w:w="2016"/>
            <w:tcMar>
              <w:top w:w="70" w:type="dxa"/>
              <w:start w:w="80" w:type="dxa"/>
              <w:bottom w:w="70" w:type="dxa"/>
              <w:end w:w="80" w:type="dxa"/>
            </w:tcMar>
            <w:shd w:fill="F5F7F9"/>
          </w:tcPr>
          <w:p>
            <w:pPr>
              <w:jc w:val="left"/>
            </w:pPr>
            <w:r>
              <w:rPr>
                <w:sz w:val="17"/>
              </w:rPr>
              <w:t>2025</w:t>
            </w:r>
          </w:p>
        </w:tc>
      </w:tr>
      <w:tr>
        <w:tc>
          <w:tcPr>
            <w:tcW w:type="dxa" w:w="3024"/>
            <w:tcMar>
              <w:top w:w="70" w:type="dxa"/>
              <w:start w:w="80" w:type="dxa"/>
              <w:bottom w:w="70" w:type="dxa"/>
              <w:end w:w="80" w:type="dxa"/>
            </w:tcMar>
          </w:tcPr>
          <w:p>
            <w:pPr>
              <w:jc w:val="left"/>
            </w:pPr>
            <w:r>
              <w:rPr>
                <w:sz w:val="17"/>
              </w:rPr>
              <w:t>Peak annual water</w:t>
            </w:r>
          </w:p>
        </w:tc>
        <w:tc>
          <w:tcPr>
            <w:tcW w:type="dxa" w:w="3888"/>
            <w:tcMar>
              <w:top w:w="70" w:type="dxa"/>
              <w:start w:w="80" w:type="dxa"/>
              <w:bottom w:w="70" w:type="dxa"/>
              <w:end w:w="80" w:type="dxa"/>
            </w:tcMar>
          </w:tcPr>
          <w:p>
            <w:pPr>
              <w:jc w:val="left"/>
            </w:pPr>
            <w:r>
              <w:rPr>
                <w:sz w:val="17"/>
              </w:rPr>
              <w:t>886,974 bbl</w:t>
            </w:r>
          </w:p>
        </w:tc>
        <w:tc>
          <w:tcPr>
            <w:tcW w:type="dxa" w:w="2016"/>
            <w:tcMar>
              <w:top w:w="70" w:type="dxa"/>
              <w:start w:w="80" w:type="dxa"/>
              <w:bottom w:w="70" w:type="dxa"/>
              <w:end w:w="80" w:type="dxa"/>
            </w:tcMar>
          </w:tcPr>
          <w:p>
            <w:pPr>
              <w:jc w:val="left"/>
            </w:pPr>
            <w:r>
              <w:rPr>
                <w:sz w:val="17"/>
              </w:rPr>
              <w:t>2015</w:t>
            </w:r>
          </w:p>
        </w:tc>
      </w:tr>
      <w:tr>
        <w:tc>
          <w:tcPr>
            <w:tcW w:type="dxa" w:w="3024"/>
            <w:tcMar>
              <w:top w:w="70" w:type="dxa"/>
              <w:start w:w="80" w:type="dxa"/>
              <w:bottom w:w="70" w:type="dxa"/>
              <w:end w:w="80" w:type="dxa"/>
            </w:tcMar>
            <w:shd w:fill="F5F7F9"/>
          </w:tcPr>
          <w:p>
            <w:pPr>
              <w:jc w:val="left"/>
            </w:pPr>
            <w:r>
              <w:rPr>
                <w:sz w:val="17"/>
              </w:rPr>
              <w:t>2025 water</w:t>
            </w:r>
          </w:p>
        </w:tc>
        <w:tc>
          <w:tcPr>
            <w:tcW w:type="dxa" w:w="3888"/>
            <w:tcMar>
              <w:top w:w="70" w:type="dxa"/>
              <w:start w:w="80" w:type="dxa"/>
              <w:bottom w:w="70" w:type="dxa"/>
              <w:end w:w="80" w:type="dxa"/>
            </w:tcMar>
            <w:shd w:fill="F5F7F9"/>
          </w:tcPr>
          <w:p>
            <w:pPr>
              <w:jc w:val="left"/>
            </w:pPr>
            <w:r>
              <w:rPr>
                <w:sz w:val="17"/>
              </w:rPr>
              <w:t>330,472 bbl</w:t>
            </w:r>
          </w:p>
        </w:tc>
        <w:tc>
          <w:tcPr>
            <w:tcW w:type="dxa" w:w="2016"/>
            <w:tcMar>
              <w:top w:w="70" w:type="dxa"/>
              <w:start w:w="80" w:type="dxa"/>
              <w:bottom w:w="70" w:type="dxa"/>
              <w:end w:w="80" w:type="dxa"/>
            </w:tcMar>
            <w:shd w:fill="F5F7F9"/>
          </w:tcPr>
          <w:p>
            <w:pPr>
              <w:jc w:val="left"/>
            </w:pPr>
            <w:r>
              <w:rPr>
                <w:sz w:val="17"/>
              </w:rPr>
              <w:t>2025</w:t>
            </w:r>
          </w:p>
        </w:tc>
      </w:tr>
      <w:tr>
        <w:tc>
          <w:tcPr>
            <w:tcW w:type="dxa" w:w="3024"/>
            <w:tcMar>
              <w:top w:w="70" w:type="dxa"/>
              <w:start w:w="80" w:type="dxa"/>
              <w:bottom w:w="70" w:type="dxa"/>
              <w:end w:w="80" w:type="dxa"/>
            </w:tcMar>
          </w:tcPr>
          <w:p>
            <w:pPr>
              <w:jc w:val="left"/>
            </w:pPr>
            <w:r>
              <w:rPr>
                <w:sz w:val="17"/>
              </w:rPr>
              <w:t>Cumulative gas</w:t>
            </w:r>
          </w:p>
        </w:tc>
        <w:tc>
          <w:tcPr>
            <w:tcW w:type="dxa" w:w="3888"/>
            <w:tcMar>
              <w:top w:w="70" w:type="dxa"/>
              <w:start w:w="80" w:type="dxa"/>
              <w:bottom w:w="70" w:type="dxa"/>
              <w:end w:w="80" w:type="dxa"/>
            </w:tcMar>
          </w:tcPr>
          <w:p>
            <w:pPr>
              <w:jc w:val="left"/>
            </w:pPr>
            <w:r>
              <w:rPr>
                <w:sz w:val="17"/>
              </w:rPr>
              <w:t>38,936,678 MCF</w:t>
            </w:r>
          </w:p>
        </w:tc>
        <w:tc>
          <w:tcPr>
            <w:tcW w:type="dxa" w:w="2016"/>
            <w:tcMar>
              <w:top w:w="70" w:type="dxa"/>
              <w:start w:w="80" w:type="dxa"/>
              <w:bottom w:w="70" w:type="dxa"/>
              <w:end w:w="80" w:type="dxa"/>
            </w:tcMar>
          </w:tcPr>
          <w:p>
            <w:pPr>
              <w:jc w:val="left"/>
            </w:pPr>
            <w:r>
              <w:rPr>
                <w:sz w:val="17"/>
              </w:rPr>
              <w:t>2003-2025</w:t>
            </w:r>
          </w:p>
        </w:tc>
      </w:tr>
      <w:tr>
        <w:tc>
          <w:tcPr>
            <w:tcW w:type="dxa" w:w="3024"/>
            <w:tcMar>
              <w:top w:w="70" w:type="dxa"/>
              <w:start w:w="80" w:type="dxa"/>
              <w:bottom w:w="70" w:type="dxa"/>
              <w:end w:w="80" w:type="dxa"/>
            </w:tcMar>
            <w:shd w:fill="F5F7F9"/>
          </w:tcPr>
          <w:p>
            <w:pPr>
              <w:jc w:val="left"/>
            </w:pPr>
            <w:r>
              <w:rPr>
                <w:sz w:val="17"/>
              </w:rPr>
              <w:t>Cumulative water</w:t>
            </w:r>
          </w:p>
        </w:tc>
        <w:tc>
          <w:tcPr>
            <w:tcW w:type="dxa" w:w="3888"/>
            <w:tcMar>
              <w:top w:w="70" w:type="dxa"/>
              <w:start w:w="80" w:type="dxa"/>
              <w:bottom w:w="70" w:type="dxa"/>
              <w:end w:w="80" w:type="dxa"/>
            </w:tcMar>
            <w:shd w:fill="F5F7F9"/>
          </w:tcPr>
          <w:p>
            <w:pPr>
              <w:jc w:val="left"/>
            </w:pPr>
            <w:r>
              <w:rPr>
                <w:sz w:val="17"/>
              </w:rPr>
              <w:t>9,672,485 bbl</w:t>
            </w:r>
          </w:p>
        </w:tc>
        <w:tc>
          <w:tcPr>
            <w:tcW w:type="dxa" w:w="2016"/>
            <w:tcMar>
              <w:top w:w="70" w:type="dxa"/>
              <w:start w:w="80" w:type="dxa"/>
              <w:bottom w:w="70" w:type="dxa"/>
              <w:end w:w="80" w:type="dxa"/>
            </w:tcMar>
            <w:shd w:fill="F5F7F9"/>
          </w:tcPr>
          <w:p>
            <w:pPr>
              <w:jc w:val="left"/>
            </w:pPr>
            <w:r>
              <w:rPr>
                <w:sz w:val="17"/>
              </w:rPr>
              <w:t>2003-2025</w:t>
            </w:r>
          </w:p>
        </w:tc>
      </w:tr>
    </w:tbl>
    <w:tbl>
      <w:tblPr>
        <w:tblW w:type="auto" w:w="0"/>
        <w:jc w:val="center"/>
        <w:tblLook w:firstColumn="1" w:firstRow="1" w:lastColumn="0" w:lastRow="0" w:noHBand="0" w:noVBand="1" w:val="04A0"/>
        <w:tblBorders>
          <w:top w:val="single" w:sz="4" w:color="EAF2F8"/>
          <w:left w:val="single" w:sz="4" w:color="EAF2F8"/>
          <w:bottom w:val="single" w:sz="4" w:color="EAF2F8"/>
          <w:right w:val="single" w:sz="4" w:color="EAF2F8"/>
          <w:insideH w:val="single" w:sz="4" w:color="EAF2F8"/>
          <w:insideV w:val="single" w:sz="4" w:color="EAF2F8"/>
        </w:tblBorders>
      </w:tblPr>
      <w:tblGrid>
        <w:gridCol w:w="10368"/>
      </w:tblGrid>
      <w:tr>
        <w:tc>
          <w:tcPr>
            <w:tcW w:type="dxa" w:w="10368"/>
            <w:shd w:fill="EAF2F8"/>
            <w:tcMar>
              <w:top w:w="100" w:type="dxa"/>
              <w:start w:w="140" w:type="dxa"/>
              <w:bottom w:w="100" w:type="dxa"/>
              <w:end w:w="140" w:type="dxa"/>
            </w:tcMar>
          </w:tcPr>
          <w:p>
            <w:r>
              <w:rPr>
                <w:b/>
                <w:color w:val="17365D"/>
              </w:rPr>
              <w:t xml:space="preserve">Operational relevance: </w:t>
            </w:r>
            <w:r>
              <w:t>Increasing gas fraction and persistent water production can affect separation capacity, lifting efficiency, disposal requirements and the economic limit of mature wells.</w:t>
            </w:r>
          </w:p>
        </w:tc>
      </w:tr>
    </w:tbl>
    <w:p>
      <w:r>
        <w:br w:type="page"/>
      </w:r>
    </w:p>
    <w:p>
      <w:pPr>
        <w:pStyle w:val="Heading1"/>
      </w:pPr>
      <w:r>
        <w:t>7. Well activity and average productivity</w:t>
      </w:r>
    </w:p>
    <w:p>
      <w:pPr>
        <w:spacing w:after="0"/>
        <w:jc w:val="center"/>
      </w:pPr>
      <w:r>
        <w:drawing>
          <wp:inline xmlns:a="http://schemas.openxmlformats.org/drawingml/2006/main" xmlns:pic="http://schemas.openxmlformats.org/drawingml/2006/picture">
            <wp:extent cx="6400800" cy="3301948"/>
            <wp:docPr id="4" name="Picture 4"/>
            <wp:cNvGraphicFramePr>
              <a:graphicFrameLocks noChangeAspect="1"/>
            </wp:cNvGraphicFramePr>
            <a:graphic>
              <a:graphicData uri="http://schemas.openxmlformats.org/drawingml/2006/picture">
                <pic:pic>
                  <pic:nvPicPr>
                    <pic:cNvPr id="0" name="fig04_activity_productivity.png"/>
                    <pic:cNvPicPr/>
                  </pic:nvPicPr>
                  <pic:blipFill>
                    <a:blip r:embed="rId14"/>
                    <a:stretch>
                      <a:fillRect/>
                    </a:stretch>
                  </pic:blipFill>
                  <pic:spPr>
                    <a:xfrm>
                      <a:off x="0" y="0"/>
                      <a:ext cx="6400800" cy="3301948"/>
                    </a:xfrm>
                    <a:prstGeom prst="rect"/>
                  </pic:spPr>
                </pic:pic>
              </a:graphicData>
            </a:graphic>
          </wp:inline>
        </w:drawing>
      </w:r>
    </w:p>
    <w:p>
      <w:pPr>
        <w:pStyle w:val="FigureCaption"/>
      </w:pPr>
      <w:r>
        <w:t>Figure 4. Average active-well count and oil produced per active well-month.</w:t>
      </w:r>
    </w:p>
    <w:tbl>
      <w:tblPr>
        <w:tblW w:type="auto" w:w="0"/>
        <w:jc w:val="center"/>
        <w:tblLayout w:type="fixed"/>
        <w:tblLook w:firstColumn="1" w:firstRow="1" w:lastColumn="0" w:lastRow="0" w:noHBand="0" w:noVBand="1" w:val="04A0"/>
        <w:tblBorders>
          <w:top w:val="single" w:sz="4" w:color="C9D3DD"/>
          <w:left w:val="single" w:sz="4" w:color="C9D3DD"/>
          <w:bottom w:val="single" w:sz="4" w:color="C9D3DD"/>
          <w:right w:val="single" w:sz="4" w:color="C9D3DD"/>
          <w:insideH w:val="single" w:sz="4" w:color="C9D3DD"/>
          <w:insideV w:val="single" w:sz="4" w:color="C9D3DD"/>
        </w:tblBorders>
      </w:tblPr>
      <w:tblGrid>
        <w:gridCol w:w="2592"/>
        <w:gridCol w:w="2592"/>
        <w:gridCol w:w="2592"/>
        <w:gridCol w:w="2592"/>
      </w:tblGrid>
      <w:tr>
        <w:trPr>
          <w:tblHeader w:val="true"/>
        </w:trPr>
        <w:tc>
          <w:tcPr>
            <w:tcW w:type="dxa" w:w="1152"/>
            <w:shd w:fill="17365D"/>
            <w:tcMar>
              <w:top w:w="70" w:type="dxa"/>
              <w:start w:w="80" w:type="dxa"/>
              <w:bottom w:w="70" w:type="dxa"/>
              <w:end w:w="80" w:type="dxa"/>
            </w:tcMar>
          </w:tcPr>
          <w:p>
            <w:pPr>
              <w:jc w:val="center"/>
            </w:pPr>
            <w:r>
              <w:rPr>
                <w:b/>
                <w:color w:val="FFFFFF"/>
                <w:sz w:val="17"/>
              </w:rPr>
              <w:t>Year</w:t>
            </w:r>
          </w:p>
        </w:tc>
        <w:tc>
          <w:tcPr>
            <w:tcW w:type="dxa" w:w="2304"/>
            <w:shd w:fill="17365D"/>
            <w:tcMar>
              <w:top w:w="70" w:type="dxa"/>
              <w:start w:w="80" w:type="dxa"/>
              <w:bottom w:w="70" w:type="dxa"/>
              <w:end w:w="80" w:type="dxa"/>
            </w:tcMar>
          </w:tcPr>
          <w:p>
            <w:pPr>
              <w:jc w:val="center"/>
            </w:pPr>
            <w:r>
              <w:rPr>
                <w:b/>
                <w:color w:val="FFFFFF"/>
                <w:sz w:val="17"/>
              </w:rPr>
              <w:t>Avg. active wells</w:t>
            </w:r>
          </w:p>
        </w:tc>
        <w:tc>
          <w:tcPr>
            <w:tcW w:type="dxa" w:w="3600"/>
            <w:shd w:fill="17365D"/>
            <w:tcMar>
              <w:top w:w="70" w:type="dxa"/>
              <w:start w:w="80" w:type="dxa"/>
              <w:bottom w:w="70" w:type="dxa"/>
              <w:end w:w="80" w:type="dxa"/>
            </w:tcMar>
          </w:tcPr>
          <w:p>
            <w:pPr>
              <w:jc w:val="center"/>
            </w:pPr>
            <w:r>
              <w:rPr>
                <w:b/>
                <w:color w:val="FFFFFF"/>
                <w:sz w:val="17"/>
              </w:rPr>
              <w:t>Oil / active well-month (bbl)</w:t>
            </w:r>
          </w:p>
        </w:tc>
        <w:tc>
          <w:tcPr>
            <w:tcW w:type="dxa" w:w="2160"/>
            <w:shd w:fill="17365D"/>
            <w:tcMar>
              <w:top w:w="70" w:type="dxa"/>
              <w:start w:w="80" w:type="dxa"/>
              <w:bottom w:w="70" w:type="dxa"/>
              <w:end w:w="80" w:type="dxa"/>
            </w:tcMar>
          </w:tcPr>
          <w:p>
            <w:pPr>
              <w:jc w:val="center"/>
            </w:pPr>
            <w:r>
              <w:rPr>
                <w:b/>
                <w:color w:val="FFFFFF"/>
                <w:sz w:val="17"/>
              </w:rPr>
              <w:t>Avg. field BOPD</w:t>
            </w:r>
          </w:p>
        </w:tc>
      </w:tr>
      <w:tr>
        <w:tc>
          <w:tcPr>
            <w:tcW w:type="dxa" w:w="1152"/>
            <w:tcMar>
              <w:top w:w="70" w:type="dxa"/>
              <w:start w:w="80" w:type="dxa"/>
              <w:bottom w:w="70" w:type="dxa"/>
              <w:end w:w="80" w:type="dxa"/>
            </w:tcMar>
          </w:tcPr>
          <w:p>
            <w:pPr>
              <w:jc w:val="right"/>
            </w:pPr>
            <w:r>
              <w:rPr>
                <w:sz w:val="17"/>
              </w:rPr>
              <w:t>2007</w:t>
            </w:r>
          </w:p>
        </w:tc>
        <w:tc>
          <w:tcPr>
            <w:tcW w:type="dxa" w:w="2304"/>
            <w:tcMar>
              <w:top w:w="70" w:type="dxa"/>
              <w:start w:w="80" w:type="dxa"/>
              <w:bottom w:w="70" w:type="dxa"/>
              <w:end w:w="80" w:type="dxa"/>
            </w:tcMar>
          </w:tcPr>
          <w:p>
            <w:pPr>
              <w:jc w:val="left"/>
            </w:pPr>
            <w:r>
              <w:rPr>
                <w:sz w:val="17"/>
              </w:rPr>
              <w:t>91.0</w:t>
            </w:r>
          </w:p>
        </w:tc>
        <w:tc>
          <w:tcPr>
            <w:tcW w:type="dxa" w:w="3600"/>
            <w:tcMar>
              <w:top w:w="70" w:type="dxa"/>
              <w:start w:w="80" w:type="dxa"/>
              <w:bottom w:w="70" w:type="dxa"/>
              <w:end w:w="80" w:type="dxa"/>
            </w:tcMar>
          </w:tcPr>
          <w:p>
            <w:pPr>
              <w:jc w:val="left"/>
            </w:pPr>
            <w:r>
              <w:rPr>
                <w:sz w:val="17"/>
              </w:rPr>
              <w:t>3,231</w:t>
            </w:r>
          </w:p>
        </w:tc>
        <w:tc>
          <w:tcPr>
            <w:tcW w:type="dxa" w:w="2160"/>
            <w:tcMar>
              <w:top w:w="70" w:type="dxa"/>
              <w:start w:w="80" w:type="dxa"/>
              <w:bottom w:w="70" w:type="dxa"/>
              <w:end w:w="80" w:type="dxa"/>
            </w:tcMar>
          </w:tcPr>
          <w:p>
            <w:pPr>
              <w:jc w:val="left"/>
            </w:pPr>
            <w:r>
              <w:rPr>
                <w:sz w:val="17"/>
              </w:rPr>
              <w:t>9,668</w:t>
            </w:r>
          </w:p>
        </w:tc>
      </w:tr>
      <w:tr>
        <w:tc>
          <w:tcPr>
            <w:tcW w:type="dxa" w:w="1152"/>
            <w:tcMar>
              <w:top w:w="70" w:type="dxa"/>
              <w:start w:w="80" w:type="dxa"/>
              <w:bottom w:w="70" w:type="dxa"/>
              <w:end w:w="80" w:type="dxa"/>
            </w:tcMar>
            <w:shd w:fill="F5F7F9"/>
          </w:tcPr>
          <w:p>
            <w:pPr>
              <w:jc w:val="right"/>
            </w:pPr>
            <w:r>
              <w:rPr>
                <w:sz w:val="17"/>
              </w:rPr>
              <w:t>2015</w:t>
            </w:r>
          </w:p>
        </w:tc>
        <w:tc>
          <w:tcPr>
            <w:tcW w:type="dxa" w:w="2304"/>
            <w:tcMar>
              <w:top w:w="70" w:type="dxa"/>
              <w:start w:w="80" w:type="dxa"/>
              <w:bottom w:w="70" w:type="dxa"/>
              <w:end w:w="80" w:type="dxa"/>
            </w:tcMar>
            <w:shd w:fill="F5F7F9"/>
          </w:tcPr>
          <w:p>
            <w:pPr>
              <w:jc w:val="left"/>
            </w:pPr>
            <w:r>
              <w:rPr>
                <w:sz w:val="17"/>
              </w:rPr>
              <w:t>122.0</w:t>
            </w:r>
          </w:p>
        </w:tc>
        <w:tc>
          <w:tcPr>
            <w:tcW w:type="dxa" w:w="3600"/>
            <w:tcMar>
              <w:top w:w="70" w:type="dxa"/>
              <w:start w:w="80" w:type="dxa"/>
              <w:bottom w:w="70" w:type="dxa"/>
              <w:end w:w="80" w:type="dxa"/>
            </w:tcMar>
            <w:shd w:fill="F5F7F9"/>
          </w:tcPr>
          <w:p>
            <w:pPr>
              <w:jc w:val="left"/>
            </w:pPr>
            <w:r>
              <w:rPr>
                <w:sz w:val="17"/>
              </w:rPr>
              <w:t>796</w:t>
            </w:r>
          </w:p>
        </w:tc>
        <w:tc>
          <w:tcPr>
            <w:tcW w:type="dxa" w:w="2160"/>
            <w:tcMar>
              <w:top w:w="70" w:type="dxa"/>
              <w:start w:w="80" w:type="dxa"/>
              <w:bottom w:w="70" w:type="dxa"/>
              <w:end w:w="80" w:type="dxa"/>
            </w:tcMar>
            <w:shd w:fill="F5F7F9"/>
          </w:tcPr>
          <w:p>
            <w:pPr>
              <w:jc w:val="left"/>
            </w:pPr>
            <w:r>
              <w:rPr>
                <w:sz w:val="17"/>
              </w:rPr>
              <w:t>3,193</w:t>
            </w:r>
          </w:p>
        </w:tc>
      </w:tr>
      <w:tr>
        <w:tc>
          <w:tcPr>
            <w:tcW w:type="dxa" w:w="1152"/>
            <w:tcMar>
              <w:top w:w="70" w:type="dxa"/>
              <w:start w:w="80" w:type="dxa"/>
              <w:bottom w:w="70" w:type="dxa"/>
              <w:end w:w="80" w:type="dxa"/>
            </w:tcMar>
          </w:tcPr>
          <w:p>
            <w:pPr>
              <w:jc w:val="right"/>
            </w:pPr>
            <w:r>
              <w:rPr>
                <w:sz w:val="17"/>
              </w:rPr>
              <w:t>2020</w:t>
            </w:r>
          </w:p>
        </w:tc>
        <w:tc>
          <w:tcPr>
            <w:tcW w:type="dxa" w:w="2304"/>
            <w:tcMar>
              <w:top w:w="70" w:type="dxa"/>
              <w:start w:w="80" w:type="dxa"/>
              <w:bottom w:w="70" w:type="dxa"/>
              <w:end w:w="80" w:type="dxa"/>
            </w:tcMar>
          </w:tcPr>
          <w:p>
            <w:pPr>
              <w:jc w:val="left"/>
            </w:pPr>
            <w:r>
              <w:rPr>
                <w:sz w:val="17"/>
              </w:rPr>
              <w:t>120.1</w:t>
            </w:r>
          </w:p>
        </w:tc>
        <w:tc>
          <w:tcPr>
            <w:tcW w:type="dxa" w:w="3600"/>
            <w:tcMar>
              <w:top w:w="70" w:type="dxa"/>
              <w:start w:w="80" w:type="dxa"/>
              <w:bottom w:w="70" w:type="dxa"/>
              <w:end w:w="80" w:type="dxa"/>
            </w:tcMar>
          </w:tcPr>
          <w:p>
            <w:pPr>
              <w:jc w:val="left"/>
            </w:pPr>
            <w:r>
              <w:rPr>
                <w:sz w:val="17"/>
              </w:rPr>
              <w:t>392</w:t>
            </w:r>
          </w:p>
        </w:tc>
        <w:tc>
          <w:tcPr>
            <w:tcW w:type="dxa" w:w="2160"/>
            <w:tcMar>
              <w:top w:w="70" w:type="dxa"/>
              <w:start w:w="80" w:type="dxa"/>
              <w:bottom w:w="70" w:type="dxa"/>
              <w:end w:w="80" w:type="dxa"/>
            </w:tcMar>
          </w:tcPr>
          <w:p>
            <w:pPr>
              <w:jc w:val="left"/>
            </w:pPr>
            <w:r>
              <w:rPr>
                <w:sz w:val="17"/>
              </w:rPr>
              <w:t>1,543</w:t>
            </w:r>
          </w:p>
        </w:tc>
      </w:tr>
      <w:tr>
        <w:tc>
          <w:tcPr>
            <w:tcW w:type="dxa" w:w="1152"/>
            <w:tcMar>
              <w:top w:w="70" w:type="dxa"/>
              <w:start w:w="80" w:type="dxa"/>
              <w:bottom w:w="70" w:type="dxa"/>
              <w:end w:w="80" w:type="dxa"/>
            </w:tcMar>
            <w:shd w:fill="F5F7F9"/>
          </w:tcPr>
          <w:p>
            <w:pPr>
              <w:jc w:val="right"/>
            </w:pPr>
            <w:r>
              <w:rPr>
                <w:sz w:val="17"/>
              </w:rPr>
              <w:t>2025</w:t>
            </w:r>
          </w:p>
        </w:tc>
        <w:tc>
          <w:tcPr>
            <w:tcW w:type="dxa" w:w="2304"/>
            <w:tcMar>
              <w:top w:w="70" w:type="dxa"/>
              <w:start w:w="80" w:type="dxa"/>
              <w:bottom w:w="70" w:type="dxa"/>
              <w:end w:w="80" w:type="dxa"/>
            </w:tcMar>
            <w:shd w:fill="F5F7F9"/>
          </w:tcPr>
          <w:p>
            <w:pPr>
              <w:jc w:val="left"/>
            </w:pPr>
            <w:r>
              <w:rPr>
                <w:sz w:val="17"/>
              </w:rPr>
              <w:t>123.2</w:t>
            </w:r>
          </w:p>
        </w:tc>
        <w:tc>
          <w:tcPr>
            <w:tcW w:type="dxa" w:w="3600"/>
            <w:tcMar>
              <w:top w:w="70" w:type="dxa"/>
              <w:start w:w="80" w:type="dxa"/>
              <w:bottom w:w="70" w:type="dxa"/>
              <w:end w:w="80" w:type="dxa"/>
            </w:tcMar>
            <w:shd w:fill="F5F7F9"/>
          </w:tcPr>
          <w:p>
            <w:pPr>
              <w:jc w:val="left"/>
            </w:pPr>
            <w:r>
              <w:rPr>
                <w:sz w:val="17"/>
              </w:rPr>
              <w:t>362</w:t>
            </w:r>
          </w:p>
        </w:tc>
        <w:tc>
          <w:tcPr>
            <w:tcW w:type="dxa" w:w="2160"/>
            <w:tcMar>
              <w:top w:w="70" w:type="dxa"/>
              <w:start w:w="80" w:type="dxa"/>
              <w:bottom w:w="70" w:type="dxa"/>
              <w:end w:w="80" w:type="dxa"/>
            </w:tcMar>
            <w:shd w:fill="F5F7F9"/>
          </w:tcPr>
          <w:p>
            <w:pPr>
              <w:jc w:val="left"/>
            </w:pPr>
            <w:r>
              <w:rPr>
                <w:sz w:val="17"/>
              </w:rPr>
              <w:t>1,467</w:t>
            </w:r>
          </w:p>
        </w:tc>
      </w:tr>
    </w:tbl>
    <w:p>
      <w:r>
        <w:t>The active-well count increased as the field developed and has remained near 118-124 wells for much of the last decade. However, oil per active well-month fell from about 3,231 bbl in 2007 to about 362 bbl in 2025. This indicates that the aggregate decline is primarily a productivity decline rather than a large reduction in the number of producing wells.</w:t>
      </w:r>
    </w:p>
    <w:tbl>
      <w:tblPr>
        <w:tblW w:type="auto" w:w="0"/>
        <w:jc w:val="center"/>
        <w:tblLook w:firstColumn="1" w:firstRow="1" w:lastColumn="0" w:lastRow="0" w:noHBand="0" w:noVBand="1" w:val="04A0"/>
        <w:tblBorders>
          <w:top w:val="single" w:sz="4" w:color="EAF2F8"/>
          <w:left w:val="single" w:sz="4" w:color="EAF2F8"/>
          <w:bottom w:val="single" w:sz="4" w:color="EAF2F8"/>
          <w:right w:val="single" w:sz="4" w:color="EAF2F8"/>
          <w:insideH w:val="single" w:sz="4" w:color="EAF2F8"/>
          <w:insideV w:val="single" w:sz="4" w:color="EAF2F8"/>
        </w:tblBorders>
      </w:tblPr>
      <w:tblGrid>
        <w:gridCol w:w="10368"/>
      </w:tblGrid>
      <w:tr>
        <w:tc>
          <w:tcPr>
            <w:tcW w:type="dxa" w:w="10368"/>
            <w:shd w:fill="EAF2F8"/>
            <w:tcMar>
              <w:top w:w="100" w:type="dxa"/>
              <w:start w:w="140" w:type="dxa"/>
              <w:bottom w:w="100" w:type="dxa"/>
              <w:end w:w="140" w:type="dxa"/>
            </w:tcMar>
          </w:tcPr>
          <w:p>
            <w:r>
              <w:rPr>
                <w:b/>
                <w:color w:val="17365D"/>
              </w:rPr>
              <w:t xml:space="preserve">Interpretation: </w:t>
            </w:r>
            <w:r>
              <w:t>Maintaining a nearly constant active-well count does not prevent field decline when the underlying well rates continue to fall.</w:t>
            </w:r>
          </w:p>
        </w:tc>
      </w:tr>
    </w:tbl>
    <w:p>
      <w:r>
        <w:br w:type="page"/>
      </w:r>
    </w:p>
    <w:p>
      <w:pPr>
        <w:pStyle w:val="Heading1"/>
      </w:pPr>
      <w:r>
        <w:t>8. Gas-oil ratio and water-cut behavior</w:t>
      </w:r>
    </w:p>
    <w:p>
      <w:pPr>
        <w:spacing w:after="0"/>
        <w:jc w:val="center"/>
      </w:pPr>
      <w:r>
        <w:drawing>
          <wp:inline xmlns:a="http://schemas.openxmlformats.org/drawingml/2006/main" xmlns:pic="http://schemas.openxmlformats.org/drawingml/2006/picture">
            <wp:extent cx="6400800" cy="3301948"/>
            <wp:docPr id="5" name="Picture 5"/>
            <wp:cNvGraphicFramePr>
              <a:graphicFrameLocks noChangeAspect="1"/>
            </wp:cNvGraphicFramePr>
            <a:graphic>
              <a:graphicData uri="http://schemas.openxmlformats.org/drawingml/2006/picture">
                <pic:pic>
                  <pic:nvPicPr>
                    <pic:cNvPr id="0" name="fig05_ratios.png"/>
                    <pic:cNvPicPr/>
                  </pic:nvPicPr>
                  <pic:blipFill>
                    <a:blip r:embed="rId15"/>
                    <a:stretch>
                      <a:fillRect/>
                    </a:stretch>
                  </pic:blipFill>
                  <pic:spPr>
                    <a:xfrm>
                      <a:off x="0" y="0"/>
                      <a:ext cx="6400800" cy="3301948"/>
                    </a:xfrm>
                    <a:prstGeom prst="rect"/>
                  </pic:spPr>
                </pic:pic>
              </a:graphicData>
            </a:graphic>
          </wp:inline>
        </w:drawing>
      </w:r>
    </w:p>
    <w:p>
      <w:pPr>
        <w:pStyle w:val="FigureCaption"/>
      </w:pPr>
      <w:r>
        <w:t>Figure 5. Annual average gas-oil ratio and water cut calculated from monthly aggregate volumes.</w:t>
      </w:r>
    </w:p>
    <w:tbl>
      <w:tblPr>
        <w:tblW w:type="auto" w:w="0"/>
        <w:jc w:val="center"/>
        <w:tblLayout w:type="fixed"/>
        <w:tblLook w:firstColumn="1" w:firstRow="1" w:lastColumn="0" w:lastRow="0" w:noHBand="0" w:noVBand="1" w:val="04A0"/>
        <w:tblBorders>
          <w:top w:val="single" w:sz="4" w:color="C9D3DD"/>
          <w:left w:val="single" w:sz="4" w:color="C9D3DD"/>
          <w:bottom w:val="single" w:sz="4" w:color="C9D3DD"/>
          <w:right w:val="single" w:sz="4" w:color="C9D3DD"/>
          <w:insideH w:val="single" w:sz="4" w:color="C9D3DD"/>
          <w:insideV w:val="single" w:sz="4" w:color="C9D3DD"/>
        </w:tblBorders>
      </w:tblPr>
      <w:tblGrid>
        <w:gridCol w:w="3456"/>
        <w:gridCol w:w="3456"/>
        <w:gridCol w:w="3456"/>
      </w:tblGrid>
      <w:tr>
        <w:trPr>
          <w:tblHeader w:val="true"/>
        </w:trPr>
        <w:tc>
          <w:tcPr>
            <w:tcW w:type="dxa" w:w="1440"/>
            <w:shd w:fill="17365D"/>
            <w:tcMar>
              <w:top w:w="70" w:type="dxa"/>
              <w:start w:w="80" w:type="dxa"/>
              <w:bottom w:w="70" w:type="dxa"/>
              <w:end w:w="80" w:type="dxa"/>
            </w:tcMar>
          </w:tcPr>
          <w:p>
            <w:pPr>
              <w:jc w:val="center"/>
            </w:pPr>
            <w:r>
              <w:rPr>
                <w:b/>
                <w:color w:val="FFFFFF"/>
                <w:sz w:val="17"/>
              </w:rPr>
              <w:t>Year</w:t>
            </w:r>
          </w:p>
        </w:tc>
        <w:tc>
          <w:tcPr>
            <w:tcW w:type="dxa" w:w="3600"/>
            <w:shd w:fill="17365D"/>
            <w:tcMar>
              <w:top w:w="70" w:type="dxa"/>
              <w:start w:w="80" w:type="dxa"/>
              <w:bottom w:w="70" w:type="dxa"/>
              <w:end w:w="80" w:type="dxa"/>
            </w:tcMar>
          </w:tcPr>
          <w:p>
            <w:pPr>
              <w:jc w:val="center"/>
            </w:pPr>
            <w:r>
              <w:rPr>
                <w:b/>
                <w:color w:val="FFFFFF"/>
                <w:sz w:val="17"/>
              </w:rPr>
              <w:t>Average GOR (scf/bbl)</w:t>
            </w:r>
          </w:p>
        </w:tc>
        <w:tc>
          <w:tcPr>
            <w:tcW w:type="dxa" w:w="3024"/>
            <w:shd w:fill="17365D"/>
            <w:tcMar>
              <w:top w:w="70" w:type="dxa"/>
              <w:start w:w="80" w:type="dxa"/>
              <w:bottom w:w="70" w:type="dxa"/>
              <w:end w:w="80" w:type="dxa"/>
            </w:tcMar>
          </w:tcPr>
          <w:p>
            <w:pPr>
              <w:jc w:val="center"/>
            </w:pPr>
            <w:r>
              <w:rPr>
                <w:b/>
                <w:color w:val="FFFFFF"/>
                <w:sz w:val="17"/>
              </w:rPr>
              <w:t>Average water cut</w:t>
            </w:r>
          </w:p>
        </w:tc>
      </w:tr>
      <w:tr>
        <w:tc>
          <w:tcPr>
            <w:tcW w:type="dxa" w:w="1440"/>
            <w:tcMar>
              <w:top w:w="70" w:type="dxa"/>
              <w:start w:w="80" w:type="dxa"/>
              <w:bottom w:w="70" w:type="dxa"/>
              <w:end w:w="80" w:type="dxa"/>
            </w:tcMar>
          </w:tcPr>
          <w:p>
            <w:pPr>
              <w:jc w:val="right"/>
            </w:pPr>
            <w:r>
              <w:rPr>
                <w:sz w:val="17"/>
              </w:rPr>
              <w:t>2007</w:t>
            </w:r>
          </w:p>
        </w:tc>
        <w:tc>
          <w:tcPr>
            <w:tcW w:type="dxa" w:w="3600"/>
            <w:tcMar>
              <w:top w:w="70" w:type="dxa"/>
              <w:start w:w="80" w:type="dxa"/>
              <w:bottom w:w="70" w:type="dxa"/>
              <w:end w:w="80" w:type="dxa"/>
            </w:tcMar>
          </w:tcPr>
          <w:p>
            <w:pPr>
              <w:jc w:val="left"/>
            </w:pPr>
            <w:r>
              <w:rPr>
                <w:sz w:val="17"/>
              </w:rPr>
              <w:t>861</w:t>
            </w:r>
          </w:p>
        </w:tc>
        <w:tc>
          <w:tcPr>
            <w:tcW w:type="dxa" w:w="3024"/>
            <w:tcMar>
              <w:top w:w="70" w:type="dxa"/>
              <w:start w:w="80" w:type="dxa"/>
              <w:bottom w:w="70" w:type="dxa"/>
              <w:end w:w="80" w:type="dxa"/>
            </w:tcMar>
          </w:tcPr>
          <w:p>
            <w:pPr>
              <w:jc w:val="left"/>
            </w:pPr>
            <w:r>
              <w:rPr>
                <w:sz w:val="17"/>
              </w:rPr>
              <w:t>10.2%</w:t>
            </w:r>
          </w:p>
        </w:tc>
      </w:tr>
      <w:tr>
        <w:tc>
          <w:tcPr>
            <w:tcW w:type="dxa" w:w="1440"/>
            <w:tcMar>
              <w:top w:w="70" w:type="dxa"/>
              <w:start w:w="80" w:type="dxa"/>
              <w:bottom w:w="70" w:type="dxa"/>
              <w:end w:w="80" w:type="dxa"/>
            </w:tcMar>
            <w:shd w:fill="F5F7F9"/>
          </w:tcPr>
          <w:p>
            <w:pPr>
              <w:jc w:val="right"/>
            </w:pPr>
            <w:r>
              <w:rPr>
                <w:sz w:val="17"/>
              </w:rPr>
              <w:t>2015</w:t>
            </w:r>
          </w:p>
        </w:tc>
        <w:tc>
          <w:tcPr>
            <w:tcW w:type="dxa" w:w="3600"/>
            <w:tcMar>
              <w:top w:w="70" w:type="dxa"/>
              <w:start w:w="80" w:type="dxa"/>
              <w:bottom w:w="70" w:type="dxa"/>
              <w:end w:w="80" w:type="dxa"/>
            </w:tcMar>
            <w:shd w:fill="F5F7F9"/>
          </w:tcPr>
          <w:p>
            <w:pPr>
              <w:jc w:val="left"/>
            </w:pPr>
            <w:r>
              <w:rPr>
                <w:sz w:val="17"/>
              </w:rPr>
              <w:t>1,464</w:t>
            </w:r>
          </w:p>
        </w:tc>
        <w:tc>
          <w:tcPr>
            <w:tcW w:type="dxa" w:w="3024"/>
            <w:tcMar>
              <w:top w:w="70" w:type="dxa"/>
              <w:start w:w="80" w:type="dxa"/>
              <w:bottom w:w="70" w:type="dxa"/>
              <w:end w:w="80" w:type="dxa"/>
            </w:tcMar>
            <w:shd w:fill="F5F7F9"/>
          </w:tcPr>
          <w:p>
            <w:pPr>
              <w:jc w:val="left"/>
            </w:pPr>
            <w:r>
              <w:rPr>
                <w:sz w:val="17"/>
              </w:rPr>
              <w:t>37.7%</w:t>
            </w:r>
          </w:p>
        </w:tc>
      </w:tr>
      <w:tr>
        <w:tc>
          <w:tcPr>
            <w:tcW w:type="dxa" w:w="1440"/>
            <w:tcMar>
              <w:top w:w="70" w:type="dxa"/>
              <w:start w:w="80" w:type="dxa"/>
              <w:bottom w:w="70" w:type="dxa"/>
              <w:end w:w="80" w:type="dxa"/>
            </w:tcMar>
          </w:tcPr>
          <w:p>
            <w:pPr>
              <w:jc w:val="right"/>
            </w:pPr>
            <w:r>
              <w:rPr>
                <w:sz w:val="17"/>
              </w:rPr>
              <w:t>2020</w:t>
            </w:r>
          </w:p>
        </w:tc>
        <w:tc>
          <w:tcPr>
            <w:tcW w:type="dxa" w:w="3600"/>
            <w:tcMar>
              <w:top w:w="70" w:type="dxa"/>
              <w:start w:w="80" w:type="dxa"/>
              <w:bottom w:w="70" w:type="dxa"/>
              <w:end w:w="80" w:type="dxa"/>
            </w:tcMar>
          </w:tcPr>
          <w:p>
            <w:pPr>
              <w:jc w:val="left"/>
            </w:pPr>
            <w:r>
              <w:rPr>
                <w:sz w:val="17"/>
              </w:rPr>
              <w:t>2,050</w:t>
            </w:r>
          </w:p>
        </w:tc>
        <w:tc>
          <w:tcPr>
            <w:tcW w:type="dxa" w:w="3024"/>
            <w:tcMar>
              <w:top w:w="70" w:type="dxa"/>
              <w:start w:w="80" w:type="dxa"/>
              <w:bottom w:w="70" w:type="dxa"/>
              <w:end w:w="80" w:type="dxa"/>
            </w:tcMar>
          </w:tcPr>
          <w:p>
            <w:pPr>
              <w:jc w:val="left"/>
            </w:pPr>
            <w:r>
              <w:rPr>
                <w:sz w:val="17"/>
              </w:rPr>
              <w:t>36.3%</w:t>
            </w:r>
          </w:p>
        </w:tc>
      </w:tr>
      <w:tr>
        <w:tc>
          <w:tcPr>
            <w:tcW w:type="dxa" w:w="1440"/>
            <w:tcMar>
              <w:top w:w="70" w:type="dxa"/>
              <w:start w:w="80" w:type="dxa"/>
              <w:bottom w:w="70" w:type="dxa"/>
              <w:end w:w="80" w:type="dxa"/>
            </w:tcMar>
            <w:shd w:fill="F5F7F9"/>
          </w:tcPr>
          <w:p>
            <w:pPr>
              <w:jc w:val="right"/>
            </w:pPr>
            <w:r>
              <w:rPr>
                <w:sz w:val="17"/>
              </w:rPr>
              <w:t>2024</w:t>
            </w:r>
          </w:p>
        </w:tc>
        <w:tc>
          <w:tcPr>
            <w:tcW w:type="dxa" w:w="3600"/>
            <w:tcMar>
              <w:top w:w="70" w:type="dxa"/>
              <w:start w:w="80" w:type="dxa"/>
              <w:bottom w:w="70" w:type="dxa"/>
              <w:end w:w="80" w:type="dxa"/>
            </w:tcMar>
            <w:shd w:fill="F5F7F9"/>
          </w:tcPr>
          <w:p>
            <w:pPr>
              <w:jc w:val="left"/>
            </w:pPr>
            <w:r>
              <w:rPr>
                <w:sz w:val="17"/>
              </w:rPr>
              <w:t>1,725</w:t>
            </w:r>
          </w:p>
        </w:tc>
        <w:tc>
          <w:tcPr>
            <w:tcW w:type="dxa" w:w="3024"/>
            <w:tcMar>
              <w:top w:w="70" w:type="dxa"/>
              <w:start w:w="80" w:type="dxa"/>
              <w:bottom w:w="70" w:type="dxa"/>
              <w:end w:w="80" w:type="dxa"/>
            </w:tcMar>
            <w:shd w:fill="F5F7F9"/>
          </w:tcPr>
          <w:p>
            <w:pPr>
              <w:jc w:val="left"/>
            </w:pPr>
            <w:r>
              <w:rPr>
                <w:sz w:val="17"/>
              </w:rPr>
              <w:t>40.9%</w:t>
            </w:r>
          </w:p>
        </w:tc>
      </w:tr>
      <w:tr>
        <w:tc>
          <w:tcPr>
            <w:tcW w:type="dxa" w:w="1440"/>
            <w:tcMar>
              <w:top w:w="70" w:type="dxa"/>
              <w:start w:w="80" w:type="dxa"/>
              <w:bottom w:w="70" w:type="dxa"/>
              <w:end w:w="80" w:type="dxa"/>
            </w:tcMar>
          </w:tcPr>
          <w:p>
            <w:pPr>
              <w:jc w:val="right"/>
            </w:pPr>
            <w:r>
              <w:rPr>
                <w:sz w:val="17"/>
              </w:rPr>
              <w:t>2025</w:t>
            </w:r>
          </w:p>
        </w:tc>
        <w:tc>
          <w:tcPr>
            <w:tcW w:type="dxa" w:w="3600"/>
            <w:tcMar>
              <w:top w:w="70" w:type="dxa"/>
              <w:start w:w="80" w:type="dxa"/>
              <w:bottom w:w="70" w:type="dxa"/>
              <w:end w:w="80" w:type="dxa"/>
            </w:tcMar>
          </w:tcPr>
          <w:p>
            <w:pPr>
              <w:jc w:val="left"/>
            </w:pPr>
            <w:r>
              <w:rPr>
                <w:sz w:val="17"/>
              </w:rPr>
              <w:t>1,712</w:t>
            </w:r>
          </w:p>
        </w:tc>
        <w:tc>
          <w:tcPr>
            <w:tcW w:type="dxa" w:w="3024"/>
            <w:tcMar>
              <w:top w:w="70" w:type="dxa"/>
              <w:start w:w="80" w:type="dxa"/>
              <w:bottom w:w="70" w:type="dxa"/>
              <w:end w:w="80" w:type="dxa"/>
            </w:tcMar>
          </w:tcPr>
          <w:p>
            <w:pPr>
              <w:jc w:val="left"/>
            </w:pPr>
            <w:r>
              <w:rPr>
                <w:sz w:val="17"/>
              </w:rPr>
              <w:t>38.1%</w:t>
            </w:r>
          </w:p>
        </w:tc>
      </w:tr>
    </w:tbl>
    <w:p>
      <w:r>
        <w:t>GOR increased from roughly 861 scf/bbl in 2007 to more than 2,000 scf/bbl around 2019-2023, before declining to about 1,712 scf/bbl in 2025. Water cut rose from about 10% near the annual oil peak to roughly 38% in 2025.</w:t>
      </w:r>
    </w:p>
    <w:p>
      <w:pPr>
        <w:pStyle w:val="Heading2"/>
      </w:pPr>
      <w:r>
        <w:t>Engineering implications</w:t>
      </w:r>
    </w:p>
    <w:p>
      <w:pPr>
        <w:pStyle w:val="ListBullet"/>
        <w:spacing w:after="40"/>
      </w:pPr>
      <w:r>
        <w:t>Higher GOR may reflect pressure depletion, changing phase behavior, gas breakthrough or relative-permeability effects.</w:t>
      </w:r>
    </w:p>
    <w:p>
      <w:pPr>
        <w:pStyle w:val="ListBullet"/>
        <w:spacing w:after="40"/>
      </w:pPr>
      <w:r>
        <w:t>Elevated water cut increases handling and disposal cost and can reduce oil-lifting efficiency.</w:t>
      </w:r>
    </w:p>
    <w:p>
      <w:pPr>
        <w:pStyle w:val="ListBullet"/>
        <w:spacing w:after="40"/>
      </w:pPr>
      <w:r>
        <w:t>Field-level ratios are weighted aggregates; well-level diagnostics are required to distinguish reservoir effects from individual-well anomalies.</w:t>
      </w:r>
    </w:p>
    <w:p>
      <w:r>
        <w:br w:type="page"/>
      </w:r>
    </w:p>
    <w:p>
      <w:pPr>
        <w:pStyle w:val="Heading1"/>
      </w:pPr>
      <w:r>
        <w:t>9. Well-level production performance</w:t>
      </w:r>
    </w:p>
    <w:p>
      <w:pPr>
        <w:spacing w:after="0"/>
        <w:jc w:val="center"/>
      </w:pPr>
      <w:r>
        <w:drawing>
          <wp:inline xmlns:a="http://schemas.openxmlformats.org/drawingml/2006/main" xmlns:pic="http://schemas.openxmlformats.org/drawingml/2006/picture">
            <wp:extent cx="6400800" cy="3509167"/>
            <wp:docPr id="6" name="Picture 6"/>
            <wp:cNvGraphicFramePr>
              <a:graphicFrameLocks noChangeAspect="1"/>
            </wp:cNvGraphicFramePr>
            <a:graphic>
              <a:graphicData uri="http://schemas.openxmlformats.org/drawingml/2006/picture">
                <pic:pic>
                  <pic:nvPicPr>
                    <pic:cNvPr id="0" name="fig06_top_wells.png"/>
                    <pic:cNvPicPr/>
                  </pic:nvPicPr>
                  <pic:blipFill>
                    <a:blip r:embed="rId16"/>
                    <a:stretch>
                      <a:fillRect/>
                    </a:stretch>
                  </pic:blipFill>
                  <pic:spPr>
                    <a:xfrm>
                      <a:off x="0" y="0"/>
                      <a:ext cx="6400800" cy="3509167"/>
                    </a:xfrm>
                    <a:prstGeom prst="rect"/>
                  </pic:spPr>
                </pic:pic>
              </a:graphicData>
            </a:graphic>
          </wp:inline>
        </w:drawing>
      </w:r>
    </w:p>
    <w:p>
      <w:pPr>
        <w:pStyle w:val="FigureCaption"/>
      </w:pPr>
      <w:r>
        <w:t>Figure 6. Top 10 wells ranked by cleaned cumulative oil production.</w:t>
      </w:r>
    </w:p>
    <w:tbl>
      <w:tblPr>
        <w:tblW w:type="auto" w:w="0"/>
        <w:jc w:val="center"/>
        <w:tblLayout w:type="fixed"/>
        <w:tblLook w:firstColumn="1" w:firstRow="1" w:lastColumn="0" w:lastRow="0" w:noHBand="0" w:noVBand="1" w:val="04A0"/>
        <w:tblBorders>
          <w:top w:val="single" w:sz="4" w:color="C9D3DD"/>
          <w:left w:val="single" w:sz="4" w:color="C9D3DD"/>
          <w:bottom w:val="single" w:sz="4" w:color="C9D3DD"/>
          <w:right w:val="single" w:sz="4" w:color="C9D3DD"/>
          <w:insideH w:val="single" w:sz="4" w:color="C9D3DD"/>
          <w:insideV w:val="single" w:sz="4" w:color="C9D3DD"/>
        </w:tblBorders>
      </w:tblPr>
      <w:tblGrid>
        <w:gridCol w:w="3456"/>
        <w:gridCol w:w="3456"/>
        <w:gridCol w:w="3456"/>
      </w:tblGrid>
      <w:tr>
        <w:trPr>
          <w:tblHeader w:val="true"/>
        </w:trPr>
        <w:tc>
          <w:tcPr>
            <w:tcW w:type="dxa" w:w="4032"/>
            <w:shd w:fill="17365D"/>
            <w:tcMar>
              <w:top w:w="70" w:type="dxa"/>
              <w:start w:w="80" w:type="dxa"/>
              <w:bottom w:w="70" w:type="dxa"/>
              <w:end w:w="80" w:type="dxa"/>
            </w:tcMar>
          </w:tcPr>
          <w:p>
            <w:pPr>
              <w:jc w:val="center"/>
            </w:pPr>
            <w:r>
              <w:rPr>
                <w:b/>
                <w:color w:val="FFFFFF"/>
                <w:sz w:val="16"/>
              </w:rPr>
              <w:t>API well</w:t>
            </w:r>
          </w:p>
        </w:tc>
        <w:tc>
          <w:tcPr>
            <w:tcW w:type="dxa" w:w="2880"/>
            <w:shd w:fill="17365D"/>
            <w:tcMar>
              <w:top w:w="70" w:type="dxa"/>
              <w:start w:w="80" w:type="dxa"/>
              <w:bottom w:w="70" w:type="dxa"/>
              <w:end w:w="80" w:type="dxa"/>
            </w:tcMar>
          </w:tcPr>
          <w:p>
            <w:pPr>
              <w:jc w:val="center"/>
            </w:pPr>
            <w:r>
              <w:rPr>
                <w:b/>
                <w:color w:val="FFFFFF"/>
                <w:sz w:val="16"/>
              </w:rPr>
              <w:t>Cumulative oil (bbl)</w:t>
            </w:r>
          </w:p>
        </w:tc>
        <w:tc>
          <w:tcPr>
            <w:tcW w:type="dxa" w:w="2448"/>
            <w:shd w:fill="17365D"/>
            <w:tcMar>
              <w:top w:w="70" w:type="dxa"/>
              <w:start w:w="80" w:type="dxa"/>
              <w:bottom w:w="70" w:type="dxa"/>
              <w:end w:w="80" w:type="dxa"/>
            </w:tcMar>
          </w:tcPr>
          <w:p>
            <w:pPr>
              <w:jc w:val="center"/>
            </w:pPr>
            <w:r>
              <w:rPr>
                <w:b/>
                <w:color w:val="FFFFFF"/>
                <w:sz w:val="16"/>
              </w:rPr>
              <w:t>2025 oil (bbl)</w:t>
            </w:r>
          </w:p>
        </w:tc>
      </w:tr>
      <w:tr>
        <w:tc>
          <w:tcPr>
            <w:tcW w:type="dxa" w:w="4032"/>
            <w:tcMar>
              <w:top w:w="70" w:type="dxa"/>
              <w:start w:w="80" w:type="dxa"/>
              <w:bottom w:w="70" w:type="dxa"/>
              <w:end w:w="80" w:type="dxa"/>
            </w:tcMar>
          </w:tcPr>
          <w:p>
            <w:pPr>
              <w:jc w:val="left"/>
            </w:pPr>
            <w:r>
              <w:rPr>
                <w:sz w:val="16"/>
              </w:rPr>
              <w:t>25-083-22255-00-00</w:t>
            </w:r>
          </w:p>
        </w:tc>
        <w:tc>
          <w:tcPr>
            <w:tcW w:type="dxa" w:w="2880"/>
            <w:tcMar>
              <w:top w:w="70" w:type="dxa"/>
              <w:start w:w="80" w:type="dxa"/>
              <w:bottom w:w="70" w:type="dxa"/>
              <w:end w:w="80" w:type="dxa"/>
            </w:tcMar>
          </w:tcPr>
          <w:p>
            <w:pPr>
              <w:jc w:val="left"/>
            </w:pPr>
            <w:r>
              <w:rPr>
                <w:sz w:val="16"/>
              </w:rPr>
              <w:t>898,070</w:t>
            </w:r>
          </w:p>
        </w:tc>
        <w:tc>
          <w:tcPr>
            <w:tcW w:type="dxa" w:w="2448"/>
            <w:tcMar>
              <w:top w:w="70" w:type="dxa"/>
              <w:start w:w="80" w:type="dxa"/>
              <w:bottom w:w="70" w:type="dxa"/>
              <w:end w:w="80" w:type="dxa"/>
            </w:tcMar>
          </w:tcPr>
          <w:p>
            <w:pPr>
              <w:jc w:val="left"/>
            </w:pPr>
            <w:r>
              <w:rPr>
                <w:sz w:val="16"/>
              </w:rPr>
              <w:t>2,593</w:t>
            </w:r>
          </w:p>
        </w:tc>
      </w:tr>
      <w:tr>
        <w:tc>
          <w:tcPr>
            <w:tcW w:type="dxa" w:w="4032"/>
            <w:tcMar>
              <w:top w:w="70" w:type="dxa"/>
              <w:start w:w="80" w:type="dxa"/>
              <w:bottom w:w="70" w:type="dxa"/>
              <w:end w:w="80" w:type="dxa"/>
            </w:tcMar>
            <w:shd w:fill="F5F7F9"/>
          </w:tcPr>
          <w:p>
            <w:pPr>
              <w:jc w:val="left"/>
            </w:pPr>
            <w:r>
              <w:rPr>
                <w:sz w:val="16"/>
              </w:rPr>
              <w:t>25-083-22097-00-00</w:t>
            </w:r>
          </w:p>
        </w:tc>
        <w:tc>
          <w:tcPr>
            <w:tcW w:type="dxa" w:w="2880"/>
            <w:tcMar>
              <w:top w:w="70" w:type="dxa"/>
              <w:start w:w="80" w:type="dxa"/>
              <w:bottom w:w="70" w:type="dxa"/>
              <w:end w:w="80" w:type="dxa"/>
            </w:tcMar>
            <w:shd w:fill="F5F7F9"/>
          </w:tcPr>
          <w:p>
            <w:pPr>
              <w:jc w:val="left"/>
            </w:pPr>
            <w:r>
              <w:rPr>
                <w:sz w:val="16"/>
              </w:rPr>
              <w:t>729,379</w:t>
            </w:r>
          </w:p>
        </w:tc>
        <w:tc>
          <w:tcPr>
            <w:tcW w:type="dxa" w:w="2448"/>
            <w:tcMar>
              <w:top w:w="70" w:type="dxa"/>
              <w:start w:w="80" w:type="dxa"/>
              <w:bottom w:w="70" w:type="dxa"/>
              <w:end w:w="80" w:type="dxa"/>
            </w:tcMar>
            <w:shd w:fill="F5F7F9"/>
          </w:tcPr>
          <w:p>
            <w:pPr>
              <w:jc w:val="left"/>
            </w:pPr>
            <w:r>
              <w:rPr>
                <w:sz w:val="16"/>
              </w:rPr>
              <w:t>6,132</w:t>
            </w:r>
          </w:p>
        </w:tc>
      </w:tr>
      <w:tr>
        <w:tc>
          <w:tcPr>
            <w:tcW w:type="dxa" w:w="4032"/>
            <w:tcMar>
              <w:top w:w="70" w:type="dxa"/>
              <w:start w:w="80" w:type="dxa"/>
              <w:bottom w:w="70" w:type="dxa"/>
              <w:end w:w="80" w:type="dxa"/>
            </w:tcMar>
          </w:tcPr>
          <w:p>
            <w:pPr>
              <w:jc w:val="left"/>
            </w:pPr>
            <w:r>
              <w:rPr>
                <w:sz w:val="16"/>
              </w:rPr>
              <w:t>25-083-22248-00-00</w:t>
            </w:r>
          </w:p>
        </w:tc>
        <w:tc>
          <w:tcPr>
            <w:tcW w:type="dxa" w:w="2880"/>
            <w:tcMar>
              <w:top w:w="70" w:type="dxa"/>
              <w:start w:w="80" w:type="dxa"/>
              <w:bottom w:w="70" w:type="dxa"/>
              <w:end w:w="80" w:type="dxa"/>
            </w:tcMar>
          </w:tcPr>
          <w:p>
            <w:pPr>
              <w:jc w:val="left"/>
            </w:pPr>
            <w:r>
              <w:rPr>
                <w:sz w:val="16"/>
              </w:rPr>
              <w:t>652,560</w:t>
            </w:r>
          </w:p>
        </w:tc>
        <w:tc>
          <w:tcPr>
            <w:tcW w:type="dxa" w:w="2448"/>
            <w:tcMar>
              <w:top w:w="70" w:type="dxa"/>
              <w:start w:w="80" w:type="dxa"/>
              <w:bottom w:w="70" w:type="dxa"/>
              <w:end w:w="80" w:type="dxa"/>
            </w:tcMar>
          </w:tcPr>
          <w:p>
            <w:pPr>
              <w:jc w:val="left"/>
            </w:pPr>
            <w:r>
              <w:rPr>
                <w:sz w:val="16"/>
              </w:rPr>
              <w:t>4,954</w:t>
            </w:r>
          </w:p>
        </w:tc>
      </w:tr>
      <w:tr>
        <w:tc>
          <w:tcPr>
            <w:tcW w:type="dxa" w:w="4032"/>
            <w:tcMar>
              <w:top w:w="70" w:type="dxa"/>
              <w:start w:w="80" w:type="dxa"/>
              <w:bottom w:w="70" w:type="dxa"/>
              <w:end w:w="80" w:type="dxa"/>
            </w:tcMar>
            <w:shd w:fill="F5F7F9"/>
          </w:tcPr>
          <w:p>
            <w:pPr>
              <w:jc w:val="left"/>
            </w:pPr>
            <w:r>
              <w:rPr>
                <w:sz w:val="16"/>
              </w:rPr>
              <w:t>25-083-21986-00-00</w:t>
            </w:r>
          </w:p>
        </w:tc>
        <w:tc>
          <w:tcPr>
            <w:tcW w:type="dxa" w:w="2880"/>
            <w:tcMar>
              <w:top w:w="70" w:type="dxa"/>
              <w:start w:w="80" w:type="dxa"/>
              <w:bottom w:w="70" w:type="dxa"/>
              <w:end w:w="80" w:type="dxa"/>
            </w:tcMar>
            <w:shd w:fill="F5F7F9"/>
          </w:tcPr>
          <w:p>
            <w:pPr>
              <w:jc w:val="left"/>
            </w:pPr>
            <w:r>
              <w:rPr>
                <w:sz w:val="16"/>
              </w:rPr>
              <w:t>598,932</w:t>
            </w:r>
          </w:p>
        </w:tc>
        <w:tc>
          <w:tcPr>
            <w:tcW w:type="dxa" w:w="2448"/>
            <w:tcMar>
              <w:top w:w="70" w:type="dxa"/>
              <w:start w:w="80" w:type="dxa"/>
              <w:bottom w:w="70" w:type="dxa"/>
              <w:end w:w="80" w:type="dxa"/>
            </w:tcMar>
            <w:shd w:fill="F5F7F9"/>
          </w:tcPr>
          <w:p>
            <w:pPr>
              <w:jc w:val="left"/>
            </w:pPr>
            <w:r>
              <w:rPr>
                <w:sz w:val="16"/>
              </w:rPr>
              <w:t>5,418</w:t>
            </w:r>
          </w:p>
        </w:tc>
      </w:tr>
      <w:tr>
        <w:tc>
          <w:tcPr>
            <w:tcW w:type="dxa" w:w="4032"/>
            <w:tcMar>
              <w:top w:w="70" w:type="dxa"/>
              <w:start w:w="80" w:type="dxa"/>
              <w:bottom w:w="70" w:type="dxa"/>
              <w:end w:w="80" w:type="dxa"/>
            </w:tcMar>
          </w:tcPr>
          <w:p>
            <w:pPr>
              <w:jc w:val="left"/>
            </w:pPr>
            <w:r>
              <w:rPr>
                <w:sz w:val="16"/>
              </w:rPr>
              <w:t>25-083-22423-00-00</w:t>
            </w:r>
          </w:p>
        </w:tc>
        <w:tc>
          <w:tcPr>
            <w:tcW w:type="dxa" w:w="2880"/>
            <w:tcMar>
              <w:top w:w="70" w:type="dxa"/>
              <w:start w:w="80" w:type="dxa"/>
              <w:bottom w:w="70" w:type="dxa"/>
              <w:end w:w="80" w:type="dxa"/>
            </w:tcMar>
          </w:tcPr>
          <w:p>
            <w:pPr>
              <w:jc w:val="left"/>
            </w:pPr>
            <w:r>
              <w:rPr>
                <w:sz w:val="16"/>
              </w:rPr>
              <w:t>572,987</w:t>
            </w:r>
          </w:p>
        </w:tc>
        <w:tc>
          <w:tcPr>
            <w:tcW w:type="dxa" w:w="2448"/>
            <w:tcMar>
              <w:top w:w="70" w:type="dxa"/>
              <w:start w:w="80" w:type="dxa"/>
              <w:bottom w:w="70" w:type="dxa"/>
              <w:end w:w="80" w:type="dxa"/>
            </w:tcMar>
          </w:tcPr>
          <w:p>
            <w:pPr>
              <w:jc w:val="left"/>
            </w:pPr>
            <w:r>
              <w:rPr>
                <w:sz w:val="16"/>
              </w:rPr>
              <w:t>5,208</w:t>
            </w:r>
          </w:p>
        </w:tc>
      </w:tr>
      <w:tr>
        <w:tc>
          <w:tcPr>
            <w:tcW w:type="dxa" w:w="4032"/>
            <w:tcMar>
              <w:top w:w="70" w:type="dxa"/>
              <w:start w:w="80" w:type="dxa"/>
              <w:bottom w:w="70" w:type="dxa"/>
              <w:end w:w="80" w:type="dxa"/>
            </w:tcMar>
            <w:shd w:fill="F5F7F9"/>
          </w:tcPr>
          <w:p>
            <w:pPr>
              <w:jc w:val="left"/>
            </w:pPr>
            <w:r>
              <w:rPr>
                <w:sz w:val="16"/>
              </w:rPr>
              <w:t>25-083-22160-00-00</w:t>
            </w:r>
          </w:p>
        </w:tc>
        <w:tc>
          <w:tcPr>
            <w:tcW w:type="dxa" w:w="2880"/>
            <w:tcMar>
              <w:top w:w="70" w:type="dxa"/>
              <w:start w:w="80" w:type="dxa"/>
              <w:bottom w:w="70" w:type="dxa"/>
              <w:end w:w="80" w:type="dxa"/>
            </w:tcMar>
            <w:shd w:fill="F5F7F9"/>
          </w:tcPr>
          <w:p>
            <w:pPr>
              <w:jc w:val="left"/>
            </w:pPr>
            <w:r>
              <w:rPr>
                <w:sz w:val="16"/>
              </w:rPr>
              <w:t>537,924</w:t>
            </w:r>
          </w:p>
        </w:tc>
        <w:tc>
          <w:tcPr>
            <w:tcW w:type="dxa" w:w="2448"/>
            <w:tcMar>
              <w:top w:w="70" w:type="dxa"/>
              <w:start w:w="80" w:type="dxa"/>
              <w:bottom w:w="70" w:type="dxa"/>
              <w:end w:w="80" w:type="dxa"/>
            </w:tcMar>
            <w:shd w:fill="F5F7F9"/>
          </w:tcPr>
          <w:p>
            <w:pPr>
              <w:jc w:val="left"/>
            </w:pPr>
            <w:r>
              <w:rPr>
                <w:sz w:val="16"/>
              </w:rPr>
              <w:t>2,557</w:t>
            </w:r>
          </w:p>
        </w:tc>
      </w:tr>
      <w:tr>
        <w:tc>
          <w:tcPr>
            <w:tcW w:type="dxa" w:w="4032"/>
            <w:tcMar>
              <w:top w:w="70" w:type="dxa"/>
              <w:start w:w="80" w:type="dxa"/>
              <w:bottom w:w="70" w:type="dxa"/>
              <w:end w:w="80" w:type="dxa"/>
            </w:tcMar>
          </w:tcPr>
          <w:p>
            <w:pPr>
              <w:jc w:val="left"/>
            </w:pPr>
            <w:r>
              <w:rPr>
                <w:sz w:val="16"/>
              </w:rPr>
              <w:t>25-083-22120-00-00</w:t>
            </w:r>
          </w:p>
        </w:tc>
        <w:tc>
          <w:tcPr>
            <w:tcW w:type="dxa" w:w="2880"/>
            <w:tcMar>
              <w:top w:w="70" w:type="dxa"/>
              <w:start w:w="80" w:type="dxa"/>
              <w:bottom w:w="70" w:type="dxa"/>
              <w:end w:w="80" w:type="dxa"/>
            </w:tcMar>
          </w:tcPr>
          <w:p>
            <w:pPr>
              <w:jc w:val="left"/>
            </w:pPr>
            <w:r>
              <w:rPr>
                <w:sz w:val="16"/>
              </w:rPr>
              <w:t>516,452</w:t>
            </w:r>
          </w:p>
        </w:tc>
        <w:tc>
          <w:tcPr>
            <w:tcW w:type="dxa" w:w="2448"/>
            <w:tcMar>
              <w:top w:w="70" w:type="dxa"/>
              <w:start w:w="80" w:type="dxa"/>
              <w:bottom w:w="70" w:type="dxa"/>
              <w:end w:w="80" w:type="dxa"/>
            </w:tcMar>
          </w:tcPr>
          <w:p>
            <w:pPr>
              <w:jc w:val="left"/>
            </w:pPr>
            <w:r>
              <w:rPr>
                <w:sz w:val="16"/>
              </w:rPr>
              <w:t>4,168</w:t>
            </w:r>
          </w:p>
        </w:tc>
      </w:tr>
      <w:tr>
        <w:tc>
          <w:tcPr>
            <w:tcW w:type="dxa" w:w="4032"/>
            <w:tcMar>
              <w:top w:w="70" w:type="dxa"/>
              <w:start w:w="80" w:type="dxa"/>
              <w:bottom w:w="70" w:type="dxa"/>
              <w:end w:w="80" w:type="dxa"/>
            </w:tcMar>
            <w:shd w:fill="F5F7F9"/>
          </w:tcPr>
          <w:p>
            <w:pPr>
              <w:jc w:val="left"/>
            </w:pPr>
            <w:r>
              <w:rPr>
                <w:sz w:val="16"/>
              </w:rPr>
              <w:t>25-083-22214-00-00</w:t>
            </w:r>
          </w:p>
        </w:tc>
        <w:tc>
          <w:tcPr>
            <w:tcW w:type="dxa" w:w="2880"/>
            <w:tcMar>
              <w:top w:w="70" w:type="dxa"/>
              <w:start w:w="80" w:type="dxa"/>
              <w:bottom w:w="70" w:type="dxa"/>
              <w:end w:w="80" w:type="dxa"/>
            </w:tcMar>
            <w:shd w:fill="F5F7F9"/>
          </w:tcPr>
          <w:p>
            <w:pPr>
              <w:jc w:val="left"/>
            </w:pPr>
            <w:r>
              <w:rPr>
                <w:sz w:val="16"/>
              </w:rPr>
              <w:t>503,286</w:t>
            </w:r>
          </w:p>
        </w:tc>
        <w:tc>
          <w:tcPr>
            <w:tcW w:type="dxa" w:w="2448"/>
            <w:tcMar>
              <w:top w:w="70" w:type="dxa"/>
              <w:start w:w="80" w:type="dxa"/>
              <w:bottom w:w="70" w:type="dxa"/>
              <w:end w:w="80" w:type="dxa"/>
            </w:tcMar>
            <w:shd w:fill="F5F7F9"/>
          </w:tcPr>
          <w:p>
            <w:pPr>
              <w:jc w:val="left"/>
            </w:pPr>
            <w:r>
              <w:rPr>
                <w:sz w:val="16"/>
              </w:rPr>
              <w:t>9,050</w:t>
            </w:r>
          </w:p>
        </w:tc>
      </w:tr>
    </w:tbl>
    <w:p>
      <w:pPr>
        <w:pStyle w:val="Heading2"/>
      </w:pPr>
      <w:r>
        <w:t>Leading 2025 producers</w:t>
      </w:r>
    </w:p>
    <w:p>
      <w:pPr>
        <w:pStyle w:val="ListBullet"/>
        <w:spacing w:after="40"/>
      </w:pPr>
      <w:r>
        <w:t>25-083-22196-00-00: 33,079 bbl in 2025.</w:t>
      </w:r>
    </w:p>
    <w:p>
      <w:pPr>
        <w:pStyle w:val="ListBullet"/>
        <w:spacing w:after="40"/>
      </w:pPr>
      <w:r>
        <w:t>25-083-22478-00-00: 31,234 bbl in 2025.</w:t>
      </w:r>
    </w:p>
    <w:p>
      <w:pPr>
        <w:pStyle w:val="ListBullet"/>
        <w:spacing w:after="40"/>
      </w:pPr>
      <w:r>
        <w:t>25-083-22357-00-00: 25,724 bbl in 2025.</w:t>
      </w:r>
    </w:p>
    <w:p>
      <w:pPr>
        <w:pStyle w:val="ListBullet"/>
        <w:spacing w:after="40"/>
      </w:pPr>
      <w:r>
        <w:t>25-083-22040-00-00: 22,163 bbl in 2025.</w:t>
      </w:r>
    </w:p>
    <w:p>
      <w:pPr>
        <w:pStyle w:val="ListBullet"/>
        <w:spacing w:after="40"/>
      </w:pPr>
      <w:r>
        <w:t>25-083-22210-00-00: 19,194 bbl in 2025.</w:t>
      </w:r>
    </w:p>
    <w:p>
      <w:r>
        <w:t>Historical leaders are not necessarily the strongest current producers. Mature-field surveillance should therefore combine cumulative production, recent rate, downtime, water cut and decline behavior.</w:t>
      </w:r>
    </w:p>
    <w:p>
      <w:r>
        <w:br w:type="page"/>
      </w:r>
    </w:p>
    <w:p>
      <w:pPr>
        <w:pStyle w:val="Heading1"/>
      </w:pPr>
      <w:r>
        <w:t>10. Forecast methodology and model selection</w:t>
      </w:r>
    </w:p>
    <w:p>
      <w:r>
        <w:t>The forecast target is aggregate monthly oil production for the wells in the workbook. Models were fitted to field calendar-day oil rate and converted back to monthly volumes using the number of calendar days.</w:t>
      </w:r>
    </w:p>
    <w:p>
      <w:pPr>
        <w:pStyle w:val="Heading2"/>
      </w:pPr>
      <w:r>
        <w:t>Decline models evaluated</w:t>
      </w:r>
    </w:p>
    <w:tbl>
      <w:tblPr>
        <w:tblW w:type="auto" w:w="0"/>
        <w:jc w:val="center"/>
        <w:tblLayout w:type="fixed"/>
        <w:tblLook w:firstColumn="1" w:firstRow="1" w:lastColumn="0" w:lastRow="0" w:noHBand="0" w:noVBand="1" w:val="04A0"/>
        <w:tblBorders>
          <w:top w:val="single" w:sz="4" w:color="C9D3DD"/>
          <w:left w:val="single" w:sz="4" w:color="C9D3DD"/>
          <w:bottom w:val="single" w:sz="4" w:color="C9D3DD"/>
          <w:right w:val="single" w:sz="4" w:color="C9D3DD"/>
          <w:insideH w:val="single" w:sz="4" w:color="C9D3DD"/>
          <w:insideV w:val="single" w:sz="4" w:color="C9D3DD"/>
        </w:tblBorders>
      </w:tblPr>
      <w:tblGrid>
        <w:gridCol w:w="3456"/>
        <w:gridCol w:w="3456"/>
        <w:gridCol w:w="3456"/>
      </w:tblGrid>
      <w:tr>
        <w:trPr>
          <w:tblHeader w:val="true"/>
        </w:trPr>
        <w:tc>
          <w:tcPr>
            <w:tcW w:type="dxa" w:w="1728"/>
            <w:shd w:fill="17365D"/>
            <w:tcMar>
              <w:top w:w="70" w:type="dxa"/>
              <w:start w:w="80" w:type="dxa"/>
              <w:bottom w:w="70" w:type="dxa"/>
              <w:end w:w="80" w:type="dxa"/>
            </w:tcMar>
          </w:tcPr>
          <w:p>
            <w:pPr>
              <w:jc w:val="center"/>
            </w:pPr>
            <w:r>
              <w:rPr>
                <w:b/>
                <w:color w:val="FFFFFF"/>
                <w:sz w:val="16"/>
              </w:rPr>
              <w:t>Model</w:t>
            </w:r>
          </w:p>
        </w:tc>
        <w:tc>
          <w:tcPr>
            <w:tcW w:type="dxa" w:w="3600"/>
            <w:shd w:fill="17365D"/>
            <w:tcMar>
              <w:top w:w="70" w:type="dxa"/>
              <w:start w:w="80" w:type="dxa"/>
              <w:bottom w:w="70" w:type="dxa"/>
              <w:end w:w="80" w:type="dxa"/>
            </w:tcMar>
          </w:tcPr>
          <w:p>
            <w:pPr>
              <w:jc w:val="center"/>
            </w:pPr>
            <w:r>
              <w:rPr>
                <w:b/>
                <w:color w:val="FFFFFF"/>
                <w:sz w:val="16"/>
              </w:rPr>
              <w:t>Equation</w:t>
            </w:r>
          </w:p>
        </w:tc>
        <w:tc>
          <w:tcPr>
            <w:tcW w:type="dxa" w:w="4320"/>
            <w:shd w:fill="17365D"/>
            <w:tcMar>
              <w:top w:w="70" w:type="dxa"/>
              <w:start w:w="80" w:type="dxa"/>
              <w:bottom w:w="70" w:type="dxa"/>
              <w:end w:w="80" w:type="dxa"/>
            </w:tcMar>
          </w:tcPr>
          <w:p>
            <w:pPr>
              <w:jc w:val="center"/>
            </w:pPr>
            <w:r>
              <w:rPr>
                <w:b/>
                <w:color w:val="FFFFFF"/>
                <w:sz w:val="16"/>
              </w:rPr>
              <w:t>Interpretation</w:t>
            </w:r>
          </w:p>
        </w:tc>
      </w:tr>
      <w:tr>
        <w:tc>
          <w:tcPr>
            <w:tcW w:type="dxa" w:w="1728"/>
            <w:tcMar>
              <w:top w:w="70" w:type="dxa"/>
              <w:start w:w="80" w:type="dxa"/>
              <w:bottom w:w="70" w:type="dxa"/>
              <w:end w:w="80" w:type="dxa"/>
            </w:tcMar>
          </w:tcPr>
          <w:p>
            <w:pPr>
              <w:jc w:val="left"/>
            </w:pPr>
            <w:r>
              <w:rPr>
                <w:sz w:val="16"/>
              </w:rPr>
              <w:t>Exponential</w:t>
            </w:r>
          </w:p>
        </w:tc>
        <w:tc>
          <w:tcPr>
            <w:tcW w:type="dxa" w:w="3600"/>
            <w:tcMar>
              <w:top w:w="70" w:type="dxa"/>
              <w:start w:w="80" w:type="dxa"/>
              <w:bottom w:w="70" w:type="dxa"/>
              <w:end w:w="80" w:type="dxa"/>
            </w:tcMar>
          </w:tcPr>
          <w:p>
            <w:pPr>
              <w:jc w:val="left"/>
            </w:pPr>
            <w:r>
              <w:rPr>
                <w:sz w:val="16"/>
              </w:rPr>
              <w:t>q(t) = qi exp(-D t)</w:t>
            </w:r>
          </w:p>
        </w:tc>
        <w:tc>
          <w:tcPr>
            <w:tcW w:type="dxa" w:w="4320"/>
            <w:tcMar>
              <w:top w:w="70" w:type="dxa"/>
              <w:start w:w="80" w:type="dxa"/>
              <w:bottom w:w="70" w:type="dxa"/>
              <w:end w:w="80" w:type="dxa"/>
            </w:tcMar>
          </w:tcPr>
          <w:p>
            <w:pPr>
              <w:jc w:val="left"/>
            </w:pPr>
            <w:r>
              <w:rPr>
                <w:sz w:val="16"/>
              </w:rPr>
              <w:t>Constant fractional decline rate.</w:t>
            </w:r>
          </w:p>
        </w:tc>
      </w:tr>
      <w:tr>
        <w:tc>
          <w:tcPr>
            <w:tcW w:type="dxa" w:w="1728"/>
            <w:tcMar>
              <w:top w:w="70" w:type="dxa"/>
              <w:start w:w="80" w:type="dxa"/>
              <w:bottom w:w="70" w:type="dxa"/>
              <w:end w:w="80" w:type="dxa"/>
            </w:tcMar>
            <w:shd w:fill="F5F7F9"/>
          </w:tcPr>
          <w:p>
            <w:pPr>
              <w:jc w:val="left"/>
            </w:pPr>
            <w:r>
              <w:rPr>
                <w:sz w:val="16"/>
              </w:rPr>
              <w:t>Harmonic</w:t>
            </w:r>
          </w:p>
        </w:tc>
        <w:tc>
          <w:tcPr>
            <w:tcW w:type="dxa" w:w="3600"/>
            <w:tcMar>
              <w:top w:w="70" w:type="dxa"/>
              <w:start w:w="80" w:type="dxa"/>
              <w:bottom w:w="70" w:type="dxa"/>
              <w:end w:w="80" w:type="dxa"/>
            </w:tcMar>
            <w:shd w:fill="F5F7F9"/>
          </w:tcPr>
          <w:p>
            <w:pPr>
              <w:jc w:val="left"/>
            </w:pPr>
            <w:r>
              <w:rPr>
                <w:sz w:val="16"/>
              </w:rPr>
              <w:t>q(t) = qi / (1 + D t)</w:t>
            </w:r>
          </w:p>
        </w:tc>
        <w:tc>
          <w:tcPr>
            <w:tcW w:type="dxa" w:w="4320"/>
            <w:tcMar>
              <w:top w:w="70" w:type="dxa"/>
              <w:start w:w="80" w:type="dxa"/>
              <w:bottom w:w="70" w:type="dxa"/>
              <w:end w:w="80" w:type="dxa"/>
            </w:tcMar>
            <w:shd w:fill="F5F7F9"/>
          </w:tcPr>
          <w:p>
            <w:pPr>
              <w:jc w:val="left"/>
            </w:pPr>
            <w:r>
              <w:rPr>
                <w:sz w:val="16"/>
              </w:rPr>
              <w:t>Decline slows with time; equivalent to hyperbolic b = 1.</w:t>
            </w:r>
          </w:p>
        </w:tc>
      </w:tr>
      <w:tr>
        <w:tc>
          <w:tcPr>
            <w:tcW w:type="dxa" w:w="1728"/>
            <w:tcMar>
              <w:top w:w="70" w:type="dxa"/>
              <w:start w:w="80" w:type="dxa"/>
              <w:bottom w:w="70" w:type="dxa"/>
              <w:end w:w="80" w:type="dxa"/>
            </w:tcMar>
          </w:tcPr>
          <w:p>
            <w:pPr>
              <w:jc w:val="left"/>
            </w:pPr>
            <w:r>
              <w:rPr>
                <w:sz w:val="16"/>
              </w:rPr>
              <w:t>Hyperbolic</w:t>
            </w:r>
          </w:p>
        </w:tc>
        <w:tc>
          <w:tcPr>
            <w:tcW w:type="dxa" w:w="3600"/>
            <w:tcMar>
              <w:top w:w="70" w:type="dxa"/>
              <w:start w:w="80" w:type="dxa"/>
              <w:bottom w:w="70" w:type="dxa"/>
              <w:end w:w="80" w:type="dxa"/>
            </w:tcMar>
          </w:tcPr>
          <w:p>
            <w:pPr>
              <w:jc w:val="left"/>
            </w:pPr>
            <w:r>
              <w:rPr>
                <w:sz w:val="16"/>
              </w:rPr>
              <w:t>q(t) = qi / (1 + b Di t)^(1/b)</w:t>
            </w:r>
          </w:p>
        </w:tc>
        <w:tc>
          <w:tcPr>
            <w:tcW w:type="dxa" w:w="4320"/>
            <w:tcMar>
              <w:top w:w="70" w:type="dxa"/>
              <w:start w:w="80" w:type="dxa"/>
              <w:bottom w:w="70" w:type="dxa"/>
              <w:end w:w="80" w:type="dxa"/>
            </w:tcMar>
          </w:tcPr>
          <w:p>
            <w:pPr>
              <w:jc w:val="left"/>
            </w:pPr>
            <w:r>
              <w:rPr>
                <w:sz w:val="16"/>
              </w:rPr>
              <w:t>Flexible decline with curvature controlled by b.</w:t>
            </w:r>
          </w:p>
        </w:tc>
      </w:tr>
    </w:tbl>
    <w:p>
      <w:pPr>
        <w:spacing w:after="0"/>
        <w:jc w:val="center"/>
      </w:pPr>
      <w:r>
        <w:drawing>
          <wp:inline xmlns:a="http://schemas.openxmlformats.org/drawingml/2006/main" xmlns:pic="http://schemas.openxmlformats.org/drawingml/2006/picture">
            <wp:extent cx="6217920" cy="3272589"/>
            <wp:docPr id="7" name="Picture 7"/>
            <wp:cNvGraphicFramePr>
              <a:graphicFrameLocks noChangeAspect="1"/>
            </wp:cNvGraphicFramePr>
            <a:graphic>
              <a:graphicData uri="http://schemas.openxmlformats.org/drawingml/2006/picture">
                <pic:pic>
                  <pic:nvPicPr>
                    <pic:cNvPr id="0" name="fig07_model_comparison.png"/>
                    <pic:cNvPicPr/>
                  </pic:nvPicPr>
                  <pic:blipFill>
                    <a:blip r:embed="rId17"/>
                    <a:stretch>
                      <a:fillRect/>
                    </a:stretch>
                  </pic:blipFill>
                  <pic:spPr>
                    <a:xfrm>
                      <a:off x="0" y="0"/>
                      <a:ext cx="6217920" cy="3272589"/>
                    </a:xfrm>
                    <a:prstGeom prst="rect"/>
                  </pic:spPr>
                </pic:pic>
              </a:graphicData>
            </a:graphic>
          </wp:inline>
        </w:drawing>
      </w:r>
    </w:p>
    <w:p>
      <w:pPr>
        <w:pStyle w:val="FigureCaption"/>
      </w:pPr>
      <w:r>
        <w:t>Figure 7. Best model/window configurations ranked by 2025 backtest MAPE.</w:t>
      </w:r>
    </w:p>
    <w:p>
      <w:r>
        <w:t>The selected configuration was a hyperbolic model fitted to 120 months of history. Its 2025 MAPE was 5.8%, with RMSE of 3,258 bbl/month. The final fit through December 2025 produced qi = 2,784 BOPD, Di = 0.0126 per month and b = 2.00.</w:t>
      </w:r>
    </w:p>
    <w:tbl>
      <w:tblPr>
        <w:tblW w:type="auto" w:w="0"/>
        <w:jc w:val="center"/>
        <w:tblLook w:firstColumn="1" w:firstRow="1" w:lastColumn="0" w:lastRow="0" w:noHBand="0" w:noVBand="1" w:val="04A0"/>
        <w:tblBorders>
          <w:top w:val="single" w:sz="4" w:color="EAF2F8"/>
          <w:left w:val="single" w:sz="4" w:color="EAF2F8"/>
          <w:bottom w:val="single" w:sz="4" w:color="EAF2F8"/>
          <w:right w:val="single" w:sz="4" w:color="EAF2F8"/>
          <w:insideH w:val="single" w:sz="4" w:color="EAF2F8"/>
          <w:insideV w:val="single" w:sz="4" w:color="EAF2F8"/>
        </w:tblBorders>
      </w:tblPr>
      <w:tblGrid>
        <w:gridCol w:w="10368"/>
      </w:tblGrid>
      <w:tr>
        <w:tc>
          <w:tcPr>
            <w:tcW w:type="dxa" w:w="10368"/>
            <w:shd w:fill="EAF2F8"/>
            <w:tcMar>
              <w:top w:w="100" w:type="dxa"/>
              <w:start w:w="140" w:type="dxa"/>
              <w:bottom w:w="100" w:type="dxa"/>
              <w:end w:w="140" w:type="dxa"/>
            </w:tcMar>
          </w:tcPr>
          <w:p>
            <w:r>
              <w:rPr>
                <w:b/>
                <w:color w:val="17365D"/>
              </w:rPr>
              <w:t xml:space="preserve">Model caution: </w:t>
            </w:r>
            <w:r>
              <w:t>The fitted b value reached the imposed upper bound of 2.0. This suggests strong flattening and is one reason the forecast horizon is limited to two years.</w:t>
            </w:r>
          </w:p>
        </w:tc>
      </w:tr>
    </w:tbl>
    <w:p>
      <w:r>
        <w:br w:type="page"/>
      </w:r>
    </w:p>
    <w:p>
      <w:pPr>
        <w:pStyle w:val="Heading1"/>
      </w:pPr>
      <w:r>
        <w:t>11. Backtest validation</w:t>
      </w:r>
    </w:p>
    <w:p>
      <w:pPr>
        <w:spacing w:after="0"/>
        <w:jc w:val="center"/>
      </w:pPr>
      <w:r>
        <w:drawing>
          <wp:inline xmlns:a="http://schemas.openxmlformats.org/drawingml/2006/main" xmlns:pic="http://schemas.openxmlformats.org/drawingml/2006/picture">
            <wp:extent cx="5715000" cy="2950996"/>
            <wp:docPr id="8" name="Picture 8"/>
            <wp:cNvGraphicFramePr>
              <a:graphicFrameLocks noChangeAspect="1"/>
            </wp:cNvGraphicFramePr>
            <a:graphic>
              <a:graphicData uri="http://schemas.openxmlformats.org/drawingml/2006/picture">
                <pic:pic>
                  <pic:nvPicPr>
                    <pic:cNvPr id="0" name="fig08_backtest.png"/>
                    <pic:cNvPicPr/>
                  </pic:nvPicPr>
                  <pic:blipFill>
                    <a:blip r:embed="rId18"/>
                    <a:stretch>
                      <a:fillRect/>
                    </a:stretch>
                  </pic:blipFill>
                  <pic:spPr>
                    <a:xfrm>
                      <a:off x="0" y="0"/>
                      <a:ext cx="5715000" cy="2950996"/>
                    </a:xfrm>
                    <a:prstGeom prst="rect"/>
                  </pic:spPr>
                </pic:pic>
              </a:graphicData>
            </a:graphic>
          </wp:inline>
        </w:drawing>
      </w:r>
    </w:p>
    <w:p>
      <w:pPr>
        <w:pStyle w:val="FigureCaption"/>
      </w:pPr>
      <w:r>
        <w:t>Figure 8. Actual 2025 monthly oil compared with the prediction made using data only through December 2024.</w:t>
      </w:r>
    </w:p>
    <w:p>
      <w:pPr>
        <w:spacing w:after="0"/>
      </w:pPr>
    </w:p>
    <w:p>
      <w:pPr/>
      <w:r>
        <w:t>The selected model achieved MAPE of 5.8%, MAE of 2,674 bbl/month and RMSE of 3,258 bbl/month. It underpredicted the first half of 2025 and tracked the second half more closely; operational fluctuations are not captured by a smooth decline curve.</w:t>
      </w:r>
    </w:p>
    <w:tbl>
      <w:tblPr>
        <w:tblW w:type="auto" w:w="0"/>
        <w:jc w:val="center"/>
        <w:tblLayout w:type="fixed"/>
        <w:tblLook w:firstColumn="1" w:firstRow="1" w:lastColumn="0" w:lastRow="0" w:noHBand="0" w:noVBand="1" w:val="04A0"/>
        <w:tblBorders>
          <w:top w:val="single" w:sz="4" w:color="C9D3DD"/>
          <w:left w:val="single" w:sz="4" w:color="C9D3DD"/>
          <w:bottom w:val="single" w:sz="4" w:color="C9D3DD"/>
          <w:right w:val="single" w:sz="4" w:color="C9D3DD"/>
          <w:insideH w:val="single" w:sz="4" w:color="C9D3DD"/>
          <w:insideV w:val="single" w:sz="4" w:color="C9D3DD"/>
        </w:tblBorders>
      </w:tblPr>
      <w:tblGrid>
        <w:gridCol w:w="2592"/>
        <w:gridCol w:w="2592"/>
        <w:gridCol w:w="2592"/>
        <w:gridCol w:w="2592"/>
      </w:tblGrid>
      <w:tr>
        <w:trPr>
          <w:tblHeader w:val="true"/>
        </w:trPr>
        <w:tc>
          <w:tcPr>
            <w:tcW w:type="dxa" w:w="1584"/>
            <w:shd w:fill="17365D"/>
            <w:tcMar>
              <w:top w:w="25" w:type="dxa"/>
              <w:start w:w="45" w:type="dxa"/>
              <w:bottom w:w="25" w:type="dxa"/>
              <w:end w:w="45" w:type="dxa"/>
            </w:tcMar>
          </w:tcPr>
          <w:p>
            <w:pPr>
              <w:spacing w:after="0" w:before="0" w:line="240" w:lineRule="auto"/>
              <w:jc w:val="center"/>
            </w:pPr>
            <w:r>
              <w:rPr>
                <w:b/>
                <w:color w:val="FFFFFF"/>
                <w:sz w:val="13"/>
              </w:rPr>
              <w:t>2025 month</w:t>
            </w:r>
          </w:p>
        </w:tc>
        <w:tc>
          <w:tcPr>
            <w:tcW w:type="dxa" w:w="2304"/>
            <w:shd w:fill="17365D"/>
            <w:tcMar>
              <w:top w:w="25" w:type="dxa"/>
              <w:start w:w="45" w:type="dxa"/>
              <w:bottom w:w="25" w:type="dxa"/>
              <w:end w:w="45" w:type="dxa"/>
            </w:tcMar>
          </w:tcPr>
          <w:p>
            <w:pPr>
              <w:spacing w:after="0" w:before="0" w:line="240" w:lineRule="auto"/>
              <w:jc w:val="center"/>
            </w:pPr>
            <w:r>
              <w:rPr>
                <w:b/>
                <w:color w:val="FFFFFF"/>
                <w:sz w:val="13"/>
              </w:rPr>
              <w:t>Actual</w:t>
            </w:r>
          </w:p>
        </w:tc>
        <w:tc>
          <w:tcPr>
            <w:tcW w:type="dxa" w:w="2304"/>
            <w:shd w:fill="17365D"/>
            <w:tcMar>
              <w:top w:w="25" w:type="dxa"/>
              <w:start w:w="45" w:type="dxa"/>
              <w:bottom w:w="25" w:type="dxa"/>
              <w:end w:w="45" w:type="dxa"/>
            </w:tcMar>
          </w:tcPr>
          <w:p>
            <w:pPr>
              <w:spacing w:after="0" w:before="0" w:line="240" w:lineRule="auto"/>
              <w:jc w:val="center"/>
            </w:pPr>
            <w:r>
              <w:rPr>
                <w:b/>
                <w:color w:val="FFFFFF"/>
                <w:sz w:val="13"/>
              </w:rPr>
              <w:t>Predicted</w:t>
            </w:r>
          </w:p>
        </w:tc>
        <w:tc>
          <w:tcPr>
            <w:tcW w:type="dxa" w:w="1728"/>
            <w:shd w:fill="17365D"/>
            <w:tcMar>
              <w:top w:w="25" w:type="dxa"/>
              <w:start w:w="45" w:type="dxa"/>
              <w:bottom w:w="25" w:type="dxa"/>
              <w:end w:w="45" w:type="dxa"/>
            </w:tcMar>
          </w:tcPr>
          <w:p>
            <w:pPr>
              <w:spacing w:after="0" w:before="0" w:line="240" w:lineRule="auto"/>
              <w:jc w:val="center"/>
            </w:pPr>
            <w:r>
              <w:rPr>
                <w:b/>
                <w:color w:val="FFFFFF"/>
                <w:sz w:val="13"/>
              </w:rPr>
              <w:t>Error</w:t>
            </w:r>
          </w:p>
        </w:tc>
      </w:tr>
      <w:tr>
        <w:tc>
          <w:tcPr>
            <w:tcW w:type="dxa" w:w="1584"/>
            <w:tcMar>
              <w:top w:w="25" w:type="dxa"/>
              <w:start w:w="45" w:type="dxa"/>
              <w:bottom w:w="25" w:type="dxa"/>
              <w:end w:w="45" w:type="dxa"/>
            </w:tcMar>
          </w:tcPr>
          <w:p>
            <w:pPr>
              <w:spacing w:after="0" w:before="0" w:line="240" w:lineRule="auto"/>
              <w:jc w:val="left"/>
            </w:pPr>
            <w:r>
              <w:rPr>
                <w:sz w:val="13"/>
              </w:rPr>
              <w:t>Jan</w:t>
            </w:r>
          </w:p>
        </w:tc>
        <w:tc>
          <w:tcPr>
            <w:tcW w:type="dxa" w:w="2304"/>
            <w:tcMar>
              <w:top w:w="25" w:type="dxa"/>
              <w:start w:w="45" w:type="dxa"/>
              <w:bottom w:w="25" w:type="dxa"/>
              <w:end w:w="45" w:type="dxa"/>
            </w:tcMar>
          </w:tcPr>
          <w:p>
            <w:pPr>
              <w:spacing w:after="0" w:before="0" w:line="240" w:lineRule="auto"/>
              <w:jc w:val="left"/>
            </w:pPr>
            <w:r>
              <w:rPr>
                <w:sz w:val="13"/>
              </w:rPr>
              <w:t>50,879</w:t>
            </w:r>
          </w:p>
        </w:tc>
        <w:tc>
          <w:tcPr>
            <w:tcW w:type="dxa" w:w="2304"/>
            <w:tcMar>
              <w:top w:w="25" w:type="dxa"/>
              <w:start w:w="45" w:type="dxa"/>
              <w:bottom w:w="25" w:type="dxa"/>
              <w:end w:w="45" w:type="dxa"/>
            </w:tcMar>
          </w:tcPr>
          <w:p>
            <w:pPr>
              <w:spacing w:after="0" w:before="0" w:line="240" w:lineRule="auto"/>
              <w:jc w:val="left"/>
            </w:pPr>
            <w:r>
              <w:rPr>
                <w:sz w:val="13"/>
              </w:rPr>
              <w:t>44,115</w:t>
            </w:r>
          </w:p>
        </w:tc>
        <w:tc>
          <w:tcPr>
            <w:tcW w:type="dxa" w:w="1728"/>
            <w:tcMar>
              <w:top w:w="25" w:type="dxa"/>
              <w:start w:w="45" w:type="dxa"/>
              <w:bottom w:w="25" w:type="dxa"/>
              <w:end w:w="45" w:type="dxa"/>
            </w:tcMar>
          </w:tcPr>
          <w:p>
            <w:pPr>
              <w:spacing w:after="0" w:before="0" w:line="240" w:lineRule="auto"/>
              <w:jc w:val="left"/>
            </w:pPr>
            <w:r>
              <w:rPr>
                <w:sz w:val="13"/>
              </w:rPr>
              <w:t>-13.3%</w:t>
            </w:r>
          </w:p>
        </w:tc>
      </w:tr>
      <w:tr>
        <w:tc>
          <w:tcPr>
            <w:tcW w:type="dxa" w:w="1584"/>
            <w:tcMar>
              <w:top w:w="25" w:type="dxa"/>
              <w:start w:w="45" w:type="dxa"/>
              <w:bottom w:w="25" w:type="dxa"/>
              <w:end w:w="45" w:type="dxa"/>
            </w:tcMar>
            <w:shd w:fill="F5F7F9"/>
          </w:tcPr>
          <w:p>
            <w:pPr>
              <w:spacing w:after="0" w:before="0" w:line="240" w:lineRule="auto"/>
              <w:jc w:val="left"/>
            </w:pPr>
            <w:r>
              <w:rPr>
                <w:sz w:val="13"/>
              </w:rPr>
              <w:t>Feb</w:t>
            </w:r>
          </w:p>
        </w:tc>
        <w:tc>
          <w:tcPr>
            <w:tcW w:type="dxa" w:w="2304"/>
            <w:tcMar>
              <w:top w:w="25" w:type="dxa"/>
              <w:start w:w="45" w:type="dxa"/>
              <w:bottom w:w="25" w:type="dxa"/>
              <w:end w:w="45" w:type="dxa"/>
            </w:tcMar>
            <w:shd w:fill="F5F7F9"/>
          </w:tcPr>
          <w:p>
            <w:pPr>
              <w:spacing w:after="0" w:before="0" w:line="240" w:lineRule="auto"/>
              <w:jc w:val="left"/>
            </w:pPr>
            <w:r>
              <w:rPr>
                <w:sz w:val="13"/>
              </w:rPr>
              <w:t>42,869</w:t>
            </w:r>
          </w:p>
        </w:tc>
        <w:tc>
          <w:tcPr>
            <w:tcW w:type="dxa" w:w="2304"/>
            <w:tcMar>
              <w:top w:w="25" w:type="dxa"/>
              <w:start w:w="45" w:type="dxa"/>
              <w:bottom w:w="25" w:type="dxa"/>
              <w:end w:w="45" w:type="dxa"/>
            </w:tcMar>
            <w:shd w:fill="F5F7F9"/>
          </w:tcPr>
          <w:p>
            <w:pPr>
              <w:spacing w:after="0" w:before="0" w:line="240" w:lineRule="auto"/>
              <w:jc w:val="left"/>
            </w:pPr>
            <w:r>
              <w:rPr>
                <w:sz w:val="13"/>
              </w:rPr>
              <w:t>39,709</w:t>
            </w:r>
          </w:p>
        </w:tc>
        <w:tc>
          <w:tcPr>
            <w:tcW w:type="dxa" w:w="1728"/>
            <w:tcMar>
              <w:top w:w="25" w:type="dxa"/>
              <w:start w:w="45" w:type="dxa"/>
              <w:bottom w:w="25" w:type="dxa"/>
              <w:end w:w="45" w:type="dxa"/>
            </w:tcMar>
            <w:shd w:fill="F5F7F9"/>
          </w:tcPr>
          <w:p>
            <w:pPr>
              <w:spacing w:after="0" w:before="0" w:line="240" w:lineRule="auto"/>
              <w:jc w:val="left"/>
            </w:pPr>
            <w:r>
              <w:rPr>
                <w:sz w:val="13"/>
              </w:rPr>
              <w:t>-7.4%</w:t>
            </w:r>
          </w:p>
        </w:tc>
      </w:tr>
      <w:tr>
        <w:tc>
          <w:tcPr>
            <w:tcW w:type="dxa" w:w="1584"/>
            <w:tcMar>
              <w:top w:w="25" w:type="dxa"/>
              <w:start w:w="45" w:type="dxa"/>
              <w:bottom w:w="25" w:type="dxa"/>
              <w:end w:w="45" w:type="dxa"/>
            </w:tcMar>
          </w:tcPr>
          <w:p>
            <w:pPr>
              <w:spacing w:after="0" w:before="0" w:line="240" w:lineRule="auto"/>
              <w:jc w:val="left"/>
            </w:pPr>
            <w:r>
              <w:rPr>
                <w:sz w:val="13"/>
              </w:rPr>
              <w:t>Mar</w:t>
            </w:r>
          </w:p>
        </w:tc>
        <w:tc>
          <w:tcPr>
            <w:tcW w:type="dxa" w:w="2304"/>
            <w:tcMar>
              <w:top w:w="25" w:type="dxa"/>
              <w:start w:w="45" w:type="dxa"/>
              <w:bottom w:w="25" w:type="dxa"/>
              <w:end w:w="45" w:type="dxa"/>
            </w:tcMar>
          </w:tcPr>
          <w:p>
            <w:pPr>
              <w:spacing w:after="0" w:before="0" w:line="240" w:lineRule="auto"/>
              <w:jc w:val="left"/>
            </w:pPr>
            <w:r>
              <w:rPr>
                <w:sz w:val="13"/>
              </w:rPr>
              <w:t>46,833</w:t>
            </w:r>
          </w:p>
        </w:tc>
        <w:tc>
          <w:tcPr>
            <w:tcW w:type="dxa" w:w="2304"/>
            <w:tcMar>
              <w:top w:w="25" w:type="dxa"/>
              <w:start w:w="45" w:type="dxa"/>
              <w:bottom w:w="25" w:type="dxa"/>
              <w:end w:w="45" w:type="dxa"/>
            </w:tcMar>
          </w:tcPr>
          <w:p>
            <w:pPr>
              <w:spacing w:after="0" w:before="0" w:line="240" w:lineRule="auto"/>
              <w:jc w:val="left"/>
            </w:pPr>
            <w:r>
              <w:rPr>
                <w:sz w:val="13"/>
              </w:rPr>
              <w:t>43,812</w:t>
            </w:r>
          </w:p>
        </w:tc>
        <w:tc>
          <w:tcPr>
            <w:tcW w:type="dxa" w:w="1728"/>
            <w:tcMar>
              <w:top w:w="25" w:type="dxa"/>
              <w:start w:w="45" w:type="dxa"/>
              <w:bottom w:w="25" w:type="dxa"/>
              <w:end w:w="45" w:type="dxa"/>
            </w:tcMar>
          </w:tcPr>
          <w:p>
            <w:pPr>
              <w:spacing w:after="0" w:before="0" w:line="240" w:lineRule="auto"/>
              <w:jc w:val="left"/>
            </w:pPr>
            <w:r>
              <w:rPr>
                <w:sz w:val="13"/>
              </w:rPr>
              <w:t>-6.5%</w:t>
            </w:r>
          </w:p>
        </w:tc>
      </w:tr>
      <w:tr>
        <w:tc>
          <w:tcPr>
            <w:tcW w:type="dxa" w:w="1584"/>
            <w:tcMar>
              <w:top w:w="25" w:type="dxa"/>
              <w:start w:w="45" w:type="dxa"/>
              <w:bottom w:w="25" w:type="dxa"/>
              <w:end w:w="45" w:type="dxa"/>
            </w:tcMar>
            <w:shd w:fill="F5F7F9"/>
          </w:tcPr>
          <w:p>
            <w:pPr>
              <w:spacing w:after="0" w:before="0" w:line="240" w:lineRule="auto"/>
              <w:jc w:val="left"/>
            </w:pPr>
            <w:r>
              <w:rPr>
                <w:sz w:val="13"/>
              </w:rPr>
              <w:t>Apr</w:t>
            </w:r>
          </w:p>
        </w:tc>
        <w:tc>
          <w:tcPr>
            <w:tcW w:type="dxa" w:w="2304"/>
            <w:tcMar>
              <w:top w:w="25" w:type="dxa"/>
              <w:start w:w="45" w:type="dxa"/>
              <w:bottom w:w="25" w:type="dxa"/>
              <w:end w:w="45" w:type="dxa"/>
            </w:tcMar>
            <w:shd w:fill="F5F7F9"/>
          </w:tcPr>
          <w:p>
            <w:pPr>
              <w:spacing w:after="0" w:before="0" w:line="240" w:lineRule="auto"/>
              <w:jc w:val="left"/>
            </w:pPr>
            <w:r>
              <w:rPr>
                <w:sz w:val="13"/>
              </w:rPr>
              <w:t>46,376</w:t>
            </w:r>
          </w:p>
        </w:tc>
        <w:tc>
          <w:tcPr>
            <w:tcW w:type="dxa" w:w="2304"/>
            <w:tcMar>
              <w:top w:w="25" w:type="dxa"/>
              <w:start w:w="45" w:type="dxa"/>
              <w:bottom w:w="25" w:type="dxa"/>
              <w:end w:w="45" w:type="dxa"/>
            </w:tcMar>
            <w:shd w:fill="F5F7F9"/>
          </w:tcPr>
          <w:p>
            <w:pPr>
              <w:spacing w:after="0" w:before="0" w:line="240" w:lineRule="auto"/>
              <w:jc w:val="left"/>
            </w:pPr>
            <w:r>
              <w:rPr>
                <w:sz w:val="13"/>
              </w:rPr>
              <w:t>42,254</w:t>
            </w:r>
          </w:p>
        </w:tc>
        <w:tc>
          <w:tcPr>
            <w:tcW w:type="dxa" w:w="1728"/>
            <w:tcMar>
              <w:top w:w="25" w:type="dxa"/>
              <w:start w:w="45" w:type="dxa"/>
              <w:bottom w:w="25" w:type="dxa"/>
              <w:end w:w="45" w:type="dxa"/>
            </w:tcMar>
            <w:shd w:fill="F5F7F9"/>
          </w:tcPr>
          <w:p>
            <w:pPr>
              <w:spacing w:after="0" w:before="0" w:line="240" w:lineRule="auto"/>
              <w:jc w:val="left"/>
            </w:pPr>
            <w:r>
              <w:rPr>
                <w:sz w:val="13"/>
              </w:rPr>
              <w:t>-8.9%</w:t>
            </w:r>
          </w:p>
        </w:tc>
      </w:tr>
      <w:tr>
        <w:tc>
          <w:tcPr>
            <w:tcW w:type="dxa" w:w="1584"/>
            <w:tcMar>
              <w:top w:w="25" w:type="dxa"/>
              <w:start w:w="45" w:type="dxa"/>
              <w:bottom w:w="25" w:type="dxa"/>
              <w:end w:w="45" w:type="dxa"/>
            </w:tcMar>
          </w:tcPr>
          <w:p>
            <w:pPr>
              <w:spacing w:after="0" w:before="0" w:line="240" w:lineRule="auto"/>
              <w:jc w:val="left"/>
            </w:pPr>
            <w:r>
              <w:rPr>
                <w:sz w:val="13"/>
              </w:rPr>
              <w:t>May</w:t>
            </w:r>
          </w:p>
        </w:tc>
        <w:tc>
          <w:tcPr>
            <w:tcW w:type="dxa" w:w="2304"/>
            <w:tcMar>
              <w:top w:w="25" w:type="dxa"/>
              <w:start w:w="45" w:type="dxa"/>
              <w:bottom w:w="25" w:type="dxa"/>
              <w:end w:w="45" w:type="dxa"/>
            </w:tcMar>
          </w:tcPr>
          <w:p>
            <w:pPr>
              <w:spacing w:after="0" w:before="0" w:line="240" w:lineRule="auto"/>
              <w:jc w:val="left"/>
            </w:pPr>
            <w:r>
              <w:rPr>
                <w:sz w:val="13"/>
              </w:rPr>
              <w:t>47,251</w:t>
            </w:r>
          </w:p>
        </w:tc>
        <w:tc>
          <w:tcPr>
            <w:tcW w:type="dxa" w:w="2304"/>
            <w:tcMar>
              <w:top w:w="25" w:type="dxa"/>
              <w:start w:w="45" w:type="dxa"/>
              <w:bottom w:w="25" w:type="dxa"/>
              <w:end w:w="45" w:type="dxa"/>
            </w:tcMar>
          </w:tcPr>
          <w:p>
            <w:pPr>
              <w:spacing w:after="0" w:before="0" w:line="240" w:lineRule="auto"/>
              <w:jc w:val="left"/>
            </w:pPr>
            <w:r>
              <w:rPr>
                <w:sz w:val="13"/>
              </w:rPr>
              <w:t>43,515</w:t>
            </w:r>
          </w:p>
        </w:tc>
        <w:tc>
          <w:tcPr>
            <w:tcW w:type="dxa" w:w="1728"/>
            <w:tcMar>
              <w:top w:w="25" w:type="dxa"/>
              <w:start w:w="45" w:type="dxa"/>
              <w:bottom w:w="25" w:type="dxa"/>
              <w:end w:w="45" w:type="dxa"/>
            </w:tcMar>
          </w:tcPr>
          <w:p>
            <w:pPr>
              <w:spacing w:after="0" w:before="0" w:line="240" w:lineRule="auto"/>
              <w:jc w:val="left"/>
            </w:pPr>
            <w:r>
              <w:rPr>
                <w:sz w:val="13"/>
              </w:rPr>
              <w:t>-7.9%</w:t>
            </w:r>
          </w:p>
        </w:tc>
      </w:tr>
      <w:tr>
        <w:tc>
          <w:tcPr>
            <w:tcW w:type="dxa" w:w="1584"/>
            <w:tcMar>
              <w:top w:w="25" w:type="dxa"/>
              <w:start w:w="45" w:type="dxa"/>
              <w:bottom w:w="25" w:type="dxa"/>
              <w:end w:w="45" w:type="dxa"/>
            </w:tcMar>
            <w:shd w:fill="F5F7F9"/>
          </w:tcPr>
          <w:p>
            <w:pPr>
              <w:spacing w:after="0" w:before="0" w:line="240" w:lineRule="auto"/>
              <w:jc w:val="left"/>
            </w:pPr>
            <w:r>
              <w:rPr>
                <w:sz w:val="13"/>
              </w:rPr>
              <w:t>Jun</w:t>
            </w:r>
          </w:p>
        </w:tc>
        <w:tc>
          <w:tcPr>
            <w:tcW w:type="dxa" w:w="2304"/>
            <w:tcMar>
              <w:top w:w="25" w:type="dxa"/>
              <w:start w:w="45" w:type="dxa"/>
              <w:bottom w:w="25" w:type="dxa"/>
              <w:end w:w="45" w:type="dxa"/>
            </w:tcMar>
            <w:shd w:fill="F5F7F9"/>
          </w:tcPr>
          <w:p>
            <w:pPr>
              <w:spacing w:after="0" w:before="0" w:line="240" w:lineRule="auto"/>
              <w:jc w:val="left"/>
            </w:pPr>
            <w:r>
              <w:rPr>
                <w:sz w:val="13"/>
              </w:rPr>
              <w:t>46,723</w:t>
            </w:r>
          </w:p>
        </w:tc>
        <w:tc>
          <w:tcPr>
            <w:tcW w:type="dxa" w:w="2304"/>
            <w:tcMar>
              <w:top w:w="25" w:type="dxa"/>
              <w:start w:w="45" w:type="dxa"/>
              <w:bottom w:w="25" w:type="dxa"/>
              <w:end w:w="45" w:type="dxa"/>
            </w:tcMar>
            <w:shd w:fill="F5F7F9"/>
          </w:tcPr>
          <w:p>
            <w:pPr>
              <w:spacing w:after="0" w:before="0" w:line="240" w:lineRule="auto"/>
              <w:jc w:val="left"/>
            </w:pPr>
            <w:r>
              <w:rPr>
                <w:sz w:val="13"/>
              </w:rPr>
              <w:t>41,970</w:t>
            </w:r>
          </w:p>
        </w:tc>
        <w:tc>
          <w:tcPr>
            <w:tcW w:type="dxa" w:w="1728"/>
            <w:tcMar>
              <w:top w:w="25" w:type="dxa"/>
              <w:start w:w="45" w:type="dxa"/>
              <w:bottom w:w="25" w:type="dxa"/>
              <w:end w:w="45" w:type="dxa"/>
            </w:tcMar>
            <w:shd w:fill="F5F7F9"/>
          </w:tcPr>
          <w:p>
            <w:pPr>
              <w:spacing w:after="0" w:before="0" w:line="240" w:lineRule="auto"/>
              <w:jc w:val="left"/>
            </w:pPr>
            <w:r>
              <w:rPr>
                <w:sz w:val="13"/>
              </w:rPr>
              <w:t>-10.2%</w:t>
            </w:r>
          </w:p>
        </w:tc>
      </w:tr>
      <w:tr>
        <w:tc>
          <w:tcPr>
            <w:tcW w:type="dxa" w:w="1584"/>
            <w:tcMar>
              <w:top w:w="25" w:type="dxa"/>
              <w:start w:w="45" w:type="dxa"/>
              <w:bottom w:w="25" w:type="dxa"/>
              <w:end w:w="45" w:type="dxa"/>
            </w:tcMar>
          </w:tcPr>
          <w:p>
            <w:pPr>
              <w:spacing w:after="0" w:before="0" w:line="240" w:lineRule="auto"/>
              <w:jc w:val="left"/>
            </w:pPr>
            <w:r>
              <w:rPr>
                <w:sz w:val="13"/>
              </w:rPr>
              <w:t>Jul</w:t>
            </w:r>
          </w:p>
        </w:tc>
        <w:tc>
          <w:tcPr>
            <w:tcW w:type="dxa" w:w="2304"/>
            <w:tcMar>
              <w:top w:w="25" w:type="dxa"/>
              <w:start w:w="45" w:type="dxa"/>
              <w:bottom w:w="25" w:type="dxa"/>
              <w:end w:w="45" w:type="dxa"/>
            </w:tcMar>
          </w:tcPr>
          <w:p>
            <w:pPr>
              <w:spacing w:after="0" w:before="0" w:line="240" w:lineRule="auto"/>
              <w:jc w:val="left"/>
            </w:pPr>
            <w:r>
              <w:rPr>
                <w:sz w:val="13"/>
              </w:rPr>
              <w:t>43,762</w:t>
            </w:r>
          </w:p>
        </w:tc>
        <w:tc>
          <w:tcPr>
            <w:tcW w:type="dxa" w:w="2304"/>
            <w:tcMar>
              <w:top w:w="25" w:type="dxa"/>
              <w:start w:w="45" w:type="dxa"/>
              <w:bottom w:w="25" w:type="dxa"/>
              <w:end w:w="45" w:type="dxa"/>
            </w:tcMar>
          </w:tcPr>
          <w:p>
            <w:pPr>
              <w:spacing w:after="0" w:before="0" w:line="240" w:lineRule="auto"/>
              <w:jc w:val="left"/>
            </w:pPr>
            <w:r>
              <w:rPr>
                <w:sz w:val="13"/>
              </w:rPr>
              <w:t>43,224</w:t>
            </w:r>
          </w:p>
        </w:tc>
        <w:tc>
          <w:tcPr>
            <w:tcW w:type="dxa" w:w="1728"/>
            <w:tcMar>
              <w:top w:w="25" w:type="dxa"/>
              <w:start w:w="45" w:type="dxa"/>
              <w:bottom w:w="25" w:type="dxa"/>
              <w:end w:w="45" w:type="dxa"/>
            </w:tcMar>
          </w:tcPr>
          <w:p>
            <w:pPr>
              <w:spacing w:after="0" w:before="0" w:line="240" w:lineRule="auto"/>
              <w:jc w:val="left"/>
            </w:pPr>
            <w:r>
              <w:rPr>
                <w:sz w:val="13"/>
              </w:rPr>
              <w:t>-1.2%</w:t>
            </w:r>
          </w:p>
        </w:tc>
      </w:tr>
      <w:tr>
        <w:tc>
          <w:tcPr>
            <w:tcW w:type="dxa" w:w="1584"/>
            <w:tcMar>
              <w:top w:w="25" w:type="dxa"/>
              <w:start w:w="45" w:type="dxa"/>
              <w:bottom w:w="25" w:type="dxa"/>
              <w:end w:w="45" w:type="dxa"/>
            </w:tcMar>
            <w:shd w:fill="F5F7F9"/>
          </w:tcPr>
          <w:p>
            <w:pPr>
              <w:spacing w:after="0" w:before="0" w:line="240" w:lineRule="auto"/>
              <w:jc w:val="left"/>
            </w:pPr>
            <w:r>
              <w:rPr>
                <w:sz w:val="13"/>
              </w:rPr>
              <w:t>Aug</w:t>
            </w:r>
          </w:p>
        </w:tc>
        <w:tc>
          <w:tcPr>
            <w:tcW w:type="dxa" w:w="2304"/>
            <w:tcMar>
              <w:top w:w="25" w:type="dxa"/>
              <w:start w:w="45" w:type="dxa"/>
              <w:bottom w:w="25" w:type="dxa"/>
              <w:end w:w="45" w:type="dxa"/>
            </w:tcMar>
            <w:shd w:fill="F5F7F9"/>
          </w:tcPr>
          <w:p>
            <w:pPr>
              <w:spacing w:after="0" w:before="0" w:line="240" w:lineRule="auto"/>
              <w:jc w:val="left"/>
            </w:pPr>
            <w:r>
              <w:rPr>
                <w:sz w:val="13"/>
              </w:rPr>
              <w:t>41,907</w:t>
            </w:r>
          </w:p>
        </w:tc>
        <w:tc>
          <w:tcPr>
            <w:tcW w:type="dxa" w:w="2304"/>
            <w:tcMar>
              <w:top w:w="25" w:type="dxa"/>
              <w:start w:w="45" w:type="dxa"/>
              <w:bottom w:w="25" w:type="dxa"/>
              <w:end w:w="45" w:type="dxa"/>
            </w:tcMar>
            <w:shd w:fill="F5F7F9"/>
          </w:tcPr>
          <w:p>
            <w:pPr>
              <w:spacing w:after="0" w:before="0" w:line="240" w:lineRule="auto"/>
              <w:jc w:val="left"/>
            </w:pPr>
            <w:r>
              <w:rPr>
                <w:sz w:val="13"/>
              </w:rPr>
              <w:t>43,081</w:t>
            </w:r>
          </w:p>
        </w:tc>
        <w:tc>
          <w:tcPr>
            <w:tcW w:type="dxa" w:w="1728"/>
            <w:tcMar>
              <w:top w:w="25" w:type="dxa"/>
              <w:start w:w="45" w:type="dxa"/>
              <w:bottom w:w="25" w:type="dxa"/>
              <w:end w:w="45" w:type="dxa"/>
            </w:tcMar>
            <w:shd w:fill="F5F7F9"/>
          </w:tcPr>
          <w:p>
            <w:pPr>
              <w:spacing w:after="0" w:before="0" w:line="240" w:lineRule="auto"/>
              <w:jc w:val="left"/>
            </w:pPr>
            <w:r>
              <w:rPr>
                <w:sz w:val="13"/>
              </w:rPr>
              <w:t>2.8%</w:t>
            </w:r>
          </w:p>
        </w:tc>
      </w:tr>
      <w:tr>
        <w:tc>
          <w:tcPr>
            <w:tcW w:type="dxa" w:w="1584"/>
            <w:tcMar>
              <w:top w:w="25" w:type="dxa"/>
              <w:start w:w="45" w:type="dxa"/>
              <w:bottom w:w="25" w:type="dxa"/>
              <w:end w:w="45" w:type="dxa"/>
            </w:tcMar>
          </w:tcPr>
          <w:p>
            <w:pPr>
              <w:spacing w:after="0" w:before="0" w:line="240" w:lineRule="auto"/>
              <w:jc w:val="left"/>
            </w:pPr>
            <w:r>
              <w:rPr>
                <w:sz w:val="13"/>
              </w:rPr>
              <w:t>Sep</w:t>
            </w:r>
          </w:p>
        </w:tc>
        <w:tc>
          <w:tcPr>
            <w:tcW w:type="dxa" w:w="2304"/>
            <w:tcMar>
              <w:top w:w="25" w:type="dxa"/>
              <w:start w:w="45" w:type="dxa"/>
              <w:bottom w:w="25" w:type="dxa"/>
              <w:end w:w="45" w:type="dxa"/>
            </w:tcMar>
          </w:tcPr>
          <w:p>
            <w:pPr>
              <w:spacing w:after="0" w:before="0" w:line="240" w:lineRule="auto"/>
              <w:jc w:val="left"/>
            </w:pPr>
            <w:r>
              <w:rPr>
                <w:sz w:val="13"/>
              </w:rPr>
              <w:t>40,137</w:t>
            </w:r>
          </w:p>
        </w:tc>
        <w:tc>
          <w:tcPr>
            <w:tcW w:type="dxa" w:w="2304"/>
            <w:tcMar>
              <w:top w:w="25" w:type="dxa"/>
              <w:start w:w="45" w:type="dxa"/>
              <w:bottom w:w="25" w:type="dxa"/>
              <w:end w:w="45" w:type="dxa"/>
            </w:tcMar>
          </w:tcPr>
          <w:p>
            <w:pPr>
              <w:spacing w:after="0" w:before="0" w:line="240" w:lineRule="auto"/>
              <w:jc w:val="left"/>
            </w:pPr>
            <w:r>
              <w:rPr>
                <w:sz w:val="13"/>
              </w:rPr>
              <w:t>41,554</w:t>
            </w:r>
          </w:p>
        </w:tc>
        <w:tc>
          <w:tcPr>
            <w:tcW w:type="dxa" w:w="1728"/>
            <w:tcMar>
              <w:top w:w="25" w:type="dxa"/>
              <w:start w:w="45" w:type="dxa"/>
              <w:bottom w:w="25" w:type="dxa"/>
              <w:end w:w="45" w:type="dxa"/>
            </w:tcMar>
          </w:tcPr>
          <w:p>
            <w:pPr>
              <w:spacing w:after="0" w:before="0" w:line="240" w:lineRule="auto"/>
              <w:jc w:val="left"/>
            </w:pPr>
            <w:r>
              <w:rPr>
                <w:sz w:val="13"/>
              </w:rPr>
              <w:t>3.5%</w:t>
            </w:r>
          </w:p>
        </w:tc>
      </w:tr>
      <w:tr>
        <w:tc>
          <w:tcPr>
            <w:tcW w:type="dxa" w:w="1584"/>
            <w:tcMar>
              <w:top w:w="25" w:type="dxa"/>
              <w:start w:w="45" w:type="dxa"/>
              <w:bottom w:w="25" w:type="dxa"/>
              <w:end w:w="45" w:type="dxa"/>
            </w:tcMar>
            <w:shd w:fill="F5F7F9"/>
          </w:tcPr>
          <w:p>
            <w:pPr>
              <w:spacing w:after="0" w:before="0" w:line="240" w:lineRule="auto"/>
              <w:jc w:val="left"/>
            </w:pPr>
            <w:r>
              <w:rPr>
                <w:sz w:val="13"/>
              </w:rPr>
              <w:t>Oct</w:t>
            </w:r>
          </w:p>
        </w:tc>
        <w:tc>
          <w:tcPr>
            <w:tcW w:type="dxa" w:w="2304"/>
            <w:tcMar>
              <w:top w:w="25" w:type="dxa"/>
              <w:start w:w="45" w:type="dxa"/>
              <w:bottom w:w="25" w:type="dxa"/>
              <w:end w:w="45" w:type="dxa"/>
            </w:tcMar>
            <w:shd w:fill="F5F7F9"/>
          </w:tcPr>
          <w:p>
            <w:pPr>
              <w:spacing w:after="0" w:before="0" w:line="240" w:lineRule="auto"/>
              <w:jc w:val="left"/>
            </w:pPr>
            <w:r>
              <w:rPr>
                <w:sz w:val="13"/>
              </w:rPr>
              <w:t>42,073</w:t>
            </w:r>
          </w:p>
        </w:tc>
        <w:tc>
          <w:tcPr>
            <w:tcW w:type="dxa" w:w="2304"/>
            <w:tcMar>
              <w:top w:w="25" w:type="dxa"/>
              <w:start w:w="45" w:type="dxa"/>
              <w:bottom w:w="25" w:type="dxa"/>
              <w:end w:w="45" w:type="dxa"/>
            </w:tcMar>
            <w:shd w:fill="F5F7F9"/>
          </w:tcPr>
          <w:p>
            <w:pPr>
              <w:spacing w:after="0" w:before="0" w:line="240" w:lineRule="auto"/>
              <w:jc w:val="left"/>
            </w:pPr>
            <w:r>
              <w:rPr>
                <w:sz w:val="13"/>
              </w:rPr>
              <w:t>42,798</w:t>
            </w:r>
          </w:p>
        </w:tc>
        <w:tc>
          <w:tcPr>
            <w:tcW w:type="dxa" w:w="1728"/>
            <w:tcMar>
              <w:top w:w="25" w:type="dxa"/>
              <w:start w:w="45" w:type="dxa"/>
              <w:bottom w:w="25" w:type="dxa"/>
              <w:end w:w="45" w:type="dxa"/>
            </w:tcMar>
            <w:shd w:fill="F5F7F9"/>
          </w:tcPr>
          <w:p>
            <w:pPr>
              <w:spacing w:after="0" w:before="0" w:line="240" w:lineRule="auto"/>
              <w:jc w:val="left"/>
            </w:pPr>
            <w:r>
              <w:rPr>
                <w:sz w:val="13"/>
              </w:rPr>
              <w:t>1.7%</w:t>
            </w:r>
          </w:p>
        </w:tc>
      </w:tr>
      <w:tr>
        <w:tc>
          <w:tcPr>
            <w:tcW w:type="dxa" w:w="1584"/>
            <w:tcMar>
              <w:top w:w="25" w:type="dxa"/>
              <w:start w:w="45" w:type="dxa"/>
              <w:bottom w:w="25" w:type="dxa"/>
              <w:end w:w="45" w:type="dxa"/>
            </w:tcMar>
          </w:tcPr>
          <w:p>
            <w:pPr>
              <w:spacing w:after="0" w:before="0" w:line="240" w:lineRule="auto"/>
              <w:jc w:val="left"/>
            </w:pPr>
            <w:r>
              <w:rPr>
                <w:sz w:val="13"/>
              </w:rPr>
              <w:t>Nov</w:t>
            </w:r>
          </w:p>
        </w:tc>
        <w:tc>
          <w:tcPr>
            <w:tcW w:type="dxa" w:w="2304"/>
            <w:tcMar>
              <w:top w:w="25" w:type="dxa"/>
              <w:start w:w="45" w:type="dxa"/>
              <w:bottom w:w="25" w:type="dxa"/>
              <w:end w:w="45" w:type="dxa"/>
            </w:tcMar>
          </w:tcPr>
          <w:p>
            <w:pPr>
              <w:spacing w:after="0" w:before="0" w:line="240" w:lineRule="auto"/>
              <w:jc w:val="left"/>
            </w:pPr>
            <w:r>
              <w:rPr>
                <w:sz w:val="13"/>
              </w:rPr>
              <w:t>41,835</w:t>
            </w:r>
          </w:p>
        </w:tc>
        <w:tc>
          <w:tcPr>
            <w:tcW w:type="dxa" w:w="2304"/>
            <w:tcMar>
              <w:top w:w="25" w:type="dxa"/>
              <w:start w:w="45" w:type="dxa"/>
              <w:bottom w:w="25" w:type="dxa"/>
              <w:end w:w="45" w:type="dxa"/>
            </w:tcMar>
          </w:tcPr>
          <w:p>
            <w:pPr>
              <w:spacing w:after="0" w:before="0" w:line="240" w:lineRule="auto"/>
              <w:jc w:val="left"/>
            </w:pPr>
            <w:r>
              <w:rPr>
                <w:sz w:val="13"/>
              </w:rPr>
              <w:t>41,283</w:t>
            </w:r>
          </w:p>
        </w:tc>
        <w:tc>
          <w:tcPr>
            <w:tcW w:type="dxa" w:w="1728"/>
            <w:tcMar>
              <w:top w:w="25" w:type="dxa"/>
              <w:start w:w="45" w:type="dxa"/>
              <w:bottom w:w="25" w:type="dxa"/>
              <w:end w:w="45" w:type="dxa"/>
            </w:tcMar>
          </w:tcPr>
          <w:p>
            <w:pPr>
              <w:spacing w:after="0" w:before="0" w:line="240" w:lineRule="auto"/>
              <w:jc w:val="left"/>
            </w:pPr>
            <w:r>
              <w:rPr>
                <w:sz w:val="13"/>
              </w:rPr>
              <w:t>-1.3%</w:t>
            </w:r>
          </w:p>
        </w:tc>
      </w:tr>
      <w:tr>
        <w:tc>
          <w:tcPr>
            <w:tcW w:type="dxa" w:w="1584"/>
            <w:tcMar>
              <w:top w:w="25" w:type="dxa"/>
              <w:start w:w="45" w:type="dxa"/>
              <w:bottom w:w="25" w:type="dxa"/>
              <w:end w:w="45" w:type="dxa"/>
            </w:tcMar>
            <w:shd w:fill="F5F7F9"/>
          </w:tcPr>
          <w:p>
            <w:pPr>
              <w:spacing w:after="0" w:before="0" w:line="240" w:lineRule="auto"/>
              <w:jc w:val="left"/>
            </w:pPr>
            <w:r>
              <w:rPr>
                <w:sz w:val="13"/>
              </w:rPr>
              <w:t>Dec</w:t>
            </w:r>
          </w:p>
        </w:tc>
        <w:tc>
          <w:tcPr>
            <w:tcW w:type="dxa" w:w="2304"/>
            <w:tcMar>
              <w:top w:w="25" w:type="dxa"/>
              <w:start w:w="45" w:type="dxa"/>
              <w:bottom w:w="25" w:type="dxa"/>
              <w:end w:w="45" w:type="dxa"/>
            </w:tcMar>
            <w:shd w:fill="F5F7F9"/>
          </w:tcPr>
          <w:p>
            <w:pPr>
              <w:spacing w:after="0" w:before="0" w:line="240" w:lineRule="auto"/>
              <w:jc w:val="left"/>
            </w:pPr>
            <w:r>
              <w:rPr>
                <w:sz w:val="13"/>
              </w:rPr>
              <w:t>44,644</w:t>
            </w:r>
          </w:p>
        </w:tc>
        <w:tc>
          <w:tcPr>
            <w:tcW w:type="dxa" w:w="2304"/>
            <w:tcMar>
              <w:top w:w="25" w:type="dxa"/>
              <w:start w:w="45" w:type="dxa"/>
              <w:bottom w:w="25" w:type="dxa"/>
              <w:end w:w="45" w:type="dxa"/>
            </w:tcMar>
            <w:shd w:fill="F5F7F9"/>
          </w:tcPr>
          <w:p>
            <w:pPr>
              <w:spacing w:after="0" w:before="0" w:line="240" w:lineRule="auto"/>
              <w:jc w:val="left"/>
            </w:pPr>
            <w:r>
              <w:rPr>
                <w:sz w:val="13"/>
              </w:rPr>
              <w:t>42,521</w:t>
            </w:r>
          </w:p>
        </w:tc>
        <w:tc>
          <w:tcPr>
            <w:tcW w:type="dxa" w:w="1728"/>
            <w:tcMar>
              <w:top w:w="25" w:type="dxa"/>
              <w:start w:w="45" w:type="dxa"/>
              <w:bottom w:w="25" w:type="dxa"/>
              <w:end w:w="45" w:type="dxa"/>
            </w:tcMar>
            <w:shd w:fill="F5F7F9"/>
          </w:tcPr>
          <w:p>
            <w:pPr>
              <w:spacing w:after="0" w:before="0" w:line="240" w:lineRule="auto"/>
              <w:jc w:val="left"/>
            </w:pPr>
            <w:r>
              <w:rPr>
                <w:sz w:val="13"/>
              </w:rPr>
              <w:t>-4.8%</w:t>
            </w:r>
          </w:p>
        </w:tc>
      </w:tr>
    </w:tbl>
    <w:p>
      <w:r>
        <w:br w:type="page"/>
      </w:r>
    </w:p>
    <w:p>
      <w:pPr>
        <w:pStyle w:val="Heading1"/>
      </w:pPr>
      <w:r>
        <w:t>12. Production forecast for 2026-2027</w:t>
      </w:r>
    </w:p>
    <w:p>
      <w:pPr>
        <w:spacing w:after="0"/>
        <w:jc w:val="center"/>
      </w:pPr>
      <w:r>
        <w:drawing>
          <wp:inline xmlns:a="http://schemas.openxmlformats.org/drawingml/2006/main" xmlns:pic="http://schemas.openxmlformats.org/drawingml/2006/picture">
            <wp:extent cx="6400800" cy="3377109"/>
            <wp:docPr id="9" name="Picture 9"/>
            <wp:cNvGraphicFramePr>
              <a:graphicFrameLocks noChangeAspect="1"/>
            </wp:cNvGraphicFramePr>
            <a:graphic>
              <a:graphicData uri="http://schemas.openxmlformats.org/drawingml/2006/picture">
                <pic:pic>
                  <pic:nvPicPr>
                    <pic:cNvPr id="0" name="fig09_forecast_monthly.png"/>
                    <pic:cNvPicPr/>
                  </pic:nvPicPr>
                  <pic:blipFill>
                    <a:blip r:embed="rId19"/>
                    <a:stretch>
                      <a:fillRect/>
                    </a:stretch>
                  </pic:blipFill>
                  <pic:spPr>
                    <a:xfrm>
                      <a:off x="0" y="0"/>
                      <a:ext cx="6400800" cy="3377109"/>
                    </a:xfrm>
                    <a:prstGeom prst="rect"/>
                  </pic:spPr>
                </pic:pic>
              </a:graphicData>
            </a:graphic>
          </wp:inline>
        </w:drawing>
      </w:r>
    </w:p>
    <w:p>
      <w:pPr>
        <w:pStyle w:val="FigureCaption"/>
      </w:pPr>
      <w:r>
        <w:t>Figure 9. Historical monthly oil since 2015 and the P50 forecast with an approximate 95% statistical range.</w:t>
      </w:r>
    </w:p>
    <w:tbl>
      <w:tblPr>
        <w:tblW w:type="auto" w:w="0"/>
        <w:jc w:val="center"/>
        <w:tblLayout w:type="fixed"/>
        <w:tblLook w:firstColumn="1" w:firstRow="1" w:lastColumn="0" w:lastRow="0" w:noHBand="0" w:noVBand="1" w:val="04A0"/>
        <w:tblBorders>
          <w:top w:val="single" w:sz="4" w:color="C9D3DD"/>
          <w:left w:val="single" w:sz="4" w:color="C9D3DD"/>
          <w:bottom w:val="single" w:sz="4" w:color="C9D3DD"/>
          <w:right w:val="single" w:sz="4" w:color="C9D3DD"/>
          <w:insideH w:val="single" w:sz="4" w:color="C9D3DD"/>
          <w:insideV w:val="single" w:sz="4" w:color="C9D3DD"/>
        </w:tblBorders>
      </w:tblPr>
      <w:tblGrid>
        <w:gridCol w:w="2074"/>
        <w:gridCol w:w="2074"/>
        <w:gridCol w:w="2074"/>
        <w:gridCol w:w="2074"/>
        <w:gridCol w:w="2074"/>
      </w:tblGrid>
      <w:tr>
        <w:trPr>
          <w:tblHeader w:val="true"/>
        </w:trPr>
        <w:tc>
          <w:tcPr>
            <w:tcW w:type="dxa" w:w="1152"/>
            <w:shd w:fill="17365D"/>
            <w:tcMar>
              <w:top w:w="70" w:type="dxa"/>
              <w:start w:w="80" w:type="dxa"/>
              <w:bottom w:w="70" w:type="dxa"/>
              <w:end w:w="80" w:type="dxa"/>
            </w:tcMar>
          </w:tcPr>
          <w:p>
            <w:pPr>
              <w:jc w:val="center"/>
            </w:pPr>
            <w:r>
              <w:rPr>
                <w:b/>
                <w:color w:val="FFFFFF"/>
                <w:sz w:val="16"/>
              </w:rPr>
              <w:t>Year</w:t>
            </w:r>
          </w:p>
        </w:tc>
        <w:tc>
          <w:tcPr>
            <w:tcW w:type="dxa" w:w="2304"/>
            <w:shd w:fill="17365D"/>
            <w:tcMar>
              <w:top w:w="70" w:type="dxa"/>
              <w:start w:w="80" w:type="dxa"/>
              <w:bottom w:w="70" w:type="dxa"/>
              <w:end w:w="80" w:type="dxa"/>
            </w:tcMar>
          </w:tcPr>
          <w:p>
            <w:pPr>
              <w:jc w:val="center"/>
            </w:pPr>
            <w:r>
              <w:rPr>
                <w:b/>
                <w:color w:val="FFFFFF"/>
                <w:sz w:val="16"/>
              </w:rPr>
              <w:t>P50 oil (bbl)</w:t>
            </w:r>
          </w:p>
        </w:tc>
        <w:tc>
          <w:tcPr>
            <w:tcW w:type="dxa" w:w="2160"/>
            <w:shd w:fill="17365D"/>
            <w:tcMar>
              <w:top w:w="70" w:type="dxa"/>
              <w:start w:w="80" w:type="dxa"/>
              <w:bottom w:w="70" w:type="dxa"/>
              <w:end w:w="80" w:type="dxa"/>
            </w:tcMar>
          </w:tcPr>
          <w:p>
            <w:pPr>
              <w:jc w:val="center"/>
            </w:pPr>
            <w:r>
              <w:rPr>
                <w:b/>
                <w:color w:val="FFFFFF"/>
                <w:sz w:val="16"/>
              </w:rPr>
              <w:t>Lower 95%</w:t>
            </w:r>
          </w:p>
        </w:tc>
        <w:tc>
          <w:tcPr>
            <w:tcW w:type="dxa" w:w="2160"/>
            <w:shd w:fill="17365D"/>
            <w:tcMar>
              <w:top w:w="70" w:type="dxa"/>
              <w:start w:w="80" w:type="dxa"/>
              <w:bottom w:w="70" w:type="dxa"/>
              <w:end w:w="80" w:type="dxa"/>
            </w:tcMar>
          </w:tcPr>
          <w:p>
            <w:pPr>
              <w:jc w:val="center"/>
            </w:pPr>
            <w:r>
              <w:rPr>
                <w:b/>
                <w:color w:val="FFFFFF"/>
                <w:sz w:val="16"/>
              </w:rPr>
              <w:t>Upper 95%</w:t>
            </w:r>
          </w:p>
        </w:tc>
        <w:tc>
          <w:tcPr>
            <w:tcW w:type="dxa" w:w="1440"/>
            <w:shd w:fill="17365D"/>
            <w:tcMar>
              <w:top w:w="70" w:type="dxa"/>
              <w:start w:w="80" w:type="dxa"/>
              <w:bottom w:w="70" w:type="dxa"/>
              <w:end w:w="80" w:type="dxa"/>
            </w:tcMar>
          </w:tcPr>
          <w:p>
            <w:pPr>
              <w:jc w:val="center"/>
            </w:pPr>
            <w:r>
              <w:rPr>
                <w:b/>
                <w:color w:val="FFFFFF"/>
                <w:sz w:val="16"/>
              </w:rPr>
              <w:t>Change</w:t>
            </w:r>
          </w:p>
        </w:tc>
      </w:tr>
      <w:tr>
        <w:tc>
          <w:tcPr>
            <w:tcW w:type="dxa" w:w="1152"/>
            <w:tcMar>
              <w:top w:w="70" w:type="dxa"/>
              <w:start w:w="80" w:type="dxa"/>
              <w:bottom w:w="70" w:type="dxa"/>
              <w:end w:w="80" w:type="dxa"/>
            </w:tcMar>
          </w:tcPr>
          <w:p>
            <w:pPr>
              <w:jc w:val="right"/>
            </w:pPr>
            <w:r>
              <w:rPr>
                <w:sz w:val="16"/>
              </w:rPr>
              <w:t>2026</w:t>
            </w:r>
          </w:p>
        </w:tc>
        <w:tc>
          <w:tcPr>
            <w:tcW w:type="dxa" w:w="2304"/>
            <w:tcMar>
              <w:top w:w="70" w:type="dxa"/>
              <w:start w:w="80" w:type="dxa"/>
              <w:bottom w:w="70" w:type="dxa"/>
              <w:end w:w="80" w:type="dxa"/>
            </w:tcMar>
          </w:tcPr>
          <w:p>
            <w:pPr>
              <w:jc w:val="left"/>
            </w:pPr>
            <w:r>
              <w:rPr>
                <w:sz w:val="16"/>
              </w:rPr>
              <w:t>497,842</w:t>
            </w:r>
          </w:p>
        </w:tc>
        <w:tc>
          <w:tcPr>
            <w:tcW w:type="dxa" w:w="2160"/>
            <w:tcMar>
              <w:top w:w="70" w:type="dxa"/>
              <w:start w:w="80" w:type="dxa"/>
              <w:bottom w:w="70" w:type="dxa"/>
              <w:end w:w="80" w:type="dxa"/>
            </w:tcMar>
          </w:tcPr>
          <w:p>
            <w:pPr>
              <w:jc w:val="left"/>
            </w:pPr>
            <w:r>
              <w:rPr>
                <w:sz w:val="16"/>
              </w:rPr>
              <w:t>429,896</w:t>
            </w:r>
          </w:p>
        </w:tc>
        <w:tc>
          <w:tcPr>
            <w:tcW w:type="dxa" w:w="2160"/>
            <w:tcMar>
              <w:top w:w="70" w:type="dxa"/>
              <w:start w:w="80" w:type="dxa"/>
              <w:bottom w:w="70" w:type="dxa"/>
              <w:end w:w="80" w:type="dxa"/>
            </w:tcMar>
          </w:tcPr>
          <w:p>
            <w:pPr>
              <w:jc w:val="left"/>
            </w:pPr>
            <w:r>
              <w:rPr>
                <w:sz w:val="16"/>
              </w:rPr>
              <w:t>576,527</w:t>
            </w:r>
          </w:p>
        </w:tc>
        <w:tc>
          <w:tcPr>
            <w:tcW w:type="dxa" w:w="1440"/>
            <w:tcMar>
              <w:top w:w="70" w:type="dxa"/>
              <w:start w:w="80" w:type="dxa"/>
              <w:bottom w:w="70" w:type="dxa"/>
              <w:end w:w="80" w:type="dxa"/>
            </w:tcMar>
          </w:tcPr>
          <w:p>
            <w:pPr>
              <w:jc w:val="left"/>
            </w:pPr>
            <w:r>
              <w:rPr>
                <w:sz w:val="16"/>
              </w:rPr>
              <w:t>-7.0%</w:t>
            </w:r>
          </w:p>
        </w:tc>
      </w:tr>
      <w:tr>
        <w:tc>
          <w:tcPr>
            <w:tcW w:type="dxa" w:w="1152"/>
            <w:tcMar>
              <w:top w:w="70" w:type="dxa"/>
              <w:start w:w="80" w:type="dxa"/>
              <w:bottom w:w="70" w:type="dxa"/>
              <w:end w:w="80" w:type="dxa"/>
            </w:tcMar>
            <w:shd w:fill="F5F7F9"/>
          </w:tcPr>
          <w:p>
            <w:pPr>
              <w:jc w:val="right"/>
            </w:pPr>
            <w:r>
              <w:rPr>
                <w:sz w:val="16"/>
              </w:rPr>
              <w:t>2027</w:t>
            </w:r>
          </w:p>
        </w:tc>
        <w:tc>
          <w:tcPr>
            <w:tcW w:type="dxa" w:w="2304"/>
            <w:tcMar>
              <w:top w:w="70" w:type="dxa"/>
              <w:start w:w="80" w:type="dxa"/>
              <w:bottom w:w="70" w:type="dxa"/>
              <w:end w:w="80" w:type="dxa"/>
            </w:tcMar>
            <w:shd w:fill="F5F7F9"/>
          </w:tcPr>
          <w:p>
            <w:pPr>
              <w:jc w:val="left"/>
            </w:pPr>
            <w:r>
              <w:rPr>
                <w:sz w:val="16"/>
              </w:rPr>
              <w:t>480,676</w:t>
            </w:r>
          </w:p>
        </w:tc>
        <w:tc>
          <w:tcPr>
            <w:tcW w:type="dxa" w:w="2160"/>
            <w:tcMar>
              <w:top w:w="70" w:type="dxa"/>
              <w:start w:w="80" w:type="dxa"/>
              <w:bottom w:w="70" w:type="dxa"/>
              <w:end w:w="80" w:type="dxa"/>
            </w:tcMar>
            <w:shd w:fill="F5F7F9"/>
          </w:tcPr>
          <w:p>
            <w:pPr>
              <w:jc w:val="left"/>
            </w:pPr>
            <w:r>
              <w:rPr>
                <w:sz w:val="16"/>
              </w:rPr>
              <w:t>415,073</w:t>
            </w:r>
          </w:p>
        </w:tc>
        <w:tc>
          <w:tcPr>
            <w:tcW w:type="dxa" w:w="2160"/>
            <w:tcMar>
              <w:top w:w="70" w:type="dxa"/>
              <w:start w:w="80" w:type="dxa"/>
              <w:bottom w:w="70" w:type="dxa"/>
              <w:end w:w="80" w:type="dxa"/>
            </w:tcMar>
            <w:shd w:fill="F5F7F9"/>
          </w:tcPr>
          <w:p>
            <w:pPr>
              <w:jc w:val="left"/>
            </w:pPr>
            <w:r>
              <w:rPr>
                <w:sz w:val="16"/>
              </w:rPr>
              <w:t>556,648</w:t>
            </w:r>
          </w:p>
        </w:tc>
        <w:tc>
          <w:tcPr>
            <w:tcW w:type="dxa" w:w="1440"/>
            <w:tcMar>
              <w:top w:w="70" w:type="dxa"/>
              <w:start w:w="80" w:type="dxa"/>
              <w:bottom w:w="70" w:type="dxa"/>
              <w:end w:w="80" w:type="dxa"/>
            </w:tcMar>
            <w:shd w:fill="F5F7F9"/>
          </w:tcPr>
          <w:p>
            <w:pPr>
              <w:jc w:val="left"/>
            </w:pPr>
            <w:r>
              <w:rPr>
                <w:sz w:val="16"/>
              </w:rPr>
              <w:t>-3.4%</w:t>
            </w:r>
          </w:p>
        </w:tc>
      </w:tr>
    </w:tbl>
    <w:p>
      <w:r>
        <w:t>The central forecast declines from 535,289 bbl in 2025 to 497,842 bbl in 2026 and 480,676 bbl in 2027. The modeled rate of decline moderates with time because of the hyperbolic shape.</w:t>
      </w:r>
    </w:p>
    <w:tbl>
      <w:tblPr>
        <w:tblW w:type="auto" w:w="0"/>
        <w:jc w:val="center"/>
        <w:tblLayout w:type="fixed"/>
        <w:tblLook w:firstColumn="1" w:firstRow="1" w:lastColumn="0" w:lastRow="0" w:noHBand="0" w:noVBand="1" w:val="04A0"/>
        <w:tblBorders>
          <w:top w:val="single" w:sz="4" w:color="C9D3DD"/>
          <w:left w:val="single" w:sz="4" w:color="C9D3DD"/>
          <w:bottom w:val="single" w:sz="4" w:color="C9D3DD"/>
          <w:right w:val="single" w:sz="4" w:color="C9D3DD"/>
          <w:insideH w:val="single" w:sz="4" w:color="C9D3DD"/>
          <w:insideV w:val="single" w:sz="4" w:color="C9D3DD"/>
        </w:tblBorders>
      </w:tblPr>
      <w:tblGrid>
        <w:gridCol w:w="3456"/>
        <w:gridCol w:w="3456"/>
        <w:gridCol w:w="3456"/>
      </w:tblGrid>
      <w:tr>
        <w:trPr>
          <w:tblHeader w:val="true"/>
        </w:trPr>
        <w:tc>
          <w:tcPr>
            <w:tcW w:type="dxa" w:w="2880"/>
            <w:shd w:fill="2F75B5"/>
            <w:tcMar>
              <w:top w:w="70" w:type="dxa"/>
              <w:start w:w="80" w:type="dxa"/>
              <w:bottom w:w="70" w:type="dxa"/>
              <w:end w:w="80" w:type="dxa"/>
            </w:tcMar>
          </w:tcPr>
          <w:p>
            <w:pPr>
              <w:jc w:val="center"/>
            </w:pPr>
            <w:r>
              <w:rPr>
                <w:b/>
                <w:color w:val="FFFFFF"/>
                <w:sz w:val="16"/>
              </w:rPr>
              <w:t>Model reference</w:t>
            </w:r>
          </w:p>
        </w:tc>
        <w:tc>
          <w:tcPr>
            <w:tcW w:type="dxa" w:w="2448"/>
            <w:shd w:fill="2F75B5"/>
            <w:tcMar>
              <w:top w:w="70" w:type="dxa"/>
              <w:start w:w="80" w:type="dxa"/>
              <w:bottom w:w="70" w:type="dxa"/>
              <w:end w:w="80" w:type="dxa"/>
            </w:tcMar>
          </w:tcPr>
          <w:p>
            <w:pPr>
              <w:jc w:val="center"/>
            </w:pPr>
            <w:r>
              <w:rPr>
                <w:b/>
                <w:color w:val="FFFFFF"/>
                <w:sz w:val="16"/>
              </w:rPr>
              <w:t>2026 (bbl)</w:t>
            </w:r>
          </w:p>
        </w:tc>
        <w:tc>
          <w:tcPr>
            <w:tcW w:type="dxa" w:w="2448"/>
            <w:shd w:fill="2F75B5"/>
            <w:tcMar>
              <w:top w:w="70" w:type="dxa"/>
              <w:start w:w="80" w:type="dxa"/>
              <w:bottom w:w="70" w:type="dxa"/>
              <w:end w:w="80" w:type="dxa"/>
            </w:tcMar>
          </w:tcPr>
          <w:p>
            <w:pPr>
              <w:jc w:val="center"/>
            </w:pPr>
            <w:r>
              <w:rPr>
                <w:b/>
                <w:color w:val="FFFFFF"/>
                <w:sz w:val="16"/>
              </w:rPr>
              <w:t>2027 (bbl)</w:t>
            </w:r>
          </w:p>
        </w:tc>
      </w:tr>
      <w:tr>
        <w:tc>
          <w:tcPr>
            <w:tcW w:type="dxa" w:w="2880"/>
            <w:tcMar>
              <w:top w:w="70" w:type="dxa"/>
              <w:start w:w="80" w:type="dxa"/>
              <w:bottom w:w="70" w:type="dxa"/>
              <w:end w:w="80" w:type="dxa"/>
            </w:tcMar>
          </w:tcPr>
          <w:p>
            <w:pPr>
              <w:jc w:val="left"/>
            </w:pPr>
            <w:r>
              <w:rPr>
                <w:sz w:val="16"/>
              </w:rPr>
              <w:t>Exponential</w:t>
            </w:r>
          </w:p>
        </w:tc>
        <w:tc>
          <w:tcPr>
            <w:tcW w:type="dxa" w:w="2448"/>
            <w:tcMar>
              <w:top w:w="70" w:type="dxa"/>
              <w:start w:w="80" w:type="dxa"/>
              <w:bottom w:w="70" w:type="dxa"/>
              <w:end w:w="80" w:type="dxa"/>
            </w:tcMar>
          </w:tcPr>
          <w:p>
            <w:pPr>
              <w:jc w:val="left"/>
            </w:pPr>
            <w:r>
              <w:rPr>
                <w:sz w:val="16"/>
              </w:rPr>
              <w:t>452,495</w:t>
            </w:r>
          </w:p>
        </w:tc>
        <w:tc>
          <w:tcPr>
            <w:tcW w:type="dxa" w:w="2448"/>
            <w:tcMar>
              <w:top w:w="70" w:type="dxa"/>
              <w:start w:w="80" w:type="dxa"/>
              <w:bottom w:w="70" w:type="dxa"/>
              <w:end w:w="80" w:type="dxa"/>
            </w:tcMar>
          </w:tcPr>
          <w:p>
            <w:pPr>
              <w:jc w:val="left"/>
            </w:pPr>
            <w:r>
              <w:rPr>
                <w:sz w:val="16"/>
              </w:rPr>
              <w:t>422,026</w:t>
            </w:r>
          </w:p>
        </w:tc>
      </w:tr>
      <w:tr>
        <w:tc>
          <w:tcPr>
            <w:tcW w:type="dxa" w:w="2880"/>
            <w:tcMar>
              <w:top w:w="70" w:type="dxa"/>
              <w:start w:w="80" w:type="dxa"/>
              <w:bottom w:w="70" w:type="dxa"/>
              <w:end w:w="80" w:type="dxa"/>
            </w:tcMar>
            <w:shd w:fill="F5F7F9"/>
          </w:tcPr>
          <w:p>
            <w:pPr>
              <w:jc w:val="left"/>
            </w:pPr>
            <w:r>
              <w:rPr>
                <w:sz w:val="16"/>
              </w:rPr>
              <w:t>Harmonic</w:t>
            </w:r>
          </w:p>
        </w:tc>
        <w:tc>
          <w:tcPr>
            <w:tcW w:type="dxa" w:w="2448"/>
            <w:tcMar>
              <w:top w:w="70" w:type="dxa"/>
              <w:start w:w="80" w:type="dxa"/>
              <w:bottom w:w="70" w:type="dxa"/>
              <w:end w:w="80" w:type="dxa"/>
            </w:tcMar>
            <w:shd w:fill="F5F7F9"/>
          </w:tcPr>
          <w:p>
            <w:pPr>
              <w:jc w:val="left"/>
            </w:pPr>
            <w:r>
              <w:rPr>
                <w:sz w:val="16"/>
              </w:rPr>
              <w:t>474,242</w:t>
            </w:r>
          </w:p>
        </w:tc>
        <w:tc>
          <w:tcPr>
            <w:tcW w:type="dxa" w:w="2448"/>
            <w:tcMar>
              <w:top w:w="70" w:type="dxa"/>
              <w:start w:w="80" w:type="dxa"/>
              <w:bottom w:w="70" w:type="dxa"/>
              <w:end w:w="80" w:type="dxa"/>
            </w:tcMar>
            <w:shd w:fill="F5F7F9"/>
          </w:tcPr>
          <w:p>
            <w:pPr>
              <w:jc w:val="left"/>
            </w:pPr>
            <w:r>
              <w:rPr>
                <w:sz w:val="16"/>
              </w:rPr>
              <w:t>451,950</w:t>
            </w:r>
          </w:p>
        </w:tc>
      </w:tr>
      <w:tr>
        <w:tc>
          <w:tcPr>
            <w:tcW w:type="dxa" w:w="2880"/>
            <w:tcMar>
              <w:top w:w="70" w:type="dxa"/>
              <w:start w:w="80" w:type="dxa"/>
              <w:bottom w:w="70" w:type="dxa"/>
              <w:end w:w="80" w:type="dxa"/>
            </w:tcMar>
          </w:tcPr>
          <w:p>
            <w:pPr>
              <w:jc w:val="left"/>
            </w:pPr>
            <w:r>
              <w:rPr>
                <w:sz w:val="16"/>
              </w:rPr>
              <w:t>Hyperbolic</w:t>
            </w:r>
          </w:p>
        </w:tc>
        <w:tc>
          <w:tcPr>
            <w:tcW w:type="dxa" w:w="2448"/>
            <w:tcMar>
              <w:top w:w="70" w:type="dxa"/>
              <w:start w:w="80" w:type="dxa"/>
              <w:bottom w:w="70" w:type="dxa"/>
              <w:end w:w="80" w:type="dxa"/>
            </w:tcMar>
          </w:tcPr>
          <w:p>
            <w:pPr>
              <w:jc w:val="left"/>
            </w:pPr>
            <w:r>
              <w:rPr>
                <w:sz w:val="16"/>
              </w:rPr>
              <w:t>497,842</w:t>
            </w:r>
          </w:p>
        </w:tc>
        <w:tc>
          <w:tcPr>
            <w:tcW w:type="dxa" w:w="2448"/>
            <w:tcMar>
              <w:top w:w="70" w:type="dxa"/>
              <w:start w:w="80" w:type="dxa"/>
              <w:bottom w:w="70" w:type="dxa"/>
              <w:end w:w="80" w:type="dxa"/>
            </w:tcMar>
          </w:tcPr>
          <w:p>
            <w:pPr>
              <w:jc w:val="left"/>
            </w:pPr>
            <w:r>
              <w:rPr>
                <w:sz w:val="16"/>
              </w:rPr>
              <w:t>480,676</w:t>
            </w:r>
          </w:p>
        </w:tc>
      </w:tr>
    </w:tbl>
    <w:tbl>
      <w:tblPr>
        <w:tblW w:type="auto" w:w="0"/>
        <w:jc w:val="center"/>
        <w:tblLook w:firstColumn="1" w:firstRow="1" w:lastColumn="0" w:lastRow="0" w:noHBand="0" w:noVBand="1" w:val="04A0"/>
        <w:tblBorders>
          <w:top w:val="single" w:sz="4" w:color="EAF2F8"/>
          <w:left w:val="single" w:sz="4" w:color="EAF2F8"/>
          <w:bottom w:val="single" w:sz="4" w:color="EAF2F8"/>
          <w:right w:val="single" w:sz="4" w:color="EAF2F8"/>
          <w:insideH w:val="single" w:sz="4" w:color="EAF2F8"/>
          <w:insideV w:val="single" w:sz="4" w:color="EAF2F8"/>
        </w:tblBorders>
      </w:tblPr>
      <w:tblGrid>
        <w:gridCol w:w="10368"/>
      </w:tblGrid>
      <w:tr>
        <w:tc>
          <w:tcPr>
            <w:tcW w:type="dxa" w:w="10368"/>
            <w:shd w:fill="EAF2F8"/>
            <w:tcMar>
              <w:top w:w="100" w:type="dxa"/>
              <w:start w:w="140" w:type="dxa"/>
              <w:bottom w:w="100" w:type="dxa"/>
              <w:end w:w="140" w:type="dxa"/>
            </w:tcMar>
          </w:tcPr>
          <w:p>
            <w:r>
              <w:rPr>
                <w:b/>
                <w:color w:val="17365D"/>
              </w:rPr>
              <w:t xml:space="preserve">Forecast meaning: </w:t>
            </w:r>
            <w:r>
              <w:t>The uncertainty interval measures recent statistical variation around the curve. It does not represent full business uncertainty from new wells, maintenance, commodity prices or operating decisions.</w:t>
            </w:r>
          </w:p>
        </w:tc>
      </w:tr>
    </w:tbl>
    <w:p>
      <w:r>
        <w:br w:type="page"/>
      </w:r>
    </w:p>
    <w:p>
      <w:pPr>
        <w:pStyle w:val="Heading1"/>
      </w:pPr>
      <w:r>
        <w:t>13. Monthly forecast, limitations and conclusions</w:t>
      </w:r>
    </w:p>
    <w:p>
      <w:pPr>
        <w:pStyle w:val="Heading2"/>
      </w:pPr>
      <w:r>
        <w:t>Monthly P50 oil forecast</w:t>
      </w:r>
    </w:p>
    <w:tbl>
      <w:tblPr>
        <w:tblW w:type="auto" w:w="0"/>
        <w:jc w:val="center"/>
        <w:tblLayout w:type="fixed"/>
        <w:tblLook w:firstColumn="1" w:firstRow="1" w:lastColumn="0" w:lastRow="0" w:noHBand="0" w:noVBand="1" w:val="04A0"/>
        <w:tblBorders>
          <w:top w:val="single" w:sz="4" w:color="C9D3DD"/>
          <w:left w:val="single" w:sz="4" w:color="C9D3DD"/>
          <w:bottom w:val="single" w:sz="4" w:color="C9D3DD"/>
          <w:right w:val="single" w:sz="4" w:color="C9D3DD"/>
          <w:insideH w:val="single" w:sz="4" w:color="C9D3DD"/>
          <w:insideV w:val="single" w:sz="4" w:color="C9D3DD"/>
        </w:tblBorders>
      </w:tblPr>
      <w:tblGrid>
        <w:gridCol w:w="2074"/>
        <w:gridCol w:w="2074"/>
        <w:gridCol w:w="2074"/>
        <w:gridCol w:w="2074"/>
        <w:gridCol w:w="2074"/>
      </w:tblGrid>
      <w:tr>
        <w:trPr>
          <w:tblHeader w:val="true"/>
        </w:trPr>
        <w:tc>
          <w:tcPr>
            <w:tcW w:type="dxa" w:w="1440"/>
            <w:shd w:fill="17365D"/>
            <w:tcMar>
              <w:top w:w="70" w:type="dxa"/>
              <w:start w:w="80" w:type="dxa"/>
              <w:bottom w:w="70" w:type="dxa"/>
              <w:end w:w="80" w:type="dxa"/>
            </w:tcMar>
          </w:tcPr>
          <w:p>
            <w:pPr>
              <w:jc w:val="center"/>
            </w:pPr>
            <w:r>
              <w:rPr>
                <w:b/>
                <w:color w:val="FFFFFF"/>
                <w:sz w:val="15"/>
              </w:rPr>
              <w:t>Month</w:t>
            </w:r>
          </w:p>
        </w:tc>
        <w:tc>
          <w:tcPr>
            <w:tcW w:type="dxa" w:w="2016"/>
            <w:shd w:fill="17365D"/>
            <w:tcMar>
              <w:top w:w="70" w:type="dxa"/>
              <w:start w:w="80" w:type="dxa"/>
              <w:bottom w:w="70" w:type="dxa"/>
              <w:end w:w="80" w:type="dxa"/>
            </w:tcMar>
          </w:tcPr>
          <w:p>
            <w:pPr>
              <w:jc w:val="center"/>
            </w:pPr>
            <w:r>
              <w:rPr>
                <w:b/>
                <w:color w:val="FFFFFF"/>
                <w:sz w:val="15"/>
              </w:rPr>
              <w:t>2026 oil</w:t>
            </w:r>
          </w:p>
        </w:tc>
        <w:tc>
          <w:tcPr>
            <w:tcW w:type="dxa" w:w="2016"/>
            <w:shd w:fill="17365D"/>
            <w:tcMar>
              <w:top w:w="70" w:type="dxa"/>
              <w:start w:w="80" w:type="dxa"/>
              <w:bottom w:w="70" w:type="dxa"/>
              <w:end w:w="80" w:type="dxa"/>
            </w:tcMar>
          </w:tcPr>
          <w:p>
            <w:pPr>
              <w:jc w:val="center"/>
            </w:pPr>
            <w:r>
              <w:rPr>
                <w:b/>
                <w:color w:val="FFFFFF"/>
                <w:sz w:val="15"/>
              </w:rPr>
              <w:t>2027 oil</w:t>
            </w:r>
          </w:p>
        </w:tc>
        <w:tc>
          <w:tcPr>
            <w:tcW w:type="dxa" w:w="1872"/>
            <w:shd w:fill="17365D"/>
            <w:tcMar>
              <w:top w:w="70" w:type="dxa"/>
              <w:start w:w="80" w:type="dxa"/>
              <w:bottom w:w="70" w:type="dxa"/>
              <w:end w:w="80" w:type="dxa"/>
            </w:tcMar>
          </w:tcPr>
          <w:p>
            <w:pPr>
              <w:jc w:val="center"/>
            </w:pPr>
            <w:r>
              <w:rPr>
                <w:b/>
                <w:color w:val="FFFFFF"/>
                <w:sz w:val="15"/>
              </w:rPr>
              <w:t>2026 BOPD</w:t>
            </w:r>
          </w:p>
        </w:tc>
        <w:tc>
          <w:tcPr>
            <w:tcW w:type="dxa" w:w="1872"/>
            <w:shd w:fill="17365D"/>
            <w:tcMar>
              <w:top w:w="70" w:type="dxa"/>
              <w:start w:w="80" w:type="dxa"/>
              <w:bottom w:w="70" w:type="dxa"/>
              <w:end w:w="80" w:type="dxa"/>
            </w:tcMar>
          </w:tcPr>
          <w:p>
            <w:pPr>
              <w:jc w:val="center"/>
            </w:pPr>
            <w:r>
              <w:rPr>
                <w:b/>
                <w:color w:val="FFFFFF"/>
                <w:sz w:val="15"/>
              </w:rPr>
              <w:t>2027 BOPD</w:t>
            </w:r>
          </w:p>
        </w:tc>
      </w:tr>
      <w:tr>
        <w:tc>
          <w:tcPr>
            <w:tcW w:type="dxa" w:w="1440"/>
            <w:tcMar>
              <w:top w:w="70" w:type="dxa"/>
              <w:start w:w="80" w:type="dxa"/>
              <w:bottom w:w="70" w:type="dxa"/>
              <w:end w:w="80" w:type="dxa"/>
            </w:tcMar>
          </w:tcPr>
          <w:p>
            <w:pPr>
              <w:jc w:val="left"/>
            </w:pPr>
            <w:r>
              <w:rPr>
                <w:sz w:val="15"/>
              </w:rPr>
              <w:t>Jan</w:t>
            </w:r>
          </w:p>
        </w:tc>
        <w:tc>
          <w:tcPr>
            <w:tcW w:type="dxa" w:w="2016"/>
            <w:tcMar>
              <w:top w:w="70" w:type="dxa"/>
              <w:start w:w="80" w:type="dxa"/>
              <w:bottom w:w="70" w:type="dxa"/>
              <w:end w:w="80" w:type="dxa"/>
            </w:tcMar>
          </w:tcPr>
          <w:p>
            <w:pPr>
              <w:jc w:val="left"/>
            </w:pPr>
            <w:r>
              <w:rPr>
                <w:sz w:val="15"/>
              </w:rPr>
              <w:t>43,001</w:t>
            </w:r>
          </w:p>
        </w:tc>
        <w:tc>
          <w:tcPr>
            <w:tcW w:type="dxa" w:w="2016"/>
            <w:tcMar>
              <w:top w:w="70" w:type="dxa"/>
              <w:start w:w="80" w:type="dxa"/>
              <w:bottom w:w="70" w:type="dxa"/>
              <w:end w:w="80" w:type="dxa"/>
            </w:tcMar>
          </w:tcPr>
          <w:p>
            <w:pPr>
              <w:jc w:val="left"/>
            </w:pPr>
            <w:r>
              <w:rPr>
                <w:sz w:val="15"/>
              </w:rPr>
              <w:t>41,471</w:t>
            </w:r>
          </w:p>
        </w:tc>
        <w:tc>
          <w:tcPr>
            <w:tcW w:type="dxa" w:w="1872"/>
            <w:tcMar>
              <w:top w:w="70" w:type="dxa"/>
              <w:start w:w="80" w:type="dxa"/>
              <w:bottom w:w="70" w:type="dxa"/>
              <w:end w:w="80" w:type="dxa"/>
            </w:tcMar>
          </w:tcPr>
          <w:p>
            <w:pPr>
              <w:jc w:val="left"/>
            </w:pPr>
            <w:r>
              <w:rPr>
                <w:sz w:val="15"/>
              </w:rPr>
              <w:t>1,387</w:t>
            </w:r>
          </w:p>
        </w:tc>
        <w:tc>
          <w:tcPr>
            <w:tcW w:type="dxa" w:w="1872"/>
            <w:tcMar>
              <w:top w:w="70" w:type="dxa"/>
              <w:start w:w="80" w:type="dxa"/>
              <w:bottom w:w="70" w:type="dxa"/>
              <w:end w:w="80" w:type="dxa"/>
            </w:tcMar>
          </w:tcPr>
          <w:p>
            <w:pPr>
              <w:jc w:val="left"/>
            </w:pPr>
            <w:r>
              <w:rPr>
                <w:sz w:val="15"/>
              </w:rPr>
              <w:t>1,338</w:t>
            </w:r>
          </w:p>
        </w:tc>
      </w:tr>
      <w:tr>
        <w:tc>
          <w:tcPr>
            <w:tcW w:type="dxa" w:w="1440"/>
            <w:tcMar>
              <w:top w:w="70" w:type="dxa"/>
              <w:start w:w="80" w:type="dxa"/>
              <w:bottom w:w="70" w:type="dxa"/>
              <w:end w:w="80" w:type="dxa"/>
            </w:tcMar>
            <w:shd w:fill="F5F7F9"/>
          </w:tcPr>
          <w:p>
            <w:pPr>
              <w:jc w:val="left"/>
            </w:pPr>
            <w:r>
              <w:rPr>
                <w:sz w:val="15"/>
              </w:rPr>
              <w:t>Feb</w:t>
            </w:r>
          </w:p>
        </w:tc>
        <w:tc>
          <w:tcPr>
            <w:tcW w:type="dxa" w:w="2016"/>
            <w:tcMar>
              <w:top w:w="70" w:type="dxa"/>
              <w:start w:w="80" w:type="dxa"/>
              <w:bottom w:w="70" w:type="dxa"/>
              <w:end w:w="80" w:type="dxa"/>
            </w:tcMar>
            <w:shd w:fill="F5F7F9"/>
          </w:tcPr>
          <w:p>
            <w:pPr>
              <w:jc w:val="left"/>
            </w:pPr>
            <w:r>
              <w:rPr>
                <w:sz w:val="15"/>
              </w:rPr>
              <w:t>38,719</w:t>
            </w:r>
          </w:p>
        </w:tc>
        <w:tc>
          <w:tcPr>
            <w:tcW w:type="dxa" w:w="2016"/>
            <w:tcMar>
              <w:top w:w="70" w:type="dxa"/>
              <w:start w:w="80" w:type="dxa"/>
              <w:bottom w:w="70" w:type="dxa"/>
              <w:end w:w="80" w:type="dxa"/>
            </w:tcMar>
            <w:shd w:fill="F5F7F9"/>
          </w:tcPr>
          <w:p>
            <w:pPr>
              <w:jc w:val="left"/>
            </w:pPr>
            <w:r>
              <w:rPr>
                <w:sz w:val="15"/>
              </w:rPr>
              <w:t>37,349</w:t>
            </w:r>
          </w:p>
        </w:tc>
        <w:tc>
          <w:tcPr>
            <w:tcW w:type="dxa" w:w="1872"/>
            <w:tcMar>
              <w:top w:w="70" w:type="dxa"/>
              <w:start w:w="80" w:type="dxa"/>
              <w:bottom w:w="70" w:type="dxa"/>
              <w:end w:w="80" w:type="dxa"/>
            </w:tcMar>
            <w:shd w:fill="F5F7F9"/>
          </w:tcPr>
          <w:p>
            <w:pPr>
              <w:jc w:val="left"/>
            </w:pPr>
            <w:r>
              <w:rPr>
                <w:sz w:val="15"/>
              </w:rPr>
              <w:t>1,383</w:t>
            </w:r>
          </w:p>
        </w:tc>
        <w:tc>
          <w:tcPr>
            <w:tcW w:type="dxa" w:w="1872"/>
            <w:tcMar>
              <w:top w:w="70" w:type="dxa"/>
              <w:start w:w="80" w:type="dxa"/>
              <w:bottom w:w="70" w:type="dxa"/>
              <w:end w:w="80" w:type="dxa"/>
            </w:tcMar>
            <w:shd w:fill="F5F7F9"/>
          </w:tcPr>
          <w:p>
            <w:pPr>
              <w:jc w:val="left"/>
            </w:pPr>
            <w:r>
              <w:rPr>
                <w:sz w:val="15"/>
              </w:rPr>
              <w:t>1,334</w:t>
            </w:r>
          </w:p>
        </w:tc>
      </w:tr>
      <w:tr>
        <w:tc>
          <w:tcPr>
            <w:tcW w:type="dxa" w:w="1440"/>
            <w:tcMar>
              <w:top w:w="70" w:type="dxa"/>
              <w:start w:w="80" w:type="dxa"/>
              <w:bottom w:w="70" w:type="dxa"/>
              <w:end w:w="80" w:type="dxa"/>
            </w:tcMar>
          </w:tcPr>
          <w:p>
            <w:pPr>
              <w:jc w:val="left"/>
            </w:pPr>
            <w:r>
              <w:rPr>
                <w:sz w:val="15"/>
              </w:rPr>
              <w:t>Mar</w:t>
            </w:r>
          </w:p>
        </w:tc>
        <w:tc>
          <w:tcPr>
            <w:tcW w:type="dxa" w:w="2016"/>
            <w:tcMar>
              <w:top w:w="70" w:type="dxa"/>
              <w:start w:w="80" w:type="dxa"/>
              <w:bottom w:w="70" w:type="dxa"/>
              <w:end w:w="80" w:type="dxa"/>
            </w:tcMar>
          </w:tcPr>
          <w:p>
            <w:pPr>
              <w:jc w:val="left"/>
            </w:pPr>
            <w:r>
              <w:rPr>
                <w:sz w:val="15"/>
              </w:rPr>
              <w:t>42,734</w:t>
            </w:r>
          </w:p>
        </w:tc>
        <w:tc>
          <w:tcPr>
            <w:tcW w:type="dxa" w:w="2016"/>
            <w:tcMar>
              <w:top w:w="70" w:type="dxa"/>
              <w:start w:w="80" w:type="dxa"/>
              <w:bottom w:w="70" w:type="dxa"/>
              <w:end w:w="80" w:type="dxa"/>
            </w:tcMar>
          </w:tcPr>
          <w:p>
            <w:pPr>
              <w:jc w:val="left"/>
            </w:pPr>
            <w:r>
              <w:rPr>
                <w:sz w:val="15"/>
              </w:rPr>
              <w:t>41,231</w:t>
            </w:r>
          </w:p>
        </w:tc>
        <w:tc>
          <w:tcPr>
            <w:tcW w:type="dxa" w:w="1872"/>
            <w:tcMar>
              <w:top w:w="70" w:type="dxa"/>
              <w:start w:w="80" w:type="dxa"/>
              <w:bottom w:w="70" w:type="dxa"/>
              <w:end w:w="80" w:type="dxa"/>
            </w:tcMar>
          </w:tcPr>
          <w:p>
            <w:pPr>
              <w:jc w:val="left"/>
            </w:pPr>
            <w:r>
              <w:rPr>
                <w:sz w:val="15"/>
              </w:rPr>
              <w:t>1,379</w:t>
            </w:r>
          </w:p>
        </w:tc>
        <w:tc>
          <w:tcPr>
            <w:tcW w:type="dxa" w:w="1872"/>
            <w:tcMar>
              <w:top w:w="70" w:type="dxa"/>
              <w:start w:w="80" w:type="dxa"/>
              <w:bottom w:w="70" w:type="dxa"/>
              <w:end w:w="80" w:type="dxa"/>
            </w:tcMar>
          </w:tcPr>
          <w:p>
            <w:pPr>
              <w:jc w:val="left"/>
            </w:pPr>
            <w:r>
              <w:rPr>
                <w:sz w:val="15"/>
              </w:rPr>
              <w:t>1,330</w:t>
            </w:r>
          </w:p>
        </w:tc>
      </w:tr>
      <w:tr>
        <w:tc>
          <w:tcPr>
            <w:tcW w:type="dxa" w:w="1440"/>
            <w:tcMar>
              <w:top w:w="70" w:type="dxa"/>
              <w:start w:w="80" w:type="dxa"/>
              <w:bottom w:w="70" w:type="dxa"/>
              <w:end w:w="80" w:type="dxa"/>
            </w:tcMar>
            <w:shd w:fill="F5F7F9"/>
          </w:tcPr>
          <w:p>
            <w:pPr>
              <w:jc w:val="left"/>
            </w:pPr>
            <w:r>
              <w:rPr>
                <w:sz w:val="15"/>
              </w:rPr>
              <w:t>Apr</w:t>
            </w:r>
          </w:p>
        </w:tc>
        <w:tc>
          <w:tcPr>
            <w:tcW w:type="dxa" w:w="2016"/>
            <w:tcMar>
              <w:top w:w="70" w:type="dxa"/>
              <w:start w:w="80" w:type="dxa"/>
              <w:bottom w:w="70" w:type="dxa"/>
              <w:end w:w="80" w:type="dxa"/>
            </w:tcMar>
            <w:shd w:fill="F5F7F9"/>
          </w:tcPr>
          <w:p>
            <w:pPr>
              <w:jc w:val="left"/>
            </w:pPr>
            <w:r>
              <w:rPr>
                <w:sz w:val="15"/>
              </w:rPr>
              <w:t>41,228</w:t>
            </w:r>
          </w:p>
        </w:tc>
        <w:tc>
          <w:tcPr>
            <w:tcW w:type="dxa" w:w="2016"/>
            <w:tcMar>
              <w:top w:w="70" w:type="dxa"/>
              <w:start w:w="80" w:type="dxa"/>
              <w:bottom w:w="70" w:type="dxa"/>
              <w:end w:w="80" w:type="dxa"/>
            </w:tcMar>
            <w:shd w:fill="F5F7F9"/>
          </w:tcPr>
          <w:p>
            <w:pPr>
              <w:jc w:val="left"/>
            </w:pPr>
            <w:r>
              <w:rPr>
                <w:sz w:val="15"/>
              </w:rPr>
              <w:t>39,787</w:t>
            </w:r>
          </w:p>
        </w:tc>
        <w:tc>
          <w:tcPr>
            <w:tcW w:type="dxa" w:w="1872"/>
            <w:tcMar>
              <w:top w:w="70" w:type="dxa"/>
              <w:start w:w="80" w:type="dxa"/>
              <w:bottom w:w="70" w:type="dxa"/>
              <w:end w:w="80" w:type="dxa"/>
            </w:tcMar>
            <w:shd w:fill="F5F7F9"/>
          </w:tcPr>
          <w:p>
            <w:pPr>
              <w:jc w:val="left"/>
            </w:pPr>
            <w:r>
              <w:rPr>
                <w:sz w:val="15"/>
              </w:rPr>
              <w:t>1,374</w:t>
            </w:r>
          </w:p>
        </w:tc>
        <w:tc>
          <w:tcPr>
            <w:tcW w:type="dxa" w:w="1872"/>
            <w:tcMar>
              <w:top w:w="70" w:type="dxa"/>
              <w:start w:w="80" w:type="dxa"/>
              <w:bottom w:w="70" w:type="dxa"/>
              <w:end w:w="80" w:type="dxa"/>
            </w:tcMar>
            <w:shd w:fill="F5F7F9"/>
          </w:tcPr>
          <w:p>
            <w:pPr>
              <w:jc w:val="left"/>
            </w:pPr>
            <w:r>
              <w:rPr>
                <w:sz w:val="15"/>
              </w:rPr>
              <w:t>1,326</w:t>
            </w:r>
          </w:p>
        </w:tc>
      </w:tr>
      <w:tr>
        <w:tc>
          <w:tcPr>
            <w:tcW w:type="dxa" w:w="1440"/>
            <w:tcMar>
              <w:top w:w="70" w:type="dxa"/>
              <w:start w:w="80" w:type="dxa"/>
              <w:bottom w:w="70" w:type="dxa"/>
              <w:end w:w="80" w:type="dxa"/>
            </w:tcMar>
          </w:tcPr>
          <w:p>
            <w:pPr>
              <w:jc w:val="left"/>
            </w:pPr>
            <w:r>
              <w:rPr>
                <w:sz w:val="15"/>
              </w:rPr>
              <w:t>May</w:t>
            </w:r>
          </w:p>
        </w:tc>
        <w:tc>
          <w:tcPr>
            <w:tcW w:type="dxa" w:w="2016"/>
            <w:tcMar>
              <w:top w:w="70" w:type="dxa"/>
              <w:start w:w="80" w:type="dxa"/>
              <w:bottom w:w="70" w:type="dxa"/>
              <w:end w:w="80" w:type="dxa"/>
            </w:tcMar>
          </w:tcPr>
          <w:p>
            <w:pPr>
              <w:jc w:val="left"/>
            </w:pPr>
            <w:r>
              <w:rPr>
                <w:sz w:val="15"/>
              </w:rPr>
              <w:t>42,472</w:t>
            </w:r>
          </w:p>
        </w:tc>
        <w:tc>
          <w:tcPr>
            <w:tcW w:type="dxa" w:w="2016"/>
            <w:tcMar>
              <w:top w:w="70" w:type="dxa"/>
              <w:start w:w="80" w:type="dxa"/>
              <w:bottom w:w="70" w:type="dxa"/>
              <w:end w:w="80" w:type="dxa"/>
            </w:tcMar>
          </w:tcPr>
          <w:p>
            <w:pPr>
              <w:jc w:val="left"/>
            </w:pPr>
            <w:r>
              <w:rPr>
                <w:sz w:val="15"/>
              </w:rPr>
              <w:t>40,996</w:t>
            </w:r>
          </w:p>
        </w:tc>
        <w:tc>
          <w:tcPr>
            <w:tcW w:type="dxa" w:w="1872"/>
            <w:tcMar>
              <w:top w:w="70" w:type="dxa"/>
              <w:start w:w="80" w:type="dxa"/>
              <w:bottom w:w="70" w:type="dxa"/>
              <w:end w:w="80" w:type="dxa"/>
            </w:tcMar>
          </w:tcPr>
          <w:p>
            <w:pPr>
              <w:jc w:val="left"/>
            </w:pPr>
            <w:r>
              <w:rPr>
                <w:sz w:val="15"/>
              </w:rPr>
              <w:t>1,370</w:t>
            </w:r>
          </w:p>
        </w:tc>
        <w:tc>
          <w:tcPr>
            <w:tcW w:type="dxa" w:w="1872"/>
            <w:tcMar>
              <w:top w:w="70" w:type="dxa"/>
              <w:start w:w="80" w:type="dxa"/>
              <w:bottom w:w="70" w:type="dxa"/>
              <w:end w:w="80" w:type="dxa"/>
            </w:tcMar>
          </w:tcPr>
          <w:p>
            <w:pPr>
              <w:jc w:val="left"/>
            </w:pPr>
            <w:r>
              <w:rPr>
                <w:sz w:val="15"/>
              </w:rPr>
              <w:t>1,322</w:t>
            </w:r>
          </w:p>
        </w:tc>
      </w:tr>
      <w:tr>
        <w:tc>
          <w:tcPr>
            <w:tcW w:type="dxa" w:w="1440"/>
            <w:tcMar>
              <w:top w:w="70" w:type="dxa"/>
              <w:start w:w="80" w:type="dxa"/>
              <w:bottom w:w="70" w:type="dxa"/>
              <w:end w:w="80" w:type="dxa"/>
            </w:tcMar>
            <w:shd w:fill="F5F7F9"/>
          </w:tcPr>
          <w:p>
            <w:pPr>
              <w:jc w:val="left"/>
            </w:pPr>
            <w:r>
              <w:rPr>
                <w:sz w:val="15"/>
              </w:rPr>
              <w:t>Jun</w:t>
            </w:r>
          </w:p>
        </w:tc>
        <w:tc>
          <w:tcPr>
            <w:tcW w:type="dxa" w:w="2016"/>
            <w:tcMar>
              <w:top w:w="70" w:type="dxa"/>
              <w:start w:w="80" w:type="dxa"/>
              <w:bottom w:w="70" w:type="dxa"/>
              <w:end w:w="80" w:type="dxa"/>
            </w:tcMar>
            <w:shd w:fill="F5F7F9"/>
          </w:tcPr>
          <w:p>
            <w:pPr>
              <w:jc w:val="left"/>
            </w:pPr>
            <w:r>
              <w:rPr>
                <w:sz w:val="15"/>
              </w:rPr>
              <w:t>40,977</w:t>
            </w:r>
          </w:p>
        </w:tc>
        <w:tc>
          <w:tcPr>
            <w:tcW w:type="dxa" w:w="2016"/>
            <w:tcMar>
              <w:top w:w="70" w:type="dxa"/>
              <w:start w:w="80" w:type="dxa"/>
              <w:bottom w:w="70" w:type="dxa"/>
              <w:end w:w="80" w:type="dxa"/>
            </w:tcMar>
            <w:shd w:fill="F5F7F9"/>
          </w:tcPr>
          <w:p>
            <w:pPr>
              <w:jc w:val="left"/>
            </w:pPr>
            <w:r>
              <w:rPr>
                <w:sz w:val="15"/>
              </w:rPr>
              <w:t>39,561</w:t>
            </w:r>
          </w:p>
        </w:tc>
        <w:tc>
          <w:tcPr>
            <w:tcW w:type="dxa" w:w="1872"/>
            <w:tcMar>
              <w:top w:w="70" w:type="dxa"/>
              <w:start w:w="80" w:type="dxa"/>
              <w:bottom w:w="70" w:type="dxa"/>
              <w:end w:w="80" w:type="dxa"/>
            </w:tcMar>
            <w:shd w:fill="F5F7F9"/>
          </w:tcPr>
          <w:p>
            <w:pPr>
              <w:jc w:val="left"/>
            </w:pPr>
            <w:r>
              <w:rPr>
                <w:sz w:val="15"/>
              </w:rPr>
              <w:t>1,366</w:t>
            </w:r>
          </w:p>
        </w:tc>
        <w:tc>
          <w:tcPr>
            <w:tcW w:type="dxa" w:w="1872"/>
            <w:tcMar>
              <w:top w:w="70" w:type="dxa"/>
              <w:start w:w="80" w:type="dxa"/>
              <w:bottom w:w="70" w:type="dxa"/>
              <w:end w:w="80" w:type="dxa"/>
            </w:tcMar>
            <w:shd w:fill="F5F7F9"/>
          </w:tcPr>
          <w:p>
            <w:pPr>
              <w:jc w:val="left"/>
            </w:pPr>
            <w:r>
              <w:rPr>
                <w:sz w:val="15"/>
              </w:rPr>
              <w:t>1,319</w:t>
            </w:r>
          </w:p>
        </w:tc>
      </w:tr>
      <w:tr>
        <w:tc>
          <w:tcPr>
            <w:tcW w:type="dxa" w:w="1440"/>
            <w:tcMar>
              <w:top w:w="70" w:type="dxa"/>
              <w:start w:w="80" w:type="dxa"/>
              <w:bottom w:w="70" w:type="dxa"/>
              <w:end w:w="80" w:type="dxa"/>
            </w:tcMar>
          </w:tcPr>
          <w:p>
            <w:pPr>
              <w:jc w:val="left"/>
            </w:pPr>
            <w:r>
              <w:rPr>
                <w:sz w:val="15"/>
              </w:rPr>
              <w:t>Jul</w:t>
            </w:r>
          </w:p>
        </w:tc>
        <w:tc>
          <w:tcPr>
            <w:tcW w:type="dxa" w:w="2016"/>
            <w:tcMar>
              <w:top w:w="70" w:type="dxa"/>
              <w:start w:w="80" w:type="dxa"/>
              <w:bottom w:w="70" w:type="dxa"/>
              <w:end w:w="80" w:type="dxa"/>
            </w:tcMar>
          </w:tcPr>
          <w:p>
            <w:pPr>
              <w:jc w:val="left"/>
            </w:pPr>
            <w:r>
              <w:rPr>
                <w:sz w:val="15"/>
              </w:rPr>
              <w:t>42,215</w:t>
            </w:r>
          </w:p>
        </w:tc>
        <w:tc>
          <w:tcPr>
            <w:tcW w:type="dxa" w:w="2016"/>
            <w:tcMar>
              <w:top w:w="70" w:type="dxa"/>
              <w:start w:w="80" w:type="dxa"/>
              <w:bottom w:w="70" w:type="dxa"/>
              <w:end w:w="80" w:type="dxa"/>
            </w:tcMar>
          </w:tcPr>
          <w:p>
            <w:pPr>
              <w:jc w:val="left"/>
            </w:pPr>
            <w:r>
              <w:rPr>
                <w:sz w:val="15"/>
              </w:rPr>
              <w:t>40,764</w:t>
            </w:r>
          </w:p>
        </w:tc>
        <w:tc>
          <w:tcPr>
            <w:tcW w:type="dxa" w:w="1872"/>
            <w:tcMar>
              <w:top w:w="70" w:type="dxa"/>
              <w:start w:w="80" w:type="dxa"/>
              <w:bottom w:w="70" w:type="dxa"/>
              <w:end w:w="80" w:type="dxa"/>
            </w:tcMar>
          </w:tcPr>
          <w:p>
            <w:pPr>
              <w:jc w:val="left"/>
            </w:pPr>
            <w:r>
              <w:rPr>
                <w:sz w:val="15"/>
              </w:rPr>
              <w:t>1,362</w:t>
            </w:r>
          </w:p>
        </w:tc>
        <w:tc>
          <w:tcPr>
            <w:tcW w:type="dxa" w:w="1872"/>
            <w:tcMar>
              <w:top w:w="70" w:type="dxa"/>
              <w:start w:w="80" w:type="dxa"/>
              <w:bottom w:w="70" w:type="dxa"/>
              <w:end w:w="80" w:type="dxa"/>
            </w:tcMar>
          </w:tcPr>
          <w:p>
            <w:pPr>
              <w:jc w:val="left"/>
            </w:pPr>
            <w:r>
              <w:rPr>
                <w:sz w:val="15"/>
              </w:rPr>
              <w:t>1,315</w:t>
            </w:r>
          </w:p>
        </w:tc>
      </w:tr>
      <w:tr>
        <w:tc>
          <w:tcPr>
            <w:tcW w:type="dxa" w:w="1440"/>
            <w:tcMar>
              <w:top w:w="70" w:type="dxa"/>
              <w:start w:w="80" w:type="dxa"/>
              <w:bottom w:w="70" w:type="dxa"/>
              <w:end w:w="80" w:type="dxa"/>
            </w:tcMar>
            <w:shd w:fill="F5F7F9"/>
          </w:tcPr>
          <w:p>
            <w:pPr>
              <w:jc w:val="left"/>
            </w:pPr>
            <w:r>
              <w:rPr>
                <w:sz w:val="15"/>
              </w:rPr>
              <w:t>Aug</w:t>
            </w:r>
          </w:p>
        </w:tc>
        <w:tc>
          <w:tcPr>
            <w:tcW w:type="dxa" w:w="2016"/>
            <w:tcMar>
              <w:top w:w="70" w:type="dxa"/>
              <w:start w:w="80" w:type="dxa"/>
              <w:bottom w:w="70" w:type="dxa"/>
              <w:end w:w="80" w:type="dxa"/>
            </w:tcMar>
            <w:shd w:fill="F5F7F9"/>
          </w:tcPr>
          <w:p>
            <w:pPr>
              <w:jc w:val="left"/>
            </w:pPr>
            <w:r>
              <w:rPr>
                <w:sz w:val="15"/>
              </w:rPr>
              <w:t>42,088</w:t>
            </w:r>
          </w:p>
        </w:tc>
        <w:tc>
          <w:tcPr>
            <w:tcW w:type="dxa" w:w="2016"/>
            <w:tcMar>
              <w:top w:w="70" w:type="dxa"/>
              <w:start w:w="80" w:type="dxa"/>
              <w:bottom w:w="70" w:type="dxa"/>
              <w:end w:w="80" w:type="dxa"/>
            </w:tcMar>
            <w:shd w:fill="F5F7F9"/>
          </w:tcPr>
          <w:p>
            <w:pPr>
              <w:jc w:val="left"/>
            </w:pPr>
            <w:r>
              <w:rPr>
                <w:sz w:val="15"/>
              </w:rPr>
              <w:t>40,650</w:t>
            </w:r>
          </w:p>
        </w:tc>
        <w:tc>
          <w:tcPr>
            <w:tcW w:type="dxa" w:w="1872"/>
            <w:tcMar>
              <w:top w:w="70" w:type="dxa"/>
              <w:start w:w="80" w:type="dxa"/>
              <w:bottom w:w="70" w:type="dxa"/>
              <w:end w:w="80" w:type="dxa"/>
            </w:tcMar>
            <w:shd w:fill="F5F7F9"/>
          </w:tcPr>
          <w:p>
            <w:pPr>
              <w:jc w:val="left"/>
            </w:pPr>
            <w:r>
              <w:rPr>
                <w:sz w:val="15"/>
              </w:rPr>
              <w:t>1,358</w:t>
            </w:r>
          </w:p>
        </w:tc>
        <w:tc>
          <w:tcPr>
            <w:tcW w:type="dxa" w:w="1872"/>
            <w:tcMar>
              <w:top w:w="70" w:type="dxa"/>
              <w:start w:w="80" w:type="dxa"/>
              <w:bottom w:w="70" w:type="dxa"/>
              <w:end w:w="80" w:type="dxa"/>
            </w:tcMar>
            <w:shd w:fill="F5F7F9"/>
          </w:tcPr>
          <w:p>
            <w:pPr>
              <w:jc w:val="left"/>
            </w:pPr>
            <w:r>
              <w:rPr>
                <w:sz w:val="15"/>
              </w:rPr>
              <w:t>1,311</w:t>
            </w:r>
          </w:p>
        </w:tc>
      </w:tr>
      <w:tr>
        <w:tc>
          <w:tcPr>
            <w:tcW w:type="dxa" w:w="1440"/>
            <w:tcMar>
              <w:top w:w="70" w:type="dxa"/>
              <w:start w:w="80" w:type="dxa"/>
              <w:bottom w:w="70" w:type="dxa"/>
              <w:end w:w="80" w:type="dxa"/>
            </w:tcMar>
          </w:tcPr>
          <w:p>
            <w:pPr>
              <w:jc w:val="left"/>
            </w:pPr>
            <w:r>
              <w:rPr>
                <w:sz w:val="15"/>
              </w:rPr>
              <w:t>Sep</w:t>
            </w:r>
          </w:p>
        </w:tc>
        <w:tc>
          <w:tcPr>
            <w:tcW w:type="dxa" w:w="2016"/>
            <w:tcMar>
              <w:top w:w="70" w:type="dxa"/>
              <w:start w:w="80" w:type="dxa"/>
              <w:bottom w:w="70" w:type="dxa"/>
              <w:end w:w="80" w:type="dxa"/>
            </w:tcMar>
          </w:tcPr>
          <w:p>
            <w:pPr>
              <w:jc w:val="left"/>
            </w:pPr>
            <w:r>
              <w:rPr>
                <w:sz w:val="15"/>
              </w:rPr>
              <w:t>40,609</w:t>
            </w:r>
          </w:p>
        </w:tc>
        <w:tc>
          <w:tcPr>
            <w:tcW w:type="dxa" w:w="2016"/>
            <w:tcMar>
              <w:top w:w="70" w:type="dxa"/>
              <w:start w:w="80" w:type="dxa"/>
              <w:bottom w:w="70" w:type="dxa"/>
              <w:end w:w="80" w:type="dxa"/>
            </w:tcMar>
          </w:tcPr>
          <w:p>
            <w:pPr>
              <w:jc w:val="left"/>
            </w:pPr>
            <w:r>
              <w:rPr>
                <w:sz w:val="15"/>
              </w:rPr>
              <w:t>39,229</w:t>
            </w:r>
          </w:p>
        </w:tc>
        <w:tc>
          <w:tcPr>
            <w:tcW w:type="dxa" w:w="1872"/>
            <w:tcMar>
              <w:top w:w="70" w:type="dxa"/>
              <w:start w:w="80" w:type="dxa"/>
              <w:bottom w:w="70" w:type="dxa"/>
              <w:end w:w="80" w:type="dxa"/>
            </w:tcMar>
          </w:tcPr>
          <w:p>
            <w:pPr>
              <w:jc w:val="left"/>
            </w:pPr>
            <w:r>
              <w:rPr>
                <w:sz w:val="15"/>
              </w:rPr>
              <w:t>1,354</w:t>
            </w:r>
          </w:p>
        </w:tc>
        <w:tc>
          <w:tcPr>
            <w:tcW w:type="dxa" w:w="1872"/>
            <w:tcMar>
              <w:top w:w="70" w:type="dxa"/>
              <w:start w:w="80" w:type="dxa"/>
              <w:bottom w:w="70" w:type="dxa"/>
              <w:end w:w="80" w:type="dxa"/>
            </w:tcMar>
          </w:tcPr>
          <w:p>
            <w:pPr>
              <w:jc w:val="left"/>
            </w:pPr>
            <w:r>
              <w:rPr>
                <w:sz w:val="15"/>
              </w:rPr>
              <w:t>1,308</w:t>
            </w:r>
          </w:p>
        </w:tc>
      </w:tr>
      <w:tr>
        <w:tc>
          <w:tcPr>
            <w:tcW w:type="dxa" w:w="1440"/>
            <w:tcMar>
              <w:top w:w="70" w:type="dxa"/>
              <w:start w:w="80" w:type="dxa"/>
              <w:bottom w:w="70" w:type="dxa"/>
              <w:end w:w="80" w:type="dxa"/>
            </w:tcMar>
            <w:shd w:fill="F5F7F9"/>
          </w:tcPr>
          <w:p>
            <w:pPr>
              <w:jc w:val="left"/>
            </w:pPr>
            <w:r>
              <w:rPr>
                <w:sz w:val="15"/>
              </w:rPr>
              <w:t>Oct</w:t>
            </w:r>
          </w:p>
        </w:tc>
        <w:tc>
          <w:tcPr>
            <w:tcW w:type="dxa" w:w="2016"/>
            <w:tcMar>
              <w:top w:w="70" w:type="dxa"/>
              <w:start w:w="80" w:type="dxa"/>
              <w:bottom w:w="70" w:type="dxa"/>
              <w:end w:w="80" w:type="dxa"/>
            </w:tcMar>
            <w:shd w:fill="F5F7F9"/>
          </w:tcPr>
          <w:p>
            <w:pPr>
              <w:jc w:val="left"/>
            </w:pPr>
            <w:r>
              <w:rPr>
                <w:sz w:val="15"/>
              </w:rPr>
              <w:t>41,838</w:t>
            </w:r>
          </w:p>
        </w:tc>
        <w:tc>
          <w:tcPr>
            <w:tcW w:type="dxa" w:w="2016"/>
            <w:tcMar>
              <w:top w:w="70" w:type="dxa"/>
              <w:start w:w="80" w:type="dxa"/>
              <w:bottom w:w="70" w:type="dxa"/>
              <w:end w:w="80" w:type="dxa"/>
            </w:tcMar>
            <w:shd w:fill="F5F7F9"/>
          </w:tcPr>
          <w:p>
            <w:pPr>
              <w:jc w:val="left"/>
            </w:pPr>
            <w:r>
              <w:rPr>
                <w:sz w:val="15"/>
              </w:rPr>
              <w:t>40,424</w:t>
            </w:r>
          </w:p>
        </w:tc>
        <w:tc>
          <w:tcPr>
            <w:tcW w:type="dxa" w:w="1872"/>
            <w:tcMar>
              <w:top w:w="70" w:type="dxa"/>
              <w:start w:w="80" w:type="dxa"/>
              <w:bottom w:w="70" w:type="dxa"/>
              <w:end w:w="80" w:type="dxa"/>
            </w:tcMar>
            <w:shd w:fill="F5F7F9"/>
          </w:tcPr>
          <w:p>
            <w:pPr>
              <w:jc w:val="left"/>
            </w:pPr>
            <w:r>
              <w:rPr>
                <w:sz w:val="15"/>
              </w:rPr>
              <w:t>1,350</w:t>
            </w:r>
          </w:p>
        </w:tc>
        <w:tc>
          <w:tcPr>
            <w:tcW w:type="dxa" w:w="1872"/>
            <w:tcMar>
              <w:top w:w="70" w:type="dxa"/>
              <w:start w:w="80" w:type="dxa"/>
              <w:bottom w:w="70" w:type="dxa"/>
              <w:end w:w="80" w:type="dxa"/>
            </w:tcMar>
            <w:shd w:fill="F5F7F9"/>
          </w:tcPr>
          <w:p>
            <w:pPr>
              <w:jc w:val="left"/>
            </w:pPr>
            <w:r>
              <w:rPr>
                <w:sz w:val="15"/>
              </w:rPr>
              <w:t>1,304</w:t>
            </w:r>
          </w:p>
        </w:tc>
      </w:tr>
      <w:tr>
        <w:tc>
          <w:tcPr>
            <w:tcW w:type="dxa" w:w="1440"/>
            <w:tcMar>
              <w:top w:w="70" w:type="dxa"/>
              <w:start w:w="80" w:type="dxa"/>
              <w:bottom w:w="70" w:type="dxa"/>
              <w:end w:w="80" w:type="dxa"/>
            </w:tcMar>
          </w:tcPr>
          <w:p>
            <w:pPr>
              <w:jc w:val="left"/>
            </w:pPr>
            <w:r>
              <w:rPr>
                <w:sz w:val="15"/>
              </w:rPr>
              <w:t>Nov</w:t>
            </w:r>
          </w:p>
        </w:tc>
        <w:tc>
          <w:tcPr>
            <w:tcW w:type="dxa" w:w="2016"/>
            <w:tcMar>
              <w:top w:w="70" w:type="dxa"/>
              <w:start w:w="80" w:type="dxa"/>
              <w:bottom w:w="70" w:type="dxa"/>
              <w:end w:w="80" w:type="dxa"/>
            </w:tcMar>
          </w:tcPr>
          <w:p>
            <w:pPr>
              <w:jc w:val="left"/>
            </w:pPr>
            <w:r>
              <w:rPr>
                <w:sz w:val="15"/>
              </w:rPr>
              <w:t>40,369</w:t>
            </w:r>
          </w:p>
        </w:tc>
        <w:tc>
          <w:tcPr>
            <w:tcW w:type="dxa" w:w="2016"/>
            <w:tcMar>
              <w:top w:w="70" w:type="dxa"/>
              <w:start w:w="80" w:type="dxa"/>
              <w:bottom w:w="70" w:type="dxa"/>
              <w:end w:w="80" w:type="dxa"/>
            </w:tcMar>
          </w:tcPr>
          <w:p>
            <w:pPr>
              <w:jc w:val="left"/>
            </w:pPr>
            <w:r>
              <w:rPr>
                <w:sz w:val="15"/>
              </w:rPr>
              <w:t>39,013</w:t>
            </w:r>
          </w:p>
        </w:tc>
        <w:tc>
          <w:tcPr>
            <w:tcW w:type="dxa" w:w="1872"/>
            <w:tcMar>
              <w:top w:w="70" w:type="dxa"/>
              <w:start w:w="80" w:type="dxa"/>
              <w:bottom w:w="70" w:type="dxa"/>
              <w:end w:w="80" w:type="dxa"/>
            </w:tcMar>
          </w:tcPr>
          <w:p>
            <w:pPr>
              <w:jc w:val="left"/>
            </w:pPr>
            <w:r>
              <w:rPr>
                <w:sz w:val="15"/>
              </w:rPr>
              <w:t>1,346</w:t>
            </w:r>
          </w:p>
        </w:tc>
        <w:tc>
          <w:tcPr>
            <w:tcW w:type="dxa" w:w="1872"/>
            <w:tcMar>
              <w:top w:w="70" w:type="dxa"/>
              <w:start w:w="80" w:type="dxa"/>
              <w:bottom w:w="70" w:type="dxa"/>
              <w:end w:w="80" w:type="dxa"/>
            </w:tcMar>
          </w:tcPr>
          <w:p>
            <w:pPr>
              <w:jc w:val="left"/>
            </w:pPr>
            <w:r>
              <w:rPr>
                <w:sz w:val="15"/>
              </w:rPr>
              <w:t>1,300</w:t>
            </w:r>
          </w:p>
        </w:tc>
      </w:tr>
      <w:tr>
        <w:tc>
          <w:tcPr>
            <w:tcW w:type="dxa" w:w="1440"/>
            <w:tcMar>
              <w:top w:w="70" w:type="dxa"/>
              <w:start w:w="80" w:type="dxa"/>
              <w:bottom w:w="70" w:type="dxa"/>
              <w:end w:w="80" w:type="dxa"/>
            </w:tcMar>
            <w:shd w:fill="F5F7F9"/>
          </w:tcPr>
          <w:p>
            <w:pPr>
              <w:jc w:val="left"/>
            </w:pPr>
            <w:r>
              <w:rPr>
                <w:sz w:val="15"/>
              </w:rPr>
              <w:t>Dec</w:t>
            </w:r>
          </w:p>
        </w:tc>
        <w:tc>
          <w:tcPr>
            <w:tcW w:type="dxa" w:w="2016"/>
            <w:tcMar>
              <w:top w:w="70" w:type="dxa"/>
              <w:start w:w="80" w:type="dxa"/>
              <w:bottom w:w="70" w:type="dxa"/>
              <w:end w:w="80" w:type="dxa"/>
            </w:tcMar>
            <w:shd w:fill="F5F7F9"/>
          </w:tcPr>
          <w:p>
            <w:pPr>
              <w:jc w:val="left"/>
            </w:pPr>
            <w:r>
              <w:rPr>
                <w:sz w:val="15"/>
              </w:rPr>
              <w:t>41,592</w:t>
            </w:r>
          </w:p>
        </w:tc>
        <w:tc>
          <w:tcPr>
            <w:tcW w:type="dxa" w:w="2016"/>
            <w:tcMar>
              <w:top w:w="70" w:type="dxa"/>
              <w:start w:w="80" w:type="dxa"/>
              <w:bottom w:w="70" w:type="dxa"/>
              <w:end w:w="80" w:type="dxa"/>
            </w:tcMar>
            <w:shd w:fill="F5F7F9"/>
          </w:tcPr>
          <w:p>
            <w:pPr>
              <w:jc w:val="left"/>
            </w:pPr>
            <w:r>
              <w:rPr>
                <w:sz w:val="15"/>
              </w:rPr>
              <w:t>40,202</w:t>
            </w:r>
          </w:p>
        </w:tc>
        <w:tc>
          <w:tcPr>
            <w:tcW w:type="dxa" w:w="1872"/>
            <w:tcMar>
              <w:top w:w="70" w:type="dxa"/>
              <w:start w:w="80" w:type="dxa"/>
              <w:bottom w:w="70" w:type="dxa"/>
              <w:end w:w="80" w:type="dxa"/>
            </w:tcMar>
            <w:shd w:fill="F5F7F9"/>
          </w:tcPr>
          <w:p>
            <w:pPr>
              <w:jc w:val="left"/>
            </w:pPr>
            <w:r>
              <w:rPr>
                <w:sz w:val="15"/>
              </w:rPr>
              <w:t>1,342</w:t>
            </w:r>
          </w:p>
        </w:tc>
        <w:tc>
          <w:tcPr>
            <w:tcW w:type="dxa" w:w="1872"/>
            <w:tcMar>
              <w:top w:w="70" w:type="dxa"/>
              <w:start w:w="80" w:type="dxa"/>
              <w:bottom w:w="70" w:type="dxa"/>
              <w:end w:w="80" w:type="dxa"/>
            </w:tcMar>
            <w:shd w:fill="F5F7F9"/>
          </w:tcPr>
          <w:p>
            <w:pPr>
              <w:jc w:val="left"/>
            </w:pPr>
            <w:r>
              <w:rPr>
                <w:sz w:val="15"/>
              </w:rPr>
              <w:t>1,297</w:t>
            </w:r>
          </w:p>
        </w:tc>
      </w:tr>
    </w:tbl>
    <w:p>
      <w:pPr>
        <w:pStyle w:val="Heading2"/>
      </w:pPr>
      <w:r>
        <w:t>Limitations</w:t>
      </w:r>
    </w:p>
    <w:p>
      <w:pPr>
        <w:pStyle w:val="ListBullet"/>
        <w:spacing w:after="40"/>
      </w:pPr>
      <w:r>
        <w:t>The model is aggregate and does not forecast each well separately.</w:t>
      </w:r>
    </w:p>
    <w:p>
      <w:pPr>
        <w:pStyle w:val="ListBullet"/>
        <w:spacing w:after="40"/>
      </w:pPr>
      <w:r>
        <w:t>No future drilling, re-fracturing, workovers, shut-ins or facility constraints are scheduled.</w:t>
      </w:r>
    </w:p>
    <w:p>
      <w:pPr>
        <w:pStyle w:val="ListBullet"/>
        <w:spacing w:after="40"/>
      </w:pPr>
      <w:r>
        <w:t>Reported production corrections and one invalid DAYS_PROD value remain in the source history, although they do not materially control the aggregate forecast.</w:t>
      </w:r>
    </w:p>
    <w:p>
      <w:pPr>
        <w:pStyle w:val="ListBullet"/>
        <w:spacing w:after="40"/>
      </w:pPr>
      <w:r>
        <w:t>The high fitted hyperbolic b factor can produce optimistic long-term tails; forecasts beyond 2027 should use terminal decline and economic-limit assumptions.</w:t>
      </w:r>
    </w:p>
    <w:p>
      <w:pPr>
        <w:pStyle w:val="ListBullet"/>
        <w:spacing w:after="40"/>
      </w:pPr>
      <w:r>
        <w:t>The statistical interval is not equivalent to petroleum-reserves P10/P50/P90 classification.</w:t>
      </w:r>
    </w:p>
    <w:p>
      <w:pPr>
        <w:pStyle w:val="Heading2"/>
      </w:pPr>
      <w:r>
        <w:t>Conclusions and recommendations</w:t>
      </w:r>
    </w:p>
    <w:p>
      <w:pPr>
        <w:spacing w:after="40"/>
        <w:ind w:left="72" w:firstLine="0"/>
      </w:pPr>
      <w:r>
        <w:t>1.  Use 497,842 bbl for 2026 and 480,676 bbl for 2027 as the base-case aggregate forecast.</w:t>
      </w:r>
    </w:p>
    <w:p>
      <w:pPr>
        <w:spacing w:after="40"/>
        <w:ind w:left="72" w:firstLine="0"/>
      </w:pPr>
      <w:r>
        <w:t>2.  Update the model quarterly as new production data become available.</w:t>
      </w:r>
    </w:p>
    <w:p>
      <w:pPr>
        <w:spacing w:after="40"/>
        <w:ind w:left="72" w:firstLine="0"/>
      </w:pPr>
      <w:r>
        <w:t>3.  Perform well-level DCA for the highest-current-rate wells and for wells with abnormal water or downtime.</w:t>
      </w:r>
    </w:p>
    <w:p>
      <w:pPr>
        <w:spacing w:after="40"/>
        <w:ind w:left="72" w:firstLine="0"/>
      </w:pPr>
      <w:r>
        <w:t>4.  Integrate completion, pressure, artificial-lift and intervention data before using the forecast for reserves or investment decisions.</w:t>
      </w:r>
    </w:p>
    <w:tbl>
      <w:tblPr>
        <w:tblW w:type="auto" w:w="0"/>
        <w:jc w:val="center"/>
        <w:tblLook w:firstColumn="1" w:firstRow="1" w:lastColumn="0" w:lastRow="0" w:noHBand="0" w:noVBand="1" w:val="04A0"/>
        <w:tblBorders>
          <w:top w:val="single" w:sz="4" w:color="E2F0D9"/>
          <w:left w:val="single" w:sz="4" w:color="E2F0D9"/>
          <w:bottom w:val="single" w:sz="4" w:color="E2F0D9"/>
          <w:right w:val="single" w:sz="4" w:color="E2F0D9"/>
          <w:insideH w:val="single" w:sz="4" w:color="E2F0D9"/>
          <w:insideV w:val="single" w:sz="4" w:color="E2F0D9"/>
        </w:tblBorders>
      </w:tblPr>
      <w:tblGrid>
        <w:gridCol w:w="10368"/>
      </w:tblGrid>
      <w:tr>
        <w:tc>
          <w:tcPr>
            <w:tcW w:type="dxa" w:w="10368"/>
            <w:shd w:fill="E2F0D9"/>
            <w:tcMar>
              <w:top w:w="100" w:type="dxa"/>
              <w:start w:w="140" w:type="dxa"/>
              <w:bottom w:w="100" w:type="dxa"/>
              <w:end w:w="140" w:type="dxa"/>
            </w:tcMar>
          </w:tcPr>
          <w:p>
            <w:r>
              <w:rPr>
                <w:b/>
                <w:color w:val="17365D"/>
              </w:rPr>
              <w:t xml:space="preserve">Final conclusion: </w:t>
            </w:r>
            <w:r>
              <w:t>The supplied Bakken well set is in a mature decline phase. Stable active-well counts are not offsetting declining well productivity, so continued aggregate oil decline is the most likely near-term outcome without new capital or operational intervention.</w:t>
            </w:r>
          </w:p>
        </w:tc>
      </w:tr>
    </w:tbl>
    <w:sectPr w:rsidR="00FC693F" w:rsidRPr="0006063C" w:rsidSect="00034616">
      <w:headerReference w:type="default" r:id="rId9"/>
      <w:footerReference w:type="default" r:id="rId10"/>
      <w:pgSz w:w="12240" w:h="15840"/>
      <w:pgMar w:top="792" w:right="936" w:bottom="792"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 xml:space="preserve">Source: user-provided production workbook | </w:t>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BAKKEN PRODUCTION TREND AND FORECAST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Aptos Display" w:hAnsi="Aptos Display" w:eastAsia="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eastAsia="Aptos"/>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w:hAnsi="Aptos" w:eastAsia="Aptos"/>
      <w:b/>
      <w:bCs/>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eastAsia="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40" w:after="100"/>
      <w:jc w:val="center"/>
    </w:pPr>
    <w:rPr>
      <w:rFonts w:ascii="Aptos" w:hAnsi="Aptos"/>
      <w:i/>
      <w:color w:val="5B6573"/>
      <w:sz w:val="16"/>
    </w:rPr>
  </w:style>
  <w:style w:type="paragraph" w:customStyle="1" w:styleId="Small">
    <w:name w:val="Small"/>
    <w:pPr>
      <w:spacing w:after="40" w:line="240" w:lineRule="auto"/>
    </w:pPr>
    <w:rPr>
      <w:rFonts w:ascii="Aptos" w:hAnsi="Aptos"/>
      <w:color w:val="5B657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