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中原402油液分析报告</w:t>
      </w:r>
    </w:p>
    <w:p>
      <w:pPr>
        <w:pStyle w:val="Heading1"/>
      </w:pPr>
      <w:r>
        <w:t>监测情况分析</w:t>
      </w:r>
    </w:p>
    <w:p>
      <w:r>
        <w:t xml:space="preserve">    以下是中原402机组2023-03-22 12:00:00至2023-03-30 12:00:00的监测数据情况,该系统使用的油品等级为46,设备类型为压缩机,具体数据分析报告如下。</w:t>
      </w:r>
    </w:p>
    <w:p>
      <w:pPr>
        <w:pStyle w:val="Heading2"/>
      </w:pPr>
      <w:r>
        <w:t>黏度</w:t>
      </w:r>
    </w:p>
    <w:p>
      <w:r>
        <w:t xml:space="preserve">    图1分别是中原402在线监测的黏度监测趋势图和分布情况。当前黏度均值为45.65,标准差为0.05,中位值为45.65,最大值为45.72,最小值为45.52。                                   </w:t>
      </w:r>
    </w:p>
    <w:p>
      <w:r>
        <w:drawing>
          <wp:inline xmlns:a="http://schemas.openxmlformats.org/drawingml/2006/main" xmlns:pic="http://schemas.openxmlformats.org/drawingml/2006/picture">
            <wp:extent cx="5486400" cy="234494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黏度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449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图1 黏度变化及分布情况</w:t>
      </w:r>
    </w:p>
    <w:p>
      <w:pPr>
        <w:pStyle w:val="Heading2"/>
      </w:pPr>
      <w:r>
        <w:t>温度</w:t>
      </w:r>
    </w:p>
    <w:p>
      <w:pPr>
        <w:pStyle w:val="Heading2"/>
      </w:pPr>
      <w:r>
        <w:t>水活性</w:t>
      </w:r>
    </w:p>
    <w:p>
      <w:r>
        <w:t xml:space="preserve">    图2是中原402测得水活性(水分)监测趋势图。由图可知，其水活性低于报警值，说明机组当前状态下在用油溶解水处于低位，未发生外来水分入侵现象。当前水活性均值为0.3,标准差为0.01,中位值位0.3,最大值为0.32,最小值为0.29。</w:t>
      </w:r>
    </w:p>
    <w:p>
      <w:r>
        <w:drawing>
          <wp:inline xmlns:a="http://schemas.openxmlformats.org/drawingml/2006/main" xmlns:pic="http://schemas.openxmlformats.org/drawingml/2006/picture">
            <wp:extent cx="5486400" cy="231536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水活性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53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图2 水活性序列变化情况</w:t>
      </w:r>
    </w:p>
    <w:p>
      <w:pPr>
        <w:pStyle w:val="Heading2"/>
      </w:pPr>
      <w:r>
        <w:t>铁磁颗粒</w:t>
      </w:r>
    </w:p>
    <w:p>
      <w:pPr>
        <w:pStyle w:val="Heading2"/>
      </w:pPr>
      <w:r>
        <w:t>非铁磁颗粒</w:t>
      </w:r>
    </w:p>
    <w:p>
      <w:pPr>
        <w:pStyle w:val="Heading2"/>
      </w:pPr>
      <w:r>
        <w:t>污染度</w:t>
      </w:r>
    </w:p>
    <w:p>
      <w:r>
        <w:t>图3分别是中原402的在用污染度趋势图与分布图。由图可知，系统污染状态正常，当前污染度均值为7.0,标准差为0.09,中位值位7.0,最大值为7.0,最小值为7.0。</w:t>
      </w:r>
    </w:p>
    <w:p>
      <w:r>
        <w:drawing>
          <wp:inline xmlns:a="http://schemas.openxmlformats.org/drawingml/2006/main" xmlns:pic="http://schemas.openxmlformats.org/drawingml/2006/picture">
            <wp:extent cx="5486400" cy="276836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AS等级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683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图3 污染度趋势及分布情况</w:t>
      </w:r>
    </w:p>
    <w:p>
      <w:pPr>
        <w:pStyle w:val="Heading1"/>
      </w:pPr>
      <w:r>
        <w:t>预测分析</w:t>
      </w:r>
    </w:p>
    <w:p>
      <w:r>
        <w:t>图4是中原402的在用油黏度、温度及水活性的趋势预测情况。由图可知，</w:t>
      </w:r>
    </w:p>
    <w:p>
      <w:r>
        <w:t>预测黏度未来仍处于正常范围;</w:t>
      </w:r>
    </w:p>
    <w:p>
      <w:r>
        <w:t>预测水分未来仍处于正常范围;</w:t>
      </w:r>
    </w:p>
    <w:p>
      <w:r>
        <w:t>温度变化趋势正常。</w:t>
      </w:r>
    </w:p>
    <w:p>
      <w:r>
        <w:drawing>
          <wp:inline xmlns:a="http://schemas.openxmlformats.org/drawingml/2006/main" xmlns:pic="http://schemas.openxmlformats.org/drawingml/2006/picture">
            <wp:extent cx="5486400" cy="2602713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rcast_func_黏度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27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图(a) 黏度预测情况</w:t>
      </w:r>
    </w:p>
    <w:p>
      <w:r>
        <w:drawing>
          <wp:inline xmlns:a="http://schemas.openxmlformats.org/drawingml/2006/main" xmlns:pic="http://schemas.openxmlformats.org/drawingml/2006/picture">
            <wp:extent cx="5486400" cy="261366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rcast_func_温度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13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图(b) 温度预测情况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5486400" cy="262393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rcast_func_水活性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239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图(c) 水活性预测情况</w:t>
      </w:r>
    </w:p>
    <w:p>
      <w:pPr>
        <w:jc w:val="center"/>
      </w:pPr>
      <w:r>
        <w:t>图4 各主要属性预测情况</w:t>
      </w:r>
    </w:p>
    <w:p>
      <w:pPr>
        <w:pStyle w:val="Heading1"/>
      </w:pPr>
      <w:r>
        <w:t>综合分析</w:t>
      </w:r>
    </w:p>
    <w:p>
      <w:r>
        <w:t>图5是中原402的在用油的综合健康指数。由图可知，当前系统综合健康指数为77.0。其中左侧散点图代表期间内各时刻检测数据及对应的分数，右侧为各项目得分。</w:t>
      </w:r>
    </w:p>
    <w:p>
      <w:r>
        <w:drawing>
          <wp:inline xmlns:a="http://schemas.openxmlformats.org/drawingml/2006/main" xmlns:pic="http://schemas.openxmlformats.org/drawingml/2006/picture">
            <wp:extent cx="5486400" cy="2354893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alth_index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5489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图5 综合健康情况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