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1#立磨主减速机油液分析报告</w:t>
      </w:r>
    </w:p>
    <w:p>
      <w:pPr>
        <w:pStyle w:val="Heading1"/>
      </w:pPr>
      <w:r>
        <w:t>监测情况分析</w:t>
      </w:r>
    </w:p>
    <w:p>
      <w:r>
        <w:t xml:space="preserve">    以下是1#立磨主减速机机组2020-09-02 00:00:00至2020-10-24 00:00:00的监测数据情况,该系统使用的油品等级为320,设备类型为齿轮箱,具体数据分析报告如下。</w:t>
      </w:r>
    </w:p>
    <w:p>
      <w:pPr>
        <w:pStyle w:val="Heading2"/>
      </w:pPr>
      <w:r>
        <w:t>黏度</w:t>
      </w:r>
    </w:p>
    <w:p>
      <w:r>
        <w:t xml:space="preserve">    图1分别是1#立磨主减速机在线监测的黏度监测趋势图和分布情况。由图可知，当前油液黏度状态稳定，序列平稳无异常,部分异常值可视为传感器噪声。当前黏度均值为317.16,标准差为33.12,中位值为319.15,最大值为334.27,最小值为65.1。       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5486400" cy="23153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黏度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 黏度变化及分布情况</w:t>
      </w:r>
    </w:p>
    <w:p>
      <w:pPr>
        <w:pStyle w:val="Heading2"/>
      </w:pPr>
      <w:r>
        <w:t>温度</w:t>
      </w:r>
    </w:p>
    <w:p>
      <w:r>
        <w:t xml:space="preserve">    图2分别是1#立磨主减速机在线监测的温度监测趋势图和分布情况。由图可知，当前温度状态稳定，序列平稳无异常,部分异常值可视为传感器噪声。当前温度均值为41.96,标准差为4.83,中位值为43.0,最大值为46.68,最小值为6.88。       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5486400" cy="23153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油温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图2 油温变化及分布情况</w:t>
      </w:r>
    </w:p>
    <w:p>
      <w:pPr>
        <w:pStyle w:val="Heading2"/>
      </w:pPr>
      <w:r>
        <w:t>水活性</w:t>
      </w:r>
    </w:p>
    <w:p>
      <w:r>
        <w:t xml:space="preserve">    图3是1#立磨主减速机测得水活性(水分)监测趋势图。由图可知，其水活性低于报警值，说明机组当前状态下在用油溶解水处于低位，未发生外来水分入侵现象。当前水活性均值为0.22,标准差为0.05,中位值位0.23,最大值为0.3,最小值为0.03。</w:t>
      </w:r>
    </w:p>
    <w:p>
      <w:r>
        <w:drawing>
          <wp:inline xmlns:a="http://schemas.openxmlformats.org/drawingml/2006/main" xmlns:pic="http://schemas.openxmlformats.org/drawingml/2006/picture">
            <wp:extent cx="5486400" cy="231536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水活性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图3 水活性序列变化情况</w:t>
      </w:r>
    </w:p>
    <w:p>
      <w:pPr>
        <w:pStyle w:val="Heading2"/>
      </w:pPr>
      <w:r>
        <w:t>铁磁颗粒</w:t>
      </w:r>
    </w:p>
    <w:p>
      <w:r>
        <w:t xml:space="preserve">    图4是1#立磨主减速机测得铁磁颗粒的监测趋势及分布图。由图可知，系统监测到铁磁部件异常磨损颗粒。以下是各个尺寸颗粒的监测统计情况。</w:t>
      </w:r>
    </w:p>
    <w:p>
      <w:r>
        <w:t xml:space="preserve">  当前铁磁颗粒Fe(70~100um)均值为0.09,标准差为0.96,中位值位0.0,最大值为9.87,最小值为0.0;</w:t>
      </w:r>
    </w:p>
    <w:p>
      <w:r>
        <w:t xml:space="preserve">  当前铁磁颗粒Fe(100~150um)均值为171.83,标准差为451.68,中位值位0.0,最大值为2031.42,最小值为0.0;</w:t>
      </w:r>
    </w:p>
    <w:p>
      <w:r>
        <w:t xml:space="preserve">  当前铁磁颗粒Fe(&gt;150um)均值为0.0,标准差为0.0,中位值位0.0,最大值为0.0,最小值为0.0。</w:t>
      </w:r>
    </w:p>
    <w:p>
      <w:r>
        <w:drawing>
          <wp:inline xmlns:a="http://schemas.openxmlformats.org/drawingml/2006/main" xmlns:pic="http://schemas.openxmlformats.org/drawingml/2006/picture">
            <wp:extent cx="5486400" cy="276836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铁磁颗粒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8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图4 铁磁颗粒趋势及分布情况</w:t>
      </w:r>
    </w:p>
    <w:p>
      <w:pPr>
        <w:pStyle w:val="Heading2"/>
      </w:pPr>
      <w:r>
        <w:t>非铁磁颗粒</w:t>
      </w:r>
    </w:p>
    <w:p>
      <w:r>
        <w:t xml:space="preserve">    图5是1#立磨主减速机测得非铁磁颗粒的监测趋势及分布图。由图可知，系统监测到非铁磁部件异常磨损颗粒。以下是各个尺寸颗粒的监测统计情况。</w:t>
      </w:r>
    </w:p>
    <w:p>
      <w:r>
        <w:t xml:space="preserve">  当前非铁磁颗粒nFe(200~300um)均值为0.0,标准差为0.0,中位值位0.0,最大值为0.0,最小值为0.0;</w:t>
      </w:r>
    </w:p>
    <w:p>
      <w:r>
        <w:t xml:space="preserve">  当前非铁磁颗粒nFe(300~400um)均值为0.0,标准差为0.0,中位值位0.0,最大值为0.0,最小值为0.0;</w:t>
      </w:r>
    </w:p>
    <w:p>
      <w:r>
        <w:t xml:space="preserve">  当前非铁磁颗粒nFe(&gt;400um)均值为440.83,标准差为1063.42,中位值位0.0,最大值为3879.42,最小值为0.0。</w:t>
      </w:r>
    </w:p>
    <w:p>
      <w:r>
        <w:drawing>
          <wp:inline xmlns:a="http://schemas.openxmlformats.org/drawingml/2006/main" xmlns:pic="http://schemas.openxmlformats.org/drawingml/2006/picture">
            <wp:extent cx="5486400" cy="276836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非铁磁颗粒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8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图5 非铁磁颗粒趋势及分布情况</w:t>
      </w:r>
    </w:p>
    <w:p>
      <w:pPr>
        <w:pStyle w:val="Heading2"/>
      </w:pPr>
      <w:r>
        <w:t>污染度</w:t>
      </w:r>
    </w:p>
    <w:p>
      <w:pPr>
        <w:pStyle w:val="Heading1"/>
      </w:pPr>
      <w:r>
        <w:t>预测分析</w:t>
      </w:r>
    </w:p>
    <w:p>
      <w:r>
        <w:t>图6是1#立磨主减速机的在用油黏度、温度及水活性的趋势预测情况。由图可知，</w:t>
      </w:r>
    </w:p>
    <w:p>
      <w:r>
        <w:t>预测黏度未来仍处于正常范围;</w:t>
      </w:r>
    </w:p>
    <w:p>
      <w:r>
        <w:t>预测水分未来仍处于正常范围;</w:t>
      </w:r>
    </w:p>
    <w:p>
      <w:r>
        <w:t>温度变化趋势正常。</w:t>
      </w:r>
    </w:p>
    <w:p>
      <w:r>
        <w:drawing>
          <wp:inline xmlns:a="http://schemas.openxmlformats.org/drawingml/2006/main" xmlns:pic="http://schemas.openxmlformats.org/drawingml/2006/picture">
            <wp:extent cx="5486400" cy="273175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ast_func_黏度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图(a) 黏度预测情况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5486400" cy="275088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ast_func_油温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图(b) 温度预测情况</w:t>
      </w:r>
    </w:p>
    <w:p>
      <w:r>
        <w:drawing>
          <wp:inline xmlns:a="http://schemas.openxmlformats.org/drawingml/2006/main" xmlns:pic="http://schemas.openxmlformats.org/drawingml/2006/picture">
            <wp:extent cx="5486400" cy="271288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ast_func_水活性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图(c) 水活性预测情况</w:t>
      </w:r>
    </w:p>
    <w:p>
      <w:pPr>
        <w:jc w:val="center"/>
      </w:pPr>
      <w:r>
        <w:t>图6 各主要属性预测情况</w:t>
      </w:r>
    </w:p>
    <w:p>
      <w:pPr>
        <w:pStyle w:val="Heading1"/>
      </w:pPr>
      <w:r>
        <w:t>综合分析</w:t>
      </w:r>
    </w:p>
    <w:p>
      <w:r>
        <w:t>图7是1#立磨主减速机的在用油的综合健康指数。由图可知，当前系统综合健康指数为80.0。其中左侧散点图代表期间内各时刻检测数据及对应的分数，右侧为各项目得分。</w:t>
      </w:r>
    </w:p>
    <w:p>
      <w:r>
        <w:drawing>
          <wp:inline xmlns:a="http://schemas.openxmlformats.org/drawingml/2006/main" xmlns:pic="http://schemas.openxmlformats.org/drawingml/2006/picture">
            <wp:extent cx="5486400" cy="238247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_inde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2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图7 综合健康情况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