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A0F" w:rsidRDefault="00EA244E">
      <w:pPr>
        <w:tabs>
          <w:tab w:val="left" w:pos="3960"/>
        </w:tabs>
        <w:spacing w:beforeLines="100" w:before="312" w:afterLines="100" w:after="312"/>
        <w:ind w:rightChars="-50" w:right="-105"/>
        <w:rPr>
          <w:rFonts w:ascii="黑体" w:eastAsia="黑体" w:hAnsi="宋体"/>
          <w:b/>
          <w:w w:val="90"/>
          <w:kern w:val="0"/>
          <w:sz w:val="48"/>
          <w:szCs w:val="48"/>
        </w:rPr>
      </w:pPr>
      <w:r>
        <w:rPr>
          <w:noProof/>
        </w:rPr>
        <w:drawing>
          <wp:inline distT="0" distB="0" distL="114300" distR="114300">
            <wp:extent cx="1727835" cy="431800"/>
            <wp:effectExtent l="0" t="0" r="571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A0F" w:rsidRDefault="00EA244E">
      <w:pPr>
        <w:tabs>
          <w:tab w:val="left" w:pos="3960"/>
        </w:tabs>
        <w:adjustRightInd w:val="0"/>
        <w:snapToGrid w:val="0"/>
        <w:jc w:val="distribute"/>
        <w:rPr>
          <w:rFonts w:ascii="黑体" w:eastAsia="黑体" w:hAnsi="宋体"/>
          <w:b/>
          <w:spacing w:val="-30"/>
          <w:w w:val="90"/>
          <w:kern w:val="0"/>
          <w:sz w:val="48"/>
          <w:szCs w:val="48"/>
        </w:rPr>
      </w:pPr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湖北天勤</w:t>
      </w:r>
      <w:proofErr w:type="gramStart"/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鑫</w:t>
      </w:r>
      <w:proofErr w:type="gramEnd"/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圣生物科技有限公司文</w:t>
      </w:r>
      <w:r>
        <w:rPr>
          <w:rFonts w:ascii="黑体" w:eastAsia="黑体" w:hAnsi="宋体" w:hint="eastAsia"/>
          <w:b/>
          <w:spacing w:val="-30"/>
          <w:w w:val="90"/>
          <w:kern w:val="0"/>
          <w:sz w:val="48"/>
          <w:szCs w:val="48"/>
        </w:rPr>
        <w:t>件</w:t>
      </w:r>
    </w:p>
    <w:p w:rsidR="009D4A0F" w:rsidRDefault="00EA244E">
      <w:pPr>
        <w:tabs>
          <w:tab w:val="left" w:pos="3960"/>
        </w:tabs>
        <w:wordWrap w:val="0"/>
        <w:adjustRightInd w:val="0"/>
        <w:snapToGrid w:val="0"/>
        <w:jc w:val="distribute"/>
        <w:outlineLvl w:val="1"/>
        <w:rPr>
          <w:rFonts w:eastAsia="黑体"/>
          <w:sz w:val="28"/>
        </w:rPr>
      </w:pPr>
      <w:bookmarkStart w:id="0" w:name="标准号"/>
      <w:r>
        <w:rPr>
          <w:kern w:val="0"/>
          <w:sz w:val="30"/>
          <w:szCs w:val="30"/>
        </w:rPr>
        <w:t>D</w:t>
      </w:r>
      <w:r>
        <w:rPr>
          <w:rFonts w:hint="eastAsia"/>
          <w:kern w:val="0"/>
          <w:sz w:val="30"/>
          <w:szCs w:val="30"/>
        </w:rPr>
        <w:t xml:space="preserve">ocument </w:t>
      </w:r>
      <w:r>
        <w:rPr>
          <w:kern w:val="0"/>
          <w:sz w:val="30"/>
          <w:szCs w:val="30"/>
        </w:rPr>
        <w:t>o</w:t>
      </w:r>
      <w:r>
        <w:rPr>
          <w:rFonts w:hint="eastAsia"/>
          <w:kern w:val="0"/>
          <w:sz w:val="30"/>
          <w:szCs w:val="30"/>
        </w:rPr>
        <w:t>f</w:t>
      </w:r>
      <w:r>
        <w:rPr>
          <w:kern w:val="0"/>
          <w:sz w:val="30"/>
          <w:szCs w:val="30"/>
        </w:rPr>
        <w:t xml:space="preserve"> Hubei </w:t>
      </w:r>
      <w:proofErr w:type="spellStart"/>
      <w:r>
        <w:rPr>
          <w:kern w:val="0"/>
          <w:sz w:val="30"/>
          <w:szCs w:val="30"/>
        </w:rPr>
        <w:t>Topgene</w:t>
      </w:r>
      <w:proofErr w:type="spellEnd"/>
      <w:r>
        <w:rPr>
          <w:kern w:val="0"/>
          <w:sz w:val="30"/>
          <w:szCs w:val="30"/>
        </w:rPr>
        <w:t xml:space="preserve"> </w:t>
      </w:r>
      <w:proofErr w:type="spellStart"/>
      <w:r>
        <w:rPr>
          <w:rFonts w:hint="eastAsia"/>
          <w:kern w:val="0"/>
          <w:sz w:val="30"/>
          <w:szCs w:val="30"/>
        </w:rPr>
        <w:t>Xinsheng</w:t>
      </w:r>
      <w:proofErr w:type="spellEnd"/>
      <w:r>
        <w:rPr>
          <w:kern w:val="0"/>
          <w:sz w:val="30"/>
          <w:szCs w:val="30"/>
        </w:rPr>
        <w:t xml:space="preserve"> </w:t>
      </w:r>
      <w:r>
        <w:rPr>
          <w:rFonts w:hint="eastAsia"/>
          <w:kern w:val="0"/>
          <w:sz w:val="30"/>
          <w:szCs w:val="30"/>
        </w:rPr>
        <w:t>Biot</w:t>
      </w:r>
      <w:r>
        <w:rPr>
          <w:kern w:val="0"/>
          <w:sz w:val="30"/>
          <w:szCs w:val="30"/>
        </w:rPr>
        <w:t xml:space="preserve">echnology </w:t>
      </w:r>
      <w:proofErr w:type="spellStart"/>
      <w:proofErr w:type="gramStart"/>
      <w:r>
        <w:rPr>
          <w:kern w:val="0"/>
          <w:sz w:val="30"/>
          <w:szCs w:val="30"/>
        </w:rPr>
        <w:t>Co.,Ltd</w:t>
      </w:r>
      <w:bookmarkEnd w:id="0"/>
      <w:proofErr w:type="spellEnd"/>
      <w:proofErr w:type="gramEnd"/>
    </w:p>
    <w:p w:rsidR="009D4A0F" w:rsidRDefault="00EA244E">
      <w:pPr>
        <w:pBdr>
          <w:top w:val="none" w:sz="0" w:space="1" w:color="auto"/>
          <w:left w:val="none" w:sz="0" w:space="4" w:color="auto"/>
          <w:bottom w:val="single" w:sz="12" w:space="0" w:color="000000"/>
          <w:right w:val="none" w:sz="0" w:space="4" w:color="auto"/>
        </w:pBdr>
        <w:tabs>
          <w:tab w:val="left" w:pos="3960"/>
        </w:tabs>
        <w:wordWrap w:val="0"/>
        <w:spacing w:line="360" w:lineRule="auto"/>
        <w:jc w:val="right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  <w:lang w:eastAsia="zh-Hans"/>
        </w:rPr>
        <w:t>T</w:t>
      </w:r>
      <w:r>
        <w:rPr>
          <w:rFonts w:eastAsia="黑体" w:hint="eastAsia"/>
          <w:sz w:val="28"/>
          <w:szCs w:val="28"/>
        </w:rPr>
        <w:t>Q</w:t>
      </w:r>
      <w:r>
        <w:rPr>
          <w:rFonts w:eastAsia="黑体" w:hint="eastAsia"/>
          <w:sz w:val="28"/>
          <w:szCs w:val="28"/>
          <w:lang w:eastAsia="zh-Hans"/>
        </w:rPr>
        <w:t>XS</w:t>
      </w:r>
      <w:r>
        <w:rPr>
          <w:rFonts w:eastAsia="黑体" w:hint="eastAsia"/>
          <w:sz w:val="28"/>
          <w:szCs w:val="28"/>
        </w:rPr>
        <w:t>-</w:t>
      </w:r>
      <w:r>
        <w:rPr>
          <w:rFonts w:eastAsia="黑体"/>
          <w:sz w:val="28"/>
          <w:szCs w:val="28"/>
        </w:rPr>
        <w:t>SOP</w:t>
      </w:r>
      <w:r>
        <w:rPr>
          <w:rFonts w:eastAsia="黑体" w:hint="eastAsia"/>
          <w:sz w:val="28"/>
          <w:szCs w:val="28"/>
        </w:rPr>
        <w:t>-GEN-</w:t>
      </w:r>
      <w:r>
        <w:rPr>
          <w:rFonts w:eastAsia="黑体"/>
          <w:sz w:val="28"/>
          <w:szCs w:val="28"/>
        </w:rPr>
        <w:t>0</w:t>
      </w:r>
      <w:r>
        <w:rPr>
          <w:rFonts w:eastAsia="黑体" w:hint="eastAsia"/>
          <w:sz w:val="28"/>
          <w:szCs w:val="28"/>
        </w:rPr>
        <w:t>14</w:t>
      </w:r>
    </w:p>
    <w:p w:rsidR="009D4A0F" w:rsidRDefault="009D4A0F">
      <w:pPr>
        <w:jc w:val="center"/>
        <w:rPr>
          <w:rFonts w:ascii="黑体" w:eastAsia="黑体" w:hAnsi="黑体" w:cs="黑体"/>
          <w:b/>
          <w:sz w:val="24"/>
        </w:rPr>
      </w:pPr>
    </w:p>
    <w:p w:rsidR="009D4A0F" w:rsidRDefault="009D4A0F">
      <w:pPr>
        <w:jc w:val="center"/>
        <w:rPr>
          <w:rFonts w:ascii="黑体" w:eastAsia="黑体" w:hAnsi="黑体" w:cs="黑体"/>
          <w:b/>
          <w:sz w:val="24"/>
        </w:rPr>
      </w:pPr>
    </w:p>
    <w:p w:rsidR="009D4A0F" w:rsidRDefault="009D4A0F">
      <w:pPr>
        <w:jc w:val="center"/>
        <w:rPr>
          <w:rFonts w:ascii="黑体" w:eastAsia="黑体" w:hAnsi="黑体" w:cs="黑体"/>
          <w:b/>
          <w:sz w:val="24"/>
        </w:rPr>
      </w:pPr>
    </w:p>
    <w:p w:rsidR="009D4A0F" w:rsidRDefault="00EA244E">
      <w:pPr>
        <w:jc w:val="center"/>
        <w:rPr>
          <w:rFonts w:ascii="黑体" w:eastAsia="黑体" w:hAnsi="黑体" w:cs="黑体"/>
          <w:b/>
          <w:sz w:val="52"/>
          <w:szCs w:val="52"/>
        </w:rPr>
      </w:pPr>
      <w:r>
        <w:rPr>
          <w:rFonts w:ascii="黑体" w:eastAsia="黑体" w:hAnsi="黑体" w:cs="黑体" w:hint="eastAsia"/>
          <w:b/>
          <w:sz w:val="52"/>
          <w:szCs w:val="52"/>
        </w:rPr>
        <w:t>计算机化系统供应商资质评定</w:t>
      </w:r>
    </w:p>
    <w:p w:rsidR="009D4A0F" w:rsidRDefault="009D4A0F">
      <w:pPr>
        <w:jc w:val="center"/>
        <w:rPr>
          <w:rFonts w:ascii="黑体" w:eastAsia="黑体" w:hAnsi="黑体" w:cs="黑体"/>
          <w:b/>
          <w:sz w:val="24"/>
        </w:rPr>
      </w:pPr>
    </w:p>
    <w:p w:rsidR="009D4A0F" w:rsidRDefault="009D4A0F">
      <w:pPr>
        <w:jc w:val="center"/>
        <w:rPr>
          <w:rFonts w:ascii="黑体" w:eastAsia="黑体" w:hAnsi="黑体" w:cs="黑体"/>
          <w:b/>
          <w:sz w:val="24"/>
        </w:rPr>
      </w:pPr>
    </w:p>
    <w:p w:rsidR="009D4A0F" w:rsidRDefault="00EA244E">
      <w:pPr>
        <w:tabs>
          <w:tab w:val="center" w:pos="4365"/>
          <w:tab w:val="left" w:pos="7276"/>
        </w:tabs>
        <w:jc w:val="center"/>
        <w:rPr>
          <w:rFonts w:ascii="黑体" w:eastAsia="黑体" w:hAnsi="宋体"/>
          <w:sz w:val="32"/>
        </w:rPr>
      </w:pPr>
      <w:r>
        <w:rPr>
          <w:rFonts w:ascii="黑体" w:eastAsia="黑体" w:hAnsi="宋体" w:hint="eastAsia"/>
          <w:sz w:val="32"/>
        </w:rPr>
        <w:t>保密等级：机密</w:t>
      </w:r>
    </w:p>
    <w:p w:rsidR="009D4A0F" w:rsidRPr="00C977FC" w:rsidRDefault="00EA244E" w:rsidP="00C977FC">
      <w:pPr>
        <w:jc w:val="center"/>
        <w:rPr>
          <w:rFonts w:eastAsia="黑体" w:hint="eastAsia"/>
          <w:sz w:val="24"/>
        </w:rPr>
      </w:pPr>
      <w:r>
        <w:rPr>
          <w:rFonts w:ascii="黑体" w:eastAsia="黑体" w:hAnsi="宋体" w:hint="eastAsia"/>
          <w:sz w:val="32"/>
        </w:rPr>
        <w:t>版本</w:t>
      </w:r>
      <w:r>
        <w:rPr>
          <w:rFonts w:ascii="黑体" w:eastAsia="黑体" w:hAnsi="宋体" w:hint="eastAsia"/>
          <w:sz w:val="32"/>
        </w:rPr>
        <w:t>/</w:t>
      </w:r>
      <w:r>
        <w:rPr>
          <w:rFonts w:ascii="黑体" w:eastAsia="黑体" w:hAnsi="宋体" w:hint="eastAsia"/>
          <w:sz w:val="32"/>
        </w:rPr>
        <w:t>版次：</w:t>
      </w:r>
      <w:r>
        <w:rPr>
          <w:rFonts w:ascii="黑体" w:eastAsia="黑体" w:hAnsi="宋体" w:hint="eastAsia"/>
          <w:sz w:val="32"/>
        </w:rPr>
        <w:t>1</w:t>
      </w:r>
      <w:r>
        <w:rPr>
          <w:rFonts w:ascii="黑体" w:eastAsia="黑体" w:hAnsi="宋体" w:hint="eastAsia"/>
          <w:sz w:val="32"/>
        </w:rPr>
        <w:t>.</w:t>
      </w:r>
      <w:r>
        <w:rPr>
          <w:rFonts w:ascii="黑体" w:eastAsia="黑体" w:hAnsi="宋体" w:hint="eastAsia"/>
          <w:sz w:val="32"/>
        </w:rPr>
        <w:t>1</w:t>
      </w:r>
    </w:p>
    <w:p w:rsidR="009D4A0F" w:rsidRDefault="00EA244E">
      <w:pPr>
        <w:tabs>
          <w:tab w:val="left" w:pos="1260"/>
        </w:tabs>
        <w:adjustRightInd w:val="0"/>
        <w:snapToGrid w:val="0"/>
        <w:spacing w:beforeLines="50" w:before="156" w:afterLines="100" w:after="312"/>
        <w:jc w:val="center"/>
        <w:rPr>
          <w:rFonts w:ascii="黑体" w:eastAsia="黑体"/>
          <w:sz w:val="28"/>
          <w:szCs w:val="28"/>
        </w:rPr>
      </w:pPr>
      <w:bookmarkStart w:id="1" w:name="_GoBack"/>
      <w:bookmarkEnd w:id="1"/>
      <w:r>
        <w:rPr>
          <w:rFonts w:ascii="黑体" w:eastAsia="黑体" w:hAnsi="宋体" w:hint="eastAsia"/>
          <w:sz w:val="28"/>
          <w:szCs w:val="28"/>
        </w:rPr>
        <w:t>文件修订履历表</w:t>
      </w:r>
    </w:p>
    <w:tbl>
      <w:tblPr>
        <w:tblW w:w="0" w:type="auto"/>
        <w:tblInd w:w="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6095"/>
        <w:gridCol w:w="1417"/>
      </w:tblGrid>
      <w:tr w:rsidR="009D4A0F">
        <w:trPr>
          <w:trHeight w:val="598"/>
        </w:trPr>
        <w:tc>
          <w:tcPr>
            <w:tcW w:w="754" w:type="dxa"/>
            <w:vAlign w:val="center"/>
          </w:tcPr>
          <w:p w:rsidR="009D4A0F" w:rsidRDefault="00EA244E">
            <w:pPr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版本</w:t>
            </w:r>
          </w:p>
        </w:tc>
        <w:tc>
          <w:tcPr>
            <w:tcW w:w="6095" w:type="dxa"/>
            <w:vAlign w:val="center"/>
          </w:tcPr>
          <w:p w:rsidR="009D4A0F" w:rsidRDefault="00EA244E">
            <w:pPr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修订</w:t>
            </w:r>
            <w:r>
              <w:rPr>
                <w:rFonts w:hAnsi="宋体"/>
                <w:sz w:val="24"/>
              </w:rPr>
              <w:t>说明</w:t>
            </w:r>
          </w:p>
        </w:tc>
        <w:tc>
          <w:tcPr>
            <w:tcW w:w="1417" w:type="dxa"/>
            <w:vAlign w:val="center"/>
          </w:tcPr>
          <w:p w:rsidR="009D4A0F" w:rsidRDefault="00EA244E">
            <w:pPr>
              <w:spacing w:before="12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日期</w:t>
            </w:r>
          </w:p>
        </w:tc>
      </w:tr>
      <w:tr w:rsidR="009D4A0F">
        <w:trPr>
          <w:trHeight w:val="667"/>
        </w:trPr>
        <w:tc>
          <w:tcPr>
            <w:tcW w:w="754" w:type="dxa"/>
            <w:vAlign w:val="center"/>
          </w:tcPr>
          <w:p w:rsidR="009D4A0F" w:rsidRDefault="00EA244E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6095" w:type="dxa"/>
            <w:vAlign w:val="center"/>
          </w:tcPr>
          <w:p w:rsidR="009D4A0F" w:rsidRDefault="00EA244E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无</w:t>
            </w:r>
          </w:p>
        </w:tc>
        <w:tc>
          <w:tcPr>
            <w:tcW w:w="1417" w:type="dxa"/>
            <w:vAlign w:val="center"/>
          </w:tcPr>
          <w:p w:rsidR="009D4A0F" w:rsidRDefault="00EA244E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2022.08.17</w:t>
            </w:r>
          </w:p>
        </w:tc>
      </w:tr>
      <w:tr w:rsidR="009D4A0F">
        <w:trPr>
          <w:trHeight w:val="667"/>
        </w:trPr>
        <w:tc>
          <w:tcPr>
            <w:tcW w:w="754" w:type="dxa"/>
            <w:vAlign w:val="center"/>
          </w:tcPr>
          <w:p w:rsidR="009D4A0F" w:rsidRDefault="00EA244E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1.1</w:t>
            </w:r>
          </w:p>
        </w:tc>
        <w:tc>
          <w:tcPr>
            <w:tcW w:w="6095" w:type="dxa"/>
            <w:vAlign w:val="center"/>
          </w:tcPr>
          <w:p w:rsidR="009D4A0F" w:rsidRDefault="00EA244E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left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修</w:t>
            </w:r>
            <w:r>
              <w:rPr>
                <w:rFonts w:eastAsiaTheme="minorEastAsia" w:hint="eastAsia"/>
                <w:sz w:val="24"/>
              </w:rPr>
              <w:t>订</w:t>
            </w:r>
            <w:r>
              <w:rPr>
                <w:rFonts w:eastAsiaTheme="minorEastAsia" w:hint="eastAsia"/>
                <w:sz w:val="24"/>
              </w:rPr>
              <w:t>公司</w:t>
            </w:r>
            <w:r>
              <w:rPr>
                <w:rFonts w:eastAsiaTheme="minorEastAsia" w:hint="eastAsia"/>
                <w:sz w:val="24"/>
              </w:rPr>
              <w:t>Logo</w:t>
            </w:r>
            <w:r>
              <w:rPr>
                <w:rFonts w:eastAsiaTheme="minorEastAsia" w:hint="eastAsia"/>
                <w:sz w:val="24"/>
              </w:rPr>
              <w:t>及公司英文名称。</w:t>
            </w:r>
          </w:p>
        </w:tc>
        <w:tc>
          <w:tcPr>
            <w:tcW w:w="1417" w:type="dxa"/>
            <w:vAlign w:val="center"/>
          </w:tcPr>
          <w:p w:rsidR="009D4A0F" w:rsidRDefault="009D4A0F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</w:p>
        </w:tc>
      </w:tr>
    </w:tbl>
    <w:p w:rsidR="009D4A0F" w:rsidRDefault="009D4A0F">
      <w:pPr>
        <w:tabs>
          <w:tab w:val="left" w:pos="1260"/>
        </w:tabs>
        <w:rPr>
          <w:b/>
          <w:sz w:val="32"/>
          <w:szCs w:val="32"/>
        </w:rPr>
        <w:sectPr w:rsidR="009D4A0F">
          <w:headerReference w:type="first" r:id="rId10"/>
          <w:footerReference w:type="first" r:id="rId11"/>
          <w:pgSz w:w="11906" w:h="16838"/>
          <w:pgMar w:top="1077" w:right="1417" w:bottom="1077" w:left="1417" w:header="851" w:footer="992" w:gutter="567"/>
          <w:cols w:space="720"/>
          <w:titlePg/>
          <w:docGrid w:type="linesAndChars" w:linePitch="312"/>
        </w:sect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1 </w:t>
      </w:r>
      <w:r>
        <w:rPr>
          <w:rFonts w:hint="eastAsia"/>
          <w:b/>
          <w:bCs/>
          <w:sz w:val="24"/>
        </w:rPr>
        <w:t>目的</w:t>
      </w:r>
    </w:p>
    <w:p w:rsidR="009D4A0F" w:rsidRDefault="00EA244E">
      <w:pPr>
        <w:tabs>
          <w:tab w:val="left" w:pos="945"/>
        </w:tabs>
        <w:spacing w:line="360" w:lineRule="auto"/>
        <w:ind w:firstLineChars="200" w:firstLine="480"/>
        <w:contextualSpacing/>
        <w:jc w:val="left"/>
        <w:rPr>
          <w:sz w:val="24"/>
        </w:rPr>
      </w:pPr>
      <w:r>
        <w:rPr>
          <w:rFonts w:hint="eastAsia"/>
          <w:sz w:val="24"/>
          <w:shd w:val="clear" w:color="auto" w:fill="FFFFFF"/>
        </w:rPr>
        <w:t>本文的目的是用于描述对计算机化系统供应商资质评定的流程</w:t>
      </w:r>
      <w:r>
        <w:rPr>
          <w:rFonts w:hint="eastAsia"/>
          <w:sz w:val="24"/>
        </w:rPr>
        <w:t>。</w:t>
      </w:r>
    </w:p>
    <w:p w:rsidR="009D4A0F" w:rsidRDefault="009D4A0F">
      <w:pPr>
        <w:tabs>
          <w:tab w:val="left" w:pos="945"/>
        </w:tabs>
        <w:spacing w:line="360" w:lineRule="auto"/>
        <w:ind w:firstLineChars="200" w:firstLine="480"/>
        <w:contextualSpacing/>
        <w:jc w:val="left"/>
        <w:rPr>
          <w:sz w:val="24"/>
        </w:r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 </w:t>
      </w:r>
      <w:r>
        <w:rPr>
          <w:rFonts w:hint="eastAsia"/>
          <w:b/>
          <w:bCs/>
          <w:sz w:val="24"/>
        </w:rPr>
        <w:t>适用范围及人员职责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本文件适用于由本机构部署的，带有法规使用目的的计算机化系统的供应商资质评定，参与人员都应理解、掌握并遵守本</w:t>
      </w:r>
      <w:r>
        <w:rPr>
          <w:rFonts w:hint="eastAsia"/>
          <w:sz w:val="24"/>
        </w:rPr>
        <w:t>SOP</w:t>
      </w:r>
      <w:r>
        <w:rPr>
          <w:rFonts w:hint="eastAsia"/>
          <w:sz w:val="24"/>
        </w:rPr>
        <w:t>。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供应商可能会向本公司提供一个完整的计算机化系统（可能包括软硬件组件和与其他系统的接口）、硬件组件、软件组件和接口、安装、部署和调试服务、确认服务、验证服务、计量服务、</w:t>
      </w:r>
      <w:proofErr w:type="gramStart"/>
      <w:r>
        <w:rPr>
          <w:rFonts w:hint="eastAsia"/>
          <w:sz w:val="24"/>
        </w:rPr>
        <w:t>维保服务</w:t>
      </w:r>
      <w:proofErr w:type="gramEnd"/>
      <w:r>
        <w:rPr>
          <w:rFonts w:hint="eastAsia"/>
          <w:sz w:val="24"/>
        </w:rPr>
        <w:t>、系统托管服务、数据托管服务等。</w:t>
      </w:r>
    </w:p>
    <w:p w:rsidR="009D4A0F" w:rsidRDefault="009D4A0F">
      <w:pPr>
        <w:pStyle w:val="af9"/>
        <w:spacing w:line="360" w:lineRule="auto"/>
        <w:ind w:firstLine="480"/>
        <w:rPr>
          <w:sz w:val="24"/>
        </w:r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 </w:t>
      </w:r>
      <w:r>
        <w:rPr>
          <w:rFonts w:hint="eastAsia"/>
          <w:b/>
          <w:bCs/>
          <w:sz w:val="24"/>
        </w:rPr>
        <w:t>用语说明</w:t>
      </w:r>
    </w:p>
    <w:p w:rsidR="009D4A0F" w:rsidRDefault="00EA244E">
      <w:pPr>
        <w:tabs>
          <w:tab w:val="left" w:pos="945"/>
        </w:tabs>
        <w:spacing w:line="360" w:lineRule="auto"/>
        <w:ind w:firstLineChars="200" w:firstLine="480"/>
        <w:contextualSpacing/>
        <w:jc w:val="left"/>
        <w:rPr>
          <w:sz w:val="24"/>
        </w:rPr>
      </w:pPr>
      <w:r>
        <w:rPr>
          <w:rFonts w:hint="eastAsia"/>
          <w:sz w:val="24"/>
        </w:rPr>
        <w:t>服务水平协议：在本规程里指，本公司与外包服务供应商就特定内容的外包服务签署的质量协议。其主要作用是描述该供应商提供的外包服务的具体内容，服务的时效性和双方就服务内容的职责。</w:t>
      </w:r>
    </w:p>
    <w:p w:rsidR="009D4A0F" w:rsidRDefault="00EA244E">
      <w:pPr>
        <w:tabs>
          <w:tab w:val="left" w:pos="945"/>
        </w:tabs>
        <w:spacing w:line="360" w:lineRule="auto"/>
        <w:ind w:firstLineChars="200" w:firstLine="480"/>
        <w:contextualSpacing/>
        <w:jc w:val="left"/>
        <w:rPr>
          <w:sz w:val="24"/>
        </w:rPr>
      </w:pPr>
      <w:proofErr w:type="gramStart"/>
      <w:r>
        <w:rPr>
          <w:rFonts w:hint="eastAsia"/>
          <w:sz w:val="24"/>
        </w:rPr>
        <w:t>云服务</w:t>
      </w:r>
      <w:proofErr w:type="gramEnd"/>
      <w:r>
        <w:rPr>
          <w:rFonts w:hint="eastAsia"/>
          <w:sz w:val="24"/>
        </w:rPr>
        <w:t>协议：对于本公司使用的</w:t>
      </w:r>
      <w:proofErr w:type="gramStart"/>
      <w:r>
        <w:rPr>
          <w:rFonts w:hint="eastAsia"/>
          <w:sz w:val="24"/>
        </w:rPr>
        <w:t>云部署</w:t>
      </w:r>
      <w:proofErr w:type="gramEnd"/>
      <w:r>
        <w:rPr>
          <w:rFonts w:hint="eastAsia"/>
          <w:sz w:val="24"/>
        </w:rPr>
        <w:t>的计算机化系统，由本公司和</w:t>
      </w:r>
      <w:proofErr w:type="gramStart"/>
      <w:r>
        <w:rPr>
          <w:rFonts w:hint="eastAsia"/>
          <w:sz w:val="24"/>
        </w:rPr>
        <w:t>云服</w:t>
      </w:r>
      <w:proofErr w:type="gramEnd"/>
      <w:r>
        <w:rPr>
          <w:rFonts w:hint="eastAsia"/>
          <w:sz w:val="24"/>
        </w:rPr>
        <w:t>务提供商签署的质量协议，它属于服务水平协议的一种。对于系统和数据都托管在云端的系统，它的体现形式可能是系统托管协议；对于仅在云端托管数据的系统，它的体现形式可能是数据托管协议。</w:t>
      </w:r>
    </w:p>
    <w:p w:rsidR="009D4A0F" w:rsidRDefault="009D4A0F">
      <w:pPr>
        <w:tabs>
          <w:tab w:val="left" w:pos="945"/>
        </w:tabs>
        <w:spacing w:line="360" w:lineRule="auto"/>
        <w:ind w:firstLineChars="200" w:firstLine="480"/>
        <w:contextualSpacing/>
        <w:jc w:val="left"/>
        <w:rPr>
          <w:sz w:val="24"/>
        </w:r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4 </w:t>
      </w:r>
      <w:r>
        <w:rPr>
          <w:rFonts w:hint="eastAsia"/>
          <w:b/>
          <w:bCs/>
          <w:sz w:val="24"/>
        </w:rPr>
        <w:t>正文</w:t>
      </w:r>
    </w:p>
    <w:p w:rsidR="009D4A0F" w:rsidRDefault="00EA244E">
      <w:pPr>
        <w:tabs>
          <w:tab w:val="left" w:pos="945"/>
        </w:tabs>
        <w:spacing w:line="360" w:lineRule="auto"/>
        <w:ind w:firstLineChars="200" w:firstLine="480"/>
        <w:contextualSpacing/>
        <w:rPr>
          <w:sz w:val="24"/>
        </w:rPr>
      </w:pPr>
      <w:r>
        <w:rPr>
          <w:rFonts w:hint="eastAsia"/>
          <w:sz w:val="24"/>
        </w:rPr>
        <w:t>购买计算机化系统之前，需要对其执行供应商资质评定。如果决定不执行供应商资质评定，需要提供书面的正当理由，这个（些）正当理由至少要得到</w:t>
      </w:r>
      <w:r>
        <w:rPr>
          <w:rFonts w:hint="eastAsia"/>
          <w:sz w:val="24"/>
        </w:rPr>
        <w:t>QA</w:t>
      </w:r>
      <w:r>
        <w:rPr>
          <w:rFonts w:hint="eastAsia"/>
          <w:sz w:val="24"/>
        </w:rPr>
        <w:t>审核、计算机化系统所有者和机构负责人的批准。</w:t>
      </w:r>
    </w:p>
    <w:p w:rsidR="009D4A0F" w:rsidRDefault="00EA244E">
      <w:pPr>
        <w:pStyle w:val="af9"/>
        <w:numPr>
          <w:ilvl w:val="0"/>
          <w:numId w:val="1"/>
        </w:numPr>
        <w:spacing w:line="360" w:lineRule="auto"/>
        <w:ind w:firstLineChars="0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>资质评定的方式</w:t>
      </w:r>
      <w:r>
        <w:rPr>
          <w:rFonts w:eastAsiaTheme="minorEastAsia" w:hint="eastAsia"/>
          <w:b/>
          <w:bCs/>
          <w:sz w:val="24"/>
        </w:rPr>
        <w:t xml:space="preserve"> 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常见的供应商资质评定方式可能有现场审计、远程视频审计和供应</w:t>
      </w:r>
      <w:proofErr w:type="gramStart"/>
      <w:r>
        <w:rPr>
          <w:rFonts w:hint="eastAsia"/>
          <w:sz w:val="24"/>
        </w:rPr>
        <w:t>商调查</w:t>
      </w:r>
      <w:proofErr w:type="gramEnd"/>
      <w:r>
        <w:rPr>
          <w:rFonts w:hint="eastAsia"/>
          <w:sz w:val="24"/>
        </w:rPr>
        <w:t>问卷等。</w:t>
      </w:r>
    </w:p>
    <w:p w:rsidR="009D4A0F" w:rsidRDefault="00EA244E">
      <w:pPr>
        <w:pStyle w:val="af9"/>
        <w:numPr>
          <w:ilvl w:val="0"/>
          <w:numId w:val="1"/>
        </w:numPr>
        <w:spacing w:line="360" w:lineRule="auto"/>
        <w:ind w:firstLineChars="0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>资质评定的内容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针对潜在供应商提供的系统组件和服务的不同，资质评定的内容也是不同的，具体内容</w:t>
      </w:r>
      <w:proofErr w:type="gramStart"/>
      <w:r>
        <w:rPr>
          <w:rFonts w:hint="eastAsia"/>
          <w:sz w:val="24"/>
        </w:rPr>
        <w:t>见包括以下但</w:t>
      </w:r>
      <w:proofErr w:type="gramEnd"/>
      <w:r>
        <w:rPr>
          <w:rFonts w:hint="eastAsia"/>
          <w:sz w:val="24"/>
        </w:rPr>
        <w:t>不限于以下：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提供整体系统的供应商，整体系统可能包括硬件组件、软件组件和接口，资</w:t>
      </w:r>
      <w:r>
        <w:rPr>
          <w:rFonts w:hint="eastAsia"/>
          <w:sz w:val="24"/>
        </w:rPr>
        <w:lastRenderedPageBreak/>
        <w:t>质评定内容见表格（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）第一部分。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注：如果整体系统内包括硬件组件、软件组件和接口、以及其他服务，还应当继续评定后文里适用的内容。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提供系统硬件组件的供应商，这些硬件组件可能包括生产设备、检测仪器、设施设备、公用工程设备等，资质评定的内容见表格（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）第二部分。</w:t>
      </w:r>
    </w:p>
    <w:p w:rsidR="009D4A0F" w:rsidRDefault="00EA244E">
      <w:pPr>
        <w:pStyle w:val="af9"/>
        <w:spacing w:line="360" w:lineRule="auto"/>
        <w:ind w:firstLine="480"/>
        <w:rPr>
          <w:rFonts w:eastAsiaTheme="minorEastAsia"/>
          <w:sz w:val="24"/>
        </w:rPr>
      </w:pPr>
      <w:r>
        <w:rPr>
          <w:rFonts w:hint="eastAsia"/>
          <w:sz w:val="24"/>
        </w:rPr>
        <w:t>针对这些硬件组件供应商，如果他们提供的硬件组件是带有内置软件的，且这些内置软件是这些供应商自己开发或二次开发的，那评定内容还要包括对系统软件组件供应商的评定内容；但如果这些内置软件不是由这些供应商开发或二次开发的，而是购买的标准化控件，例如西门子或艾默生公司的标准控件，那就不需要继续执行软件组件供应商的评定内容了</w:t>
      </w:r>
      <w:r>
        <w:rPr>
          <w:rFonts w:eastAsiaTheme="minorEastAsia" w:hint="eastAsia"/>
          <w:sz w:val="24"/>
        </w:rPr>
        <w:t>。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提供系统软件组件和接口的供应</w:t>
      </w:r>
      <w:r>
        <w:rPr>
          <w:rFonts w:hint="eastAsia"/>
          <w:sz w:val="24"/>
        </w:rPr>
        <w:t>商，这些软件组件按</w:t>
      </w:r>
      <w:r>
        <w:rPr>
          <w:rFonts w:hint="eastAsia"/>
          <w:sz w:val="24"/>
        </w:rPr>
        <w:t>GAMP</w:t>
      </w:r>
      <w:r>
        <w:rPr>
          <w:rFonts w:hint="eastAsia"/>
          <w:sz w:val="24"/>
        </w:rPr>
        <w:t>类别可以划分为</w:t>
      </w:r>
      <w:r>
        <w:rPr>
          <w:rFonts w:hint="eastAsia"/>
          <w:sz w:val="24"/>
        </w:rPr>
        <w:t>GAMP5</w:t>
      </w:r>
      <w:r>
        <w:rPr>
          <w:rFonts w:hint="eastAsia"/>
          <w:sz w:val="24"/>
        </w:rPr>
        <w:t>类别</w:t>
      </w:r>
      <w:r>
        <w:rPr>
          <w:rFonts w:hint="eastAsia"/>
          <w:sz w:val="24"/>
        </w:rPr>
        <w:t>III</w:t>
      </w:r>
      <w:r>
        <w:rPr>
          <w:rFonts w:hint="eastAsia"/>
          <w:sz w:val="24"/>
        </w:rPr>
        <w:t>开盒即用的软件、</w:t>
      </w:r>
      <w:r>
        <w:rPr>
          <w:rFonts w:hint="eastAsia"/>
          <w:sz w:val="24"/>
        </w:rPr>
        <w:t>GAMP5</w:t>
      </w:r>
      <w:r>
        <w:rPr>
          <w:rFonts w:hint="eastAsia"/>
          <w:sz w:val="24"/>
        </w:rPr>
        <w:t>类别</w:t>
      </w:r>
      <w:r>
        <w:rPr>
          <w:rFonts w:hint="eastAsia"/>
          <w:sz w:val="24"/>
        </w:rPr>
        <w:t>IV</w:t>
      </w:r>
      <w:r>
        <w:rPr>
          <w:rFonts w:hint="eastAsia"/>
          <w:sz w:val="24"/>
        </w:rPr>
        <w:t>配置的软件和</w:t>
      </w:r>
      <w:r>
        <w:rPr>
          <w:rFonts w:hint="eastAsia"/>
          <w:sz w:val="24"/>
        </w:rPr>
        <w:t>GAMP5</w:t>
      </w:r>
      <w:r>
        <w:rPr>
          <w:rFonts w:hint="eastAsia"/>
          <w:sz w:val="24"/>
        </w:rPr>
        <w:t>类别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为本公司定制开发的软件，资质评定的内容见表格（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）第三部分。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提供安装、部署和调试服务的供应商，资质评定的内容见表格（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）第四部分。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提供确认和</w:t>
      </w:r>
      <w:r>
        <w:rPr>
          <w:sz w:val="24"/>
        </w:rPr>
        <w:t>/</w:t>
      </w:r>
      <w:r>
        <w:rPr>
          <w:rFonts w:hint="eastAsia"/>
          <w:sz w:val="24"/>
        </w:rPr>
        <w:t>或验证服务的供应商，资质评定的内容见表格（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）第五部分。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提供计量服务的供应商，资质评定的内容见表格（</w:t>
      </w:r>
      <w:r>
        <w:rPr>
          <w:rFonts w:hint="eastAsia"/>
          <w:sz w:val="24"/>
        </w:rPr>
        <w:t>TQXS-FORM-GEN-14-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）第六部分。</w:t>
      </w:r>
    </w:p>
    <w:p w:rsidR="009D4A0F" w:rsidRDefault="00EA244E">
      <w:pPr>
        <w:pStyle w:val="af9"/>
        <w:numPr>
          <w:ilvl w:val="0"/>
          <w:numId w:val="2"/>
        </w:numPr>
        <w:spacing w:line="36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</w:t>
      </w:r>
      <w:proofErr w:type="gramStart"/>
      <w:r>
        <w:rPr>
          <w:rFonts w:hint="eastAsia"/>
          <w:sz w:val="24"/>
        </w:rPr>
        <w:t>托维保服务</w:t>
      </w:r>
      <w:proofErr w:type="gramEnd"/>
      <w:r>
        <w:rPr>
          <w:rFonts w:hint="eastAsia"/>
          <w:sz w:val="24"/>
        </w:rPr>
        <w:t>供应商，资质评定的内容见表格（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）第七部分。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提供托管系统的</w:t>
      </w:r>
      <w:proofErr w:type="gramStart"/>
      <w:r>
        <w:rPr>
          <w:rFonts w:hint="eastAsia"/>
          <w:sz w:val="24"/>
        </w:rPr>
        <w:t>云供应</w:t>
      </w:r>
      <w:proofErr w:type="gramEnd"/>
      <w:r>
        <w:rPr>
          <w:rFonts w:hint="eastAsia"/>
          <w:sz w:val="24"/>
        </w:rPr>
        <w:t>商，资质评定的内容见表格（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）第八部分。</w:t>
      </w:r>
    </w:p>
    <w:p w:rsidR="009D4A0F" w:rsidRDefault="00EA244E">
      <w:pPr>
        <w:pStyle w:val="af9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提供托管数据的</w:t>
      </w:r>
      <w:proofErr w:type="gramStart"/>
      <w:r>
        <w:rPr>
          <w:rFonts w:hint="eastAsia"/>
          <w:sz w:val="24"/>
        </w:rPr>
        <w:t>云供应</w:t>
      </w:r>
      <w:proofErr w:type="gramEnd"/>
      <w:r>
        <w:rPr>
          <w:rFonts w:hint="eastAsia"/>
          <w:sz w:val="24"/>
        </w:rPr>
        <w:t>商，资质评定的内容见表格（</w:t>
      </w:r>
      <w:r>
        <w:rPr>
          <w:rFonts w:hint="eastAsia"/>
          <w:sz w:val="24"/>
        </w:rPr>
        <w:t>TQXS-FORM-GEN-14-A</w:t>
      </w:r>
      <w:r>
        <w:rPr>
          <w:rFonts w:hint="eastAsia"/>
          <w:sz w:val="24"/>
        </w:rPr>
        <w:t>）第九部分。</w:t>
      </w:r>
    </w:p>
    <w:p w:rsidR="009D4A0F" w:rsidRDefault="00EA244E">
      <w:pPr>
        <w:pStyle w:val="af9"/>
        <w:numPr>
          <w:ilvl w:val="0"/>
          <w:numId w:val="1"/>
        </w:numPr>
        <w:spacing w:line="360" w:lineRule="auto"/>
        <w:ind w:firstLineChars="0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>计算机化系统供应商资质评定问卷</w:t>
      </w:r>
    </w:p>
    <w:p w:rsidR="009D4A0F" w:rsidRDefault="00EA244E">
      <w:pPr>
        <w:tabs>
          <w:tab w:val="left" w:pos="945"/>
        </w:tabs>
        <w:spacing w:line="360" w:lineRule="auto"/>
        <w:ind w:firstLineChars="200" w:firstLine="480"/>
        <w:contextualSpacing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不管</w:t>
      </w:r>
      <w:r>
        <w:rPr>
          <w:rFonts w:hint="eastAsia"/>
          <w:sz w:val="24"/>
        </w:rPr>
        <w:t>计算机化</w:t>
      </w:r>
      <w:r>
        <w:rPr>
          <w:rFonts w:eastAsiaTheme="minorEastAsia" w:hint="eastAsia"/>
          <w:sz w:val="24"/>
        </w:rPr>
        <w:t>系统供应商</w:t>
      </w:r>
      <w:r>
        <w:rPr>
          <w:rFonts w:hint="eastAsia"/>
          <w:sz w:val="24"/>
        </w:rPr>
        <w:t>资质</w:t>
      </w:r>
      <w:r>
        <w:rPr>
          <w:rFonts w:eastAsiaTheme="minorEastAsia" w:hint="eastAsia"/>
          <w:sz w:val="24"/>
        </w:rPr>
        <w:t>评定以那种方式执行，都应当完成记录表（</w:t>
      </w:r>
      <w:r>
        <w:rPr>
          <w:rFonts w:hint="eastAsia"/>
          <w:sz w:val="24"/>
        </w:rPr>
        <w:t>TQXS-FORM-GEN-14-A</w:t>
      </w:r>
      <w:r>
        <w:rPr>
          <w:rFonts w:eastAsiaTheme="minorEastAsia" w:hint="eastAsia"/>
          <w:sz w:val="24"/>
        </w:rPr>
        <w:t>），根据供应商提供的服务填写表中对应内容的内容，用于记录所执行的评定结果。该问卷的结尾部分有个总结和结论部分，用于总结</w:t>
      </w:r>
      <w:r>
        <w:rPr>
          <w:rFonts w:eastAsiaTheme="minorEastAsia" w:hint="eastAsia"/>
          <w:sz w:val="24"/>
        </w:rPr>
        <w:lastRenderedPageBreak/>
        <w:t>和报告评定结果和给出评定的结论。</w:t>
      </w:r>
    </w:p>
    <w:p w:rsidR="009D4A0F" w:rsidRDefault="009D4A0F">
      <w:pPr>
        <w:tabs>
          <w:tab w:val="left" w:pos="945"/>
        </w:tabs>
        <w:spacing w:line="360" w:lineRule="auto"/>
        <w:ind w:firstLineChars="200" w:firstLine="480"/>
        <w:contextualSpacing/>
        <w:rPr>
          <w:sz w:val="24"/>
        </w:r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5 </w:t>
      </w:r>
      <w:r>
        <w:rPr>
          <w:rFonts w:hint="eastAsia"/>
          <w:b/>
          <w:bCs/>
          <w:sz w:val="24"/>
        </w:rPr>
        <w:t>记录表格</w:t>
      </w: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</w:pPr>
      <w:r>
        <w:rPr>
          <w:rFonts w:hint="eastAsia"/>
          <w:sz w:val="24"/>
        </w:rPr>
        <w:t xml:space="preserve"> 5.1</w:t>
      </w:r>
      <w:r>
        <w:rPr>
          <w:sz w:val="24"/>
        </w:rPr>
        <w:t xml:space="preserve"> </w:t>
      </w:r>
      <w:r>
        <w:rPr>
          <w:rFonts w:hint="eastAsia"/>
          <w:sz w:val="24"/>
        </w:rPr>
        <w:t>TQXS-FORM-GEN-14-A</w:t>
      </w:r>
      <w:r>
        <w:rPr>
          <w:rFonts w:eastAsiaTheme="minorEastAsia" w:hint="eastAsia"/>
          <w:sz w:val="24"/>
        </w:rPr>
        <w:t xml:space="preserve"> </w:t>
      </w:r>
      <w:r>
        <w:rPr>
          <w:rFonts w:eastAsiaTheme="minorEastAsia" w:hint="eastAsia"/>
          <w:sz w:val="24"/>
        </w:rPr>
        <w:t>计算机化系统供应商资质评定问卷</w:t>
      </w:r>
    </w:p>
    <w:p w:rsidR="009D4A0F" w:rsidRDefault="009D4A0F">
      <w:pPr>
        <w:tabs>
          <w:tab w:val="left" w:pos="945"/>
        </w:tabs>
        <w:spacing w:line="360" w:lineRule="auto"/>
        <w:contextualSpacing/>
        <w:jc w:val="left"/>
        <w:rPr>
          <w:sz w:val="24"/>
        </w:rPr>
      </w:pPr>
    </w:p>
    <w:p w:rsidR="009D4A0F" w:rsidRDefault="00EA244E">
      <w:pPr>
        <w:tabs>
          <w:tab w:val="left" w:pos="945"/>
        </w:tabs>
        <w:spacing w:line="360" w:lineRule="auto"/>
        <w:contextualSpacing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6 </w:t>
      </w:r>
      <w:r>
        <w:rPr>
          <w:rFonts w:hint="eastAsia"/>
          <w:b/>
          <w:bCs/>
          <w:sz w:val="24"/>
        </w:rPr>
        <w:t>参考文献</w:t>
      </w:r>
    </w:p>
    <w:p w:rsidR="009D4A0F" w:rsidRDefault="00EA244E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无。</w:t>
      </w:r>
    </w:p>
    <w:p w:rsidR="009D4A0F" w:rsidRDefault="00EA244E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683260</wp:posOffset>
                </wp:positionV>
                <wp:extent cx="1800225" cy="0"/>
                <wp:effectExtent l="18415" t="16510" r="10160" b="12065"/>
                <wp:wrapNone/>
                <wp:docPr id="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93C8D" id="Line 3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7pt,53.8pt" to="280.4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" strokeweight="1.5pt"/>
            </w:pict>
          </mc:Fallback>
        </mc:AlternateContent>
      </w:r>
      <w:r>
        <w:rPr>
          <w:rFonts w:ascii="宋体" w:hAnsi="宋体" w:hint="eastAsia"/>
          <w:sz w:val="24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9D4A0F">
      <w:footerReference w:type="default" r:id="rId12"/>
      <w:footerReference w:type="first" r:id="rId13"/>
      <w:pgSz w:w="11906" w:h="16838"/>
      <w:pgMar w:top="1077" w:right="1417" w:bottom="1077" w:left="1418" w:header="964" w:footer="964" w:gutter="567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244E" w:rsidRDefault="00EA244E">
      <w:r>
        <w:separator/>
      </w:r>
    </w:p>
  </w:endnote>
  <w:endnote w:type="continuationSeparator" w:id="0">
    <w:p w:rsidR="00EA244E" w:rsidRDefault="00EA2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A0F" w:rsidRDefault="00EA244E">
    <w:pPr>
      <w:pStyle w:val="ae"/>
      <w:pBdr>
        <w:top w:val="single" w:sz="4" w:space="0" w:color="auto"/>
      </w:pBdr>
    </w:pPr>
    <w:r>
      <w:rPr>
        <w:rFonts w:eastAsia="黑体"/>
        <w:color w:val="000000"/>
        <w:sz w:val="24"/>
        <w:szCs w:val="24"/>
        <w:lang w:eastAsia="zh-Hans"/>
      </w:rPr>
      <w:t>TQXS-SOP</w:t>
    </w:r>
    <w:r>
      <w:rPr>
        <w:rFonts w:eastAsia="黑体"/>
        <w:color w:val="000000"/>
        <w:sz w:val="24"/>
        <w:szCs w:val="24"/>
      </w:rPr>
      <w:t>-GEN-0</w:t>
    </w:r>
    <w:r>
      <w:rPr>
        <w:rFonts w:eastAsia="黑体" w:hint="eastAsia"/>
        <w:color w:val="000000"/>
        <w:sz w:val="24"/>
        <w:szCs w:val="24"/>
      </w:rPr>
      <w:t>14</w:t>
    </w:r>
    <w:r>
      <w:rPr>
        <w:rFonts w:ascii="宋体" w:hAnsi="宋体" w:hint="eastAsia"/>
        <w:sz w:val="24"/>
        <w:szCs w:val="24"/>
      </w:rPr>
      <w:t xml:space="preserve">         </w:t>
    </w:r>
    <w:r>
      <w:rPr>
        <w:rFonts w:ascii="宋体" w:hAnsi="宋体" w:hint="eastAsia"/>
        <w:sz w:val="24"/>
        <w:szCs w:val="24"/>
      </w:rPr>
      <w:t xml:space="preserve">  </w:t>
    </w:r>
    <w:r>
      <w:rPr>
        <w:sz w:val="24"/>
        <w:szCs w:val="24"/>
      </w:rPr>
      <w:t xml:space="preserve"> </w:t>
    </w:r>
    <w:r>
      <w:rPr>
        <w:bCs/>
        <w:snapToGrid w:val="0"/>
        <w:kern w:val="0"/>
        <w:sz w:val="24"/>
        <w:szCs w:val="24"/>
      </w:rPr>
      <w:t>版本</w:t>
    </w:r>
    <w:r>
      <w:rPr>
        <w:bCs/>
        <w:snapToGrid w:val="0"/>
        <w:kern w:val="0"/>
        <w:sz w:val="24"/>
        <w:szCs w:val="24"/>
      </w:rPr>
      <w:t>/</w:t>
    </w:r>
    <w:r>
      <w:rPr>
        <w:rFonts w:hint="eastAsia"/>
        <w:sz w:val="24"/>
        <w:szCs w:val="24"/>
      </w:rPr>
      <w:t>版次：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>.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4A0F" w:rsidRDefault="00EA244E">
                          <w:pPr>
                            <w:pStyle w:val="ae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D4A0F" w:rsidRDefault="00EA244E">
                    <w:pPr>
                      <w:pStyle w:val="ae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第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页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共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13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4"/>
        <w:szCs w:val="24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A0F" w:rsidRDefault="00EA244E">
    <w:pPr>
      <w:pStyle w:val="ae"/>
      <w:pBdr>
        <w:top w:val="single" w:sz="4" w:space="1" w:color="auto"/>
      </w:pBdr>
      <w:jc w:val="distribute"/>
    </w:pPr>
    <w:r>
      <w:rPr>
        <w:rFonts w:hint="eastAsia"/>
        <w:sz w:val="24"/>
        <w:szCs w:val="24"/>
      </w:rPr>
      <w:t>TQXS-SOP</w:t>
    </w:r>
    <w:r>
      <w:rPr>
        <w:sz w:val="24"/>
        <w:szCs w:val="24"/>
      </w:rPr>
      <w:t>-</w:t>
    </w:r>
    <w:r>
      <w:rPr>
        <w:rFonts w:hint="eastAsia"/>
        <w:sz w:val="24"/>
        <w:szCs w:val="24"/>
      </w:rPr>
      <w:t>GEN-</w:t>
    </w:r>
    <w:r>
      <w:rPr>
        <w:rFonts w:hint="eastAsia"/>
        <w:sz w:val="24"/>
        <w:szCs w:val="24"/>
      </w:rPr>
      <w:t>014</w:t>
    </w:r>
    <w:r>
      <w:rPr>
        <w:sz w:val="24"/>
        <w:szCs w:val="24"/>
      </w:rPr>
      <w:t xml:space="preserve">          </w:t>
    </w:r>
    <w:r>
      <w:rPr>
        <w:bCs/>
        <w:snapToGrid w:val="0"/>
        <w:kern w:val="0"/>
        <w:sz w:val="24"/>
        <w:szCs w:val="24"/>
      </w:rPr>
      <w:t>版本</w:t>
    </w:r>
    <w:r>
      <w:rPr>
        <w:bCs/>
        <w:snapToGrid w:val="0"/>
        <w:kern w:val="0"/>
        <w:sz w:val="24"/>
        <w:szCs w:val="24"/>
      </w:rPr>
      <w:t>/</w:t>
    </w:r>
    <w:r>
      <w:rPr>
        <w:sz w:val="24"/>
        <w:szCs w:val="24"/>
      </w:rPr>
      <w:t>版次：</w:t>
    </w:r>
    <w:r>
      <w:rPr>
        <w:rFonts w:hint="eastAsia"/>
        <w:sz w:val="24"/>
        <w:szCs w:val="24"/>
      </w:rPr>
      <w:t>1.</w:t>
    </w:r>
    <w:r>
      <w:rPr>
        <w:rFonts w:hint="eastAsia"/>
        <w:sz w:val="24"/>
        <w:szCs w:val="24"/>
      </w:rPr>
      <w:t>1</w:t>
    </w:r>
    <w:r>
      <w:rPr>
        <w:sz w:val="24"/>
        <w:szCs w:val="24"/>
      </w:rPr>
      <w:t xml:space="preserve">           </w:t>
    </w:r>
    <w:r>
      <w:rPr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sz w:val="24"/>
        <w:szCs w:val="24"/>
      </w:rPr>
      <w:t>页</w:t>
    </w:r>
    <w:r>
      <w:rPr>
        <w:sz w:val="24"/>
        <w:szCs w:val="24"/>
      </w:rPr>
      <w:t xml:space="preserve"> </w:t>
    </w:r>
    <w:r>
      <w:rPr>
        <w:sz w:val="24"/>
        <w:szCs w:val="24"/>
      </w:rPr>
      <w:t>共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5</w:t>
    </w:r>
    <w:r>
      <w:rPr>
        <w:sz w:val="24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A0F" w:rsidRDefault="00EA244E">
    <w:pPr>
      <w:pStyle w:val="ae"/>
      <w:pBdr>
        <w:top w:val="single" w:sz="4" w:space="1" w:color="auto"/>
      </w:pBdr>
      <w:jc w:val="distribute"/>
      <w:rPr>
        <w:sz w:val="24"/>
        <w:szCs w:val="24"/>
      </w:rPr>
    </w:pPr>
    <w:r>
      <w:rPr>
        <w:rFonts w:hint="eastAsia"/>
        <w:sz w:val="24"/>
        <w:szCs w:val="24"/>
      </w:rPr>
      <w:t>TQXS-SOP</w:t>
    </w:r>
    <w:r>
      <w:rPr>
        <w:sz w:val="24"/>
        <w:szCs w:val="24"/>
      </w:rPr>
      <w:t>-</w:t>
    </w:r>
    <w:r>
      <w:rPr>
        <w:rFonts w:hint="eastAsia"/>
        <w:sz w:val="24"/>
        <w:szCs w:val="24"/>
      </w:rPr>
      <w:t>GEN-</w:t>
    </w:r>
    <w:r>
      <w:rPr>
        <w:rFonts w:hint="eastAsia"/>
        <w:sz w:val="24"/>
        <w:szCs w:val="24"/>
      </w:rPr>
      <w:t>014</w:t>
    </w:r>
    <w:r>
      <w:rPr>
        <w:sz w:val="24"/>
        <w:szCs w:val="24"/>
      </w:rPr>
      <w:t xml:space="preserve">          </w:t>
    </w:r>
    <w:r>
      <w:rPr>
        <w:bCs/>
        <w:snapToGrid w:val="0"/>
        <w:kern w:val="0"/>
        <w:sz w:val="24"/>
        <w:szCs w:val="24"/>
      </w:rPr>
      <w:t>版本</w:t>
    </w:r>
    <w:r>
      <w:rPr>
        <w:bCs/>
        <w:snapToGrid w:val="0"/>
        <w:kern w:val="0"/>
        <w:sz w:val="24"/>
        <w:szCs w:val="24"/>
      </w:rPr>
      <w:t>/</w:t>
    </w:r>
    <w:r>
      <w:rPr>
        <w:sz w:val="24"/>
        <w:szCs w:val="24"/>
      </w:rPr>
      <w:t>版次：</w:t>
    </w:r>
    <w:r>
      <w:rPr>
        <w:rFonts w:hint="eastAsia"/>
        <w:sz w:val="24"/>
        <w:szCs w:val="24"/>
      </w:rPr>
      <w:t>1.</w:t>
    </w:r>
    <w:r>
      <w:rPr>
        <w:rFonts w:hint="eastAsia"/>
        <w:sz w:val="24"/>
        <w:szCs w:val="24"/>
      </w:rPr>
      <w:t>1</w:t>
    </w:r>
    <w:r>
      <w:rPr>
        <w:sz w:val="24"/>
        <w:szCs w:val="24"/>
      </w:rPr>
      <w:t xml:space="preserve">           </w:t>
    </w:r>
    <w:r>
      <w:rPr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sz w:val="24"/>
        <w:szCs w:val="24"/>
      </w:rPr>
      <w:t>页</w:t>
    </w:r>
    <w:r>
      <w:rPr>
        <w:sz w:val="24"/>
        <w:szCs w:val="24"/>
      </w:rPr>
      <w:t xml:space="preserve"> </w:t>
    </w:r>
    <w:r>
      <w:rPr>
        <w:sz w:val="24"/>
        <w:szCs w:val="24"/>
      </w:rPr>
      <w:t>共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5</w:t>
    </w:r>
    <w:r>
      <w:rPr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244E" w:rsidRDefault="00EA244E">
      <w:r>
        <w:separator/>
      </w:r>
    </w:p>
  </w:footnote>
  <w:footnote w:type="continuationSeparator" w:id="0">
    <w:p w:rsidR="00EA244E" w:rsidRDefault="00EA2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A0F" w:rsidRDefault="00EA244E">
    <w:pPr>
      <w:pStyle w:val="af0"/>
      <w:jc w:val="both"/>
      <w:rPr>
        <w:szCs w:val="24"/>
      </w:rPr>
    </w:pPr>
    <w:r>
      <w:rPr>
        <w:noProof/>
      </w:rPr>
      <w:drawing>
        <wp:inline distT="0" distB="0" distL="114300" distR="114300">
          <wp:extent cx="1151890" cy="288290"/>
          <wp:effectExtent l="0" t="0" r="10160" b="1651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8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51FCB"/>
    <w:multiLevelType w:val="multilevel"/>
    <w:tmpl w:val="44151FCB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8A081D"/>
    <w:multiLevelType w:val="multilevel"/>
    <w:tmpl w:val="798A081D"/>
    <w:lvl w:ilvl="0">
      <w:start w:val="1"/>
      <w:numFmt w:val="decimal"/>
      <w:lvlText w:val="4.2.%1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Y2YmI5ODJhNmRkZWUyNTBhOGM1YmZkNDE0MjlmZTcifQ=="/>
  </w:docVars>
  <w:rsids>
    <w:rsidRoot w:val="00172A27"/>
    <w:rsid w:val="00001E22"/>
    <w:rsid w:val="00004D08"/>
    <w:rsid w:val="000247AD"/>
    <w:rsid w:val="00027E7B"/>
    <w:rsid w:val="00054123"/>
    <w:rsid w:val="00070777"/>
    <w:rsid w:val="000729F0"/>
    <w:rsid w:val="0007385E"/>
    <w:rsid w:val="000932FA"/>
    <w:rsid w:val="00094938"/>
    <w:rsid w:val="0009618C"/>
    <w:rsid w:val="000A0CEC"/>
    <w:rsid w:val="000D2FEC"/>
    <w:rsid w:val="000D3CBE"/>
    <w:rsid w:val="000D5ABD"/>
    <w:rsid w:val="000E182E"/>
    <w:rsid w:val="00104210"/>
    <w:rsid w:val="0012737B"/>
    <w:rsid w:val="001368EE"/>
    <w:rsid w:val="0014201F"/>
    <w:rsid w:val="001501DF"/>
    <w:rsid w:val="0016432B"/>
    <w:rsid w:val="00172A27"/>
    <w:rsid w:val="00185E00"/>
    <w:rsid w:val="00192929"/>
    <w:rsid w:val="00197211"/>
    <w:rsid w:val="001A553D"/>
    <w:rsid w:val="001E3272"/>
    <w:rsid w:val="0020771B"/>
    <w:rsid w:val="002174C0"/>
    <w:rsid w:val="002250CD"/>
    <w:rsid w:val="00246E55"/>
    <w:rsid w:val="00247F55"/>
    <w:rsid w:val="00255B3D"/>
    <w:rsid w:val="002619AA"/>
    <w:rsid w:val="00283055"/>
    <w:rsid w:val="002939A8"/>
    <w:rsid w:val="002C2E95"/>
    <w:rsid w:val="002D7984"/>
    <w:rsid w:val="002E0757"/>
    <w:rsid w:val="002F1826"/>
    <w:rsid w:val="002F45A9"/>
    <w:rsid w:val="00306EF3"/>
    <w:rsid w:val="00317305"/>
    <w:rsid w:val="00335A54"/>
    <w:rsid w:val="00360C96"/>
    <w:rsid w:val="00373537"/>
    <w:rsid w:val="003874AD"/>
    <w:rsid w:val="00395F3C"/>
    <w:rsid w:val="00396222"/>
    <w:rsid w:val="003A205C"/>
    <w:rsid w:val="003B3B47"/>
    <w:rsid w:val="003D1DF3"/>
    <w:rsid w:val="003D49D5"/>
    <w:rsid w:val="003F433E"/>
    <w:rsid w:val="00401C53"/>
    <w:rsid w:val="00404D54"/>
    <w:rsid w:val="00405F58"/>
    <w:rsid w:val="004175B1"/>
    <w:rsid w:val="004317C5"/>
    <w:rsid w:val="0044149D"/>
    <w:rsid w:val="00451F5E"/>
    <w:rsid w:val="00454A81"/>
    <w:rsid w:val="00470F71"/>
    <w:rsid w:val="004C7FC2"/>
    <w:rsid w:val="004D168D"/>
    <w:rsid w:val="004E71F6"/>
    <w:rsid w:val="005219B3"/>
    <w:rsid w:val="0052211B"/>
    <w:rsid w:val="00526D20"/>
    <w:rsid w:val="005355E0"/>
    <w:rsid w:val="0056165B"/>
    <w:rsid w:val="00562EA0"/>
    <w:rsid w:val="00590B80"/>
    <w:rsid w:val="005C142D"/>
    <w:rsid w:val="005D6D63"/>
    <w:rsid w:val="00625E0D"/>
    <w:rsid w:val="00631955"/>
    <w:rsid w:val="00676DA8"/>
    <w:rsid w:val="006826C1"/>
    <w:rsid w:val="006839AC"/>
    <w:rsid w:val="00691C95"/>
    <w:rsid w:val="00693854"/>
    <w:rsid w:val="006950C1"/>
    <w:rsid w:val="00695C3E"/>
    <w:rsid w:val="006A6F5B"/>
    <w:rsid w:val="006B286E"/>
    <w:rsid w:val="006B41B9"/>
    <w:rsid w:val="006F54F0"/>
    <w:rsid w:val="006F6649"/>
    <w:rsid w:val="007016A2"/>
    <w:rsid w:val="0071553F"/>
    <w:rsid w:val="007251ED"/>
    <w:rsid w:val="00767716"/>
    <w:rsid w:val="00771E13"/>
    <w:rsid w:val="00772587"/>
    <w:rsid w:val="00786CBA"/>
    <w:rsid w:val="007A6EDF"/>
    <w:rsid w:val="007C40A8"/>
    <w:rsid w:val="007D41C3"/>
    <w:rsid w:val="007D42CA"/>
    <w:rsid w:val="007E16B9"/>
    <w:rsid w:val="007E3084"/>
    <w:rsid w:val="00801503"/>
    <w:rsid w:val="008238CB"/>
    <w:rsid w:val="00824CC1"/>
    <w:rsid w:val="00826034"/>
    <w:rsid w:val="00867A99"/>
    <w:rsid w:val="008703EB"/>
    <w:rsid w:val="008712E6"/>
    <w:rsid w:val="00886619"/>
    <w:rsid w:val="00890404"/>
    <w:rsid w:val="0089571E"/>
    <w:rsid w:val="008A0659"/>
    <w:rsid w:val="008A534F"/>
    <w:rsid w:val="008B67A5"/>
    <w:rsid w:val="008D7FD8"/>
    <w:rsid w:val="008E1961"/>
    <w:rsid w:val="008F3623"/>
    <w:rsid w:val="00900D70"/>
    <w:rsid w:val="00921743"/>
    <w:rsid w:val="00924403"/>
    <w:rsid w:val="00937739"/>
    <w:rsid w:val="00954525"/>
    <w:rsid w:val="00973206"/>
    <w:rsid w:val="009933AA"/>
    <w:rsid w:val="0099573A"/>
    <w:rsid w:val="009A07DB"/>
    <w:rsid w:val="009C3E2E"/>
    <w:rsid w:val="009D12EC"/>
    <w:rsid w:val="009D4A0F"/>
    <w:rsid w:val="009E356D"/>
    <w:rsid w:val="009F5BE9"/>
    <w:rsid w:val="00A0277E"/>
    <w:rsid w:val="00A11CB8"/>
    <w:rsid w:val="00A30C7B"/>
    <w:rsid w:val="00A32B09"/>
    <w:rsid w:val="00A507E6"/>
    <w:rsid w:val="00A51C69"/>
    <w:rsid w:val="00A52228"/>
    <w:rsid w:val="00A52DFC"/>
    <w:rsid w:val="00A53378"/>
    <w:rsid w:val="00A75A92"/>
    <w:rsid w:val="00A94979"/>
    <w:rsid w:val="00A957BC"/>
    <w:rsid w:val="00AD723D"/>
    <w:rsid w:val="00AE7536"/>
    <w:rsid w:val="00B01BA9"/>
    <w:rsid w:val="00B17CD3"/>
    <w:rsid w:val="00B241AA"/>
    <w:rsid w:val="00B347B7"/>
    <w:rsid w:val="00B4136C"/>
    <w:rsid w:val="00B51847"/>
    <w:rsid w:val="00B61CD2"/>
    <w:rsid w:val="00B73DBA"/>
    <w:rsid w:val="00B74489"/>
    <w:rsid w:val="00B82B47"/>
    <w:rsid w:val="00B9057C"/>
    <w:rsid w:val="00B95390"/>
    <w:rsid w:val="00BA07EF"/>
    <w:rsid w:val="00BD4D53"/>
    <w:rsid w:val="00C0797E"/>
    <w:rsid w:val="00C12511"/>
    <w:rsid w:val="00C34E29"/>
    <w:rsid w:val="00C64547"/>
    <w:rsid w:val="00C80DDD"/>
    <w:rsid w:val="00C93564"/>
    <w:rsid w:val="00C96C8F"/>
    <w:rsid w:val="00C977FC"/>
    <w:rsid w:val="00CA1AE6"/>
    <w:rsid w:val="00CB0221"/>
    <w:rsid w:val="00CB0373"/>
    <w:rsid w:val="00CB1B8E"/>
    <w:rsid w:val="00CD20B9"/>
    <w:rsid w:val="00CD3BCE"/>
    <w:rsid w:val="00CE7E46"/>
    <w:rsid w:val="00CF7B32"/>
    <w:rsid w:val="00D03B89"/>
    <w:rsid w:val="00D21411"/>
    <w:rsid w:val="00D232ED"/>
    <w:rsid w:val="00D26F96"/>
    <w:rsid w:val="00D33A40"/>
    <w:rsid w:val="00D342C4"/>
    <w:rsid w:val="00D42EAD"/>
    <w:rsid w:val="00D46BC7"/>
    <w:rsid w:val="00D47734"/>
    <w:rsid w:val="00D572B8"/>
    <w:rsid w:val="00D96F28"/>
    <w:rsid w:val="00D977F5"/>
    <w:rsid w:val="00DA00E4"/>
    <w:rsid w:val="00DC16CC"/>
    <w:rsid w:val="00DF7DA0"/>
    <w:rsid w:val="00E11C16"/>
    <w:rsid w:val="00E13B6F"/>
    <w:rsid w:val="00E33DC3"/>
    <w:rsid w:val="00E43CC5"/>
    <w:rsid w:val="00E5602B"/>
    <w:rsid w:val="00EA244E"/>
    <w:rsid w:val="00EB5D8C"/>
    <w:rsid w:val="00EC5BD4"/>
    <w:rsid w:val="00EE6D54"/>
    <w:rsid w:val="00EF4085"/>
    <w:rsid w:val="00EF71BB"/>
    <w:rsid w:val="00EF73D5"/>
    <w:rsid w:val="00F05300"/>
    <w:rsid w:val="00F10DFE"/>
    <w:rsid w:val="00F14E7B"/>
    <w:rsid w:val="00F356C1"/>
    <w:rsid w:val="00F51143"/>
    <w:rsid w:val="00F56763"/>
    <w:rsid w:val="00F60D12"/>
    <w:rsid w:val="00F70669"/>
    <w:rsid w:val="00F83337"/>
    <w:rsid w:val="00F90397"/>
    <w:rsid w:val="00FB084E"/>
    <w:rsid w:val="00FB0E82"/>
    <w:rsid w:val="00FD15F1"/>
    <w:rsid w:val="00FD163C"/>
    <w:rsid w:val="00FE3A8B"/>
    <w:rsid w:val="00FF0815"/>
    <w:rsid w:val="04504BAA"/>
    <w:rsid w:val="0ED449D7"/>
    <w:rsid w:val="0FC91F7B"/>
    <w:rsid w:val="1C231678"/>
    <w:rsid w:val="1EC247A0"/>
    <w:rsid w:val="1EF51889"/>
    <w:rsid w:val="2153366B"/>
    <w:rsid w:val="24DF476F"/>
    <w:rsid w:val="2ED91D66"/>
    <w:rsid w:val="34435158"/>
    <w:rsid w:val="34D954CB"/>
    <w:rsid w:val="35637F01"/>
    <w:rsid w:val="3A867BB1"/>
    <w:rsid w:val="4735544A"/>
    <w:rsid w:val="55CC454E"/>
    <w:rsid w:val="5F733461"/>
    <w:rsid w:val="62123A70"/>
    <w:rsid w:val="67677472"/>
    <w:rsid w:val="7202480D"/>
    <w:rsid w:val="74C44A1A"/>
    <w:rsid w:val="79AD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1F986D5"/>
  <w15:docId w15:val="{7A8F0085-007D-4F00-9316-7EB72E96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qFormat/>
    <w:pPr>
      <w:keepNext/>
      <w:tabs>
        <w:tab w:val="left" w:pos="1440"/>
      </w:tabs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rFonts w:eastAsia="仿宋_GB2312"/>
      <w:spacing w:val="24"/>
      <w:sz w:val="28"/>
      <w:szCs w:val="20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4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 Indent"/>
    <w:basedOn w:val="a"/>
    <w:qFormat/>
    <w:pPr>
      <w:spacing w:line="360" w:lineRule="auto"/>
      <w:ind w:firstLineChars="196" w:firstLine="470"/>
    </w:pPr>
    <w:rPr>
      <w:rFonts w:ascii="宋体" w:hAnsi="宋体"/>
      <w:sz w:val="24"/>
    </w:r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a9"/>
    <w:qFormat/>
    <w:rPr>
      <w:rFonts w:ascii="宋体" w:hAnsi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a">
    <w:name w:val="Date"/>
    <w:basedOn w:val="a"/>
    <w:next w:val="a"/>
    <w:link w:val="ab"/>
    <w:qFormat/>
    <w:pPr>
      <w:ind w:leftChars="2500" w:left="100"/>
    </w:pPr>
    <w:rPr>
      <w:rFonts w:ascii="Calibri" w:hAnsi="Calibri"/>
      <w:szCs w:val="22"/>
    </w:rPr>
  </w:style>
  <w:style w:type="paragraph" w:styleId="21">
    <w:name w:val="Body Text Indent 2"/>
    <w:basedOn w:val="a"/>
    <w:link w:val="22"/>
    <w:uiPriority w:val="99"/>
    <w:unhideWhenUsed/>
    <w:qFormat/>
    <w:pPr>
      <w:spacing w:after="120" w:line="480" w:lineRule="auto"/>
      <w:ind w:leftChars="200" w:left="420"/>
    </w:pPr>
  </w:style>
  <w:style w:type="paragraph" w:styleId="ac">
    <w:name w:val="Balloon Text"/>
    <w:basedOn w:val="a"/>
    <w:link w:val="ad"/>
    <w:qFormat/>
    <w:rPr>
      <w:rFonts w:ascii="Calibri" w:hAnsi="Calibri"/>
      <w:sz w:val="18"/>
      <w:szCs w:val="18"/>
    </w:rPr>
  </w:style>
  <w:style w:type="paragraph" w:styleId="ae">
    <w:name w:val="footer"/>
    <w:basedOn w:val="a"/>
    <w:link w:val="af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pPr>
      <w:tabs>
        <w:tab w:val="right" w:leader="dot" w:pos="8302"/>
      </w:tabs>
      <w:spacing w:before="120" w:after="120"/>
      <w:ind w:leftChars="300" w:left="630" w:rightChars="1000" w:right="2100"/>
      <w:jc w:val="center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"/>
    <w:next w:val="a"/>
    <w:qFormat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af2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3">
    <w:name w:val="annotation subject"/>
    <w:basedOn w:val="a5"/>
    <w:next w:val="a5"/>
    <w:link w:val="af4"/>
    <w:qFormat/>
  </w:style>
  <w:style w:type="character" w:styleId="af5">
    <w:name w:val="page number"/>
    <w:basedOn w:val="a1"/>
    <w:qFormat/>
  </w:style>
  <w:style w:type="character" w:styleId="af6">
    <w:name w:val="Hyperlink"/>
    <w:qFormat/>
    <w:rPr>
      <w:color w:val="000000"/>
      <w:u w:val="none"/>
    </w:rPr>
  </w:style>
  <w:style w:type="character" w:styleId="af7">
    <w:name w:val="annotation reference"/>
    <w:qFormat/>
    <w:rPr>
      <w:sz w:val="21"/>
      <w:szCs w:val="21"/>
    </w:rPr>
  </w:style>
  <w:style w:type="character" w:customStyle="1" w:styleId="a9">
    <w:name w:val="纯文本 字符"/>
    <w:link w:val="a8"/>
    <w:qFormat/>
    <w:rPr>
      <w:rFonts w:ascii="宋体" w:hAnsi="Courier New" w:cs="宋体"/>
      <w:kern w:val="2"/>
      <w:sz w:val="21"/>
      <w:szCs w:val="21"/>
    </w:rPr>
  </w:style>
  <w:style w:type="character" w:customStyle="1" w:styleId="20">
    <w:name w:val="标题 2 字符"/>
    <w:link w:val="2"/>
    <w:uiPriority w:val="9"/>
    <w:qFormat/>
    <w:rPr>
      <w:b/>
      <w:kern w:val="2"/>
      <w:sz w:val="21"/>
      <w:szCs w:val="24"/>
    </w:rPr>
  </w:style>
  <w:style w:type="character" w:customStyle="1" w:styleId="af4">
    <w:name w:val="批注主题 字符"/>
    <w:basedOn w:val="a6"/>
    <w:link w:val="af3"/>
    <w:qFormat/>
    <w:rPr>
      <w:kern w:val="2"/>
      <w:sz w:val="21"/>
      <w:szCs w:val="24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af">
    <w:name w:val="页脚 字符"/>
    <w:link w:val="ae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af1">
    <w:name w:val="页眉 字符"/>
    <w:link w:val="af0"/>
    <w:qFormat/>
    <w:rPr>
      <w:kern w:val="2"/>
      <w:sz w:val="18"/>
      <w:szCs w:val="18"/>
    </w:rPr>
  </w:style>
  <w:style w:type="character" w:customStyle="1" w:styleId="22">
    <w:name w:val="正文文本缩进 2 字符"/>
    <w:link w:val="21"/>
    <w:uiPriority w:val="99"/>
    <w:semiHidden/>
    <w:qFormat/>
    <w:rPr>
      <w:kern w:val="2"/>
      <w:sz w:val="21"/>
      <w:szCs w:val="24"/>
    </w:rPr>
  </w:style>
  <w:style w:type="character" w:customStyle="1" w:styleId="ab">
    <w:name w:val="日期 字符"/>
    <w:link w:val="aa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d">
    <w:name w:val="批注框文本 字符"/>
    <w:link w:val="ac"/>
    <w:qFormat/>
    <w:rPr>
      <w:rFonts w:ascii="Calibri" w:eastAsia="宋体" w:hAnsi="Calibri" w:cs="Times New Roman"/>
      <w:kern w:val="2"/>
      <w:sz w:val="18"/>
      <w:szCs w:val="18"/>
    </w:rPr>
  </w:style>
  <w:style w:type="paragraph" w:customStyle="1" w:styleId="font2">
    <w:name w:val="font2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har">
    <w:name w:val="Char"/>
    <w:basedOn w:val="a"/>
    <w:qFormat/>
    <w:pPr>
      <w:snapToGrid w:val="0"/>
      <w:spacing w:line="360" w:lineRule="auto"/>
    </w:pPr>
    <w:rPr>
      <w:rFonts w:ascii="宋体" w:hAnsi="宋体"/>
      <w:sz w:val="24"/>
    </w:rPr>
  </w:style>
  <w:style w:type="paragraph" w:customStyle="1" w:styleId="11">
    <w:name w:val="正文缩进1"/>
    <w:basedOn w:val="a"/>
    <w:qFormat/>
    <w:pPr>
      <w:ind w:firstLine="420"/>
    </w:pPr>
    <w:rPr>
      <w:rFonts w:eastAsia="仿宋_GB2312"/>
      <w:spacing w:val="24"/>
      <w:sz w:val="28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-11">
    <w:name w:val="彩色列表 - 强调文字颜色 1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f8">
    <w:name w:val="È¡ÀÊ¡ÎÄ¡À¾"/>
    <w:basedOn w:val="a"/>
    <w:qFormat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styleId="af9">
    <w:name w:val="List Paragraph"/>
    <w:basedOn w:val="a"/>
    <w:link w:val="afa"/>
    <w:uiPriority w:val="34"/>
    <w:qFormat/>
    <w:pPr>
      <w:ind w:firstLineChars="200" w:firstLine="420"/>
    </w:pPr>
  </w:style>
  <w:style w:type="character" w:customStyle="1" w:styleId="afa">
    <w:name w:val="列表段落 字符"/>
    <w:link w:val="af9"/>
    <w:uiPriority w:val="34"/>
    <w:qFormat/>
    <w:locked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B7568C-37D0-4C9C-9AA6-E6F624E40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1686</Characters>
  <Application>Microsoft Office Word</Application>
  <DocSecurity>0</DocSecurity>
  <Lines>14</Lines>
  <Paragraphs>3</Paragraphs>
  <ScaleCrop>false</ScaleCrop>
  <Company>Hewlett-Packard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M/CTI</dc:title>
  <dc:creator>hp</dc:creator>
  <cp:lastModifiedBy>cc</cp:lastModifiedBy>
  <cp:revision>5</cp:revision>
  <cp:lastPrinted>2022-01-26T07:27:00Z</cp:lastPrinted>
  <dcterms:created xsi:type="dcterms:W3CDTF">2022-03-14T02:05:00Z</dcterms:created>
  <dcterms:modified xsi:type="dcterms:W3CDTF">2025-08-29T01:57:00Z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C3D085AAA94244C0B7154F205971884C</vt:lpwstr>
  </property>
</Properties>
</file>