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234C" w:rsidRDefault="006A2D5B">
      <w:pPr>
        <w:tabs>
          <w:tab w:val="left" w:pos="3960"/>
        </w:tabs>
        <w:spacing w:beforeLines="100" w:before="312" w:afterLines="100" w:after="312"/>
        <w:ind w:rightChars="-50" w:right="-105"/>
        <w:rPr>
          <w:rFonts w:eastAsia="黑体"/>
          <w:b/>
          <w:w w:val="90"/>
          <w:kern w:val="0"/>
          <w:sz w:val="48"/>
          <w:szCs w:val="48"/>
        </w:rPr>
      </w:pPr>
      <w:r>
        <w:rPr>
          <w:noProof/>
        </w:rPr>
        <w:drawing>
          <wp:inline distT="0" distB="0" distL="114300" distR="114300">
            <wp:extent cx="1727835" cy="431800"/>
            <wp:effectExtent l="0" t="0" r="571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727835" cy="431800"/>
                    </a:xfrm>
                    <a:prstGeom prst="rect">
                      <a:avLst/>
                    </a:prstGeom>
                    <a:noFill/>
                    <a:ln>
                      <a:noFill/>
                    </a:ln>
                  </pic:spPr>
                </pic:pic>
              </a:graphicData>
            </a:graphic>
          </wp:inline>
        </w:drawing>
      </w:r>
    </w:p>
    <w:p w:rsidR="006A234C" w:rsidRDefault="006A2D5B">
      <w:pPr>
        <w:tabs>
          <w:tab w:val="left" w:pos="3960"/>
        </w:tabs>
        <w:adjustRightInd w:val="0"/>
        <w:snapToGrid w:val="0"/>
        <w:jc w:val="distribute"/>
        <w:rPr>
          <w:rFonts w:eastAsia="黑体"/>
          <w:b/>
          <w:spacing w:val="-30"/>
          <w:w w:val="90"/>
          <w:kern w:val="0"/>
          <w:sz w:val="48"/>
          <w:szCs w:val="48"/>
        </w:rPr>
      </w:pPr>
      <w:r>
        <w:rPr>
          <w:rFonts w:eastAsia="黑体"/>
          <w:b/>
          <w:w w:val="90"/>
          <w:kern w:val="0"/>
          <w:sz w:val="48"/>
          <w:szCs w:val="48"/>
        </w:rPr>
        <w:t>湖北天勤</w:t>
      </w:r>
      <w:proofErr w:type="gramStart"/>
      <w:r>
        <w:rPr>
          <w:rFonts w:eastAsia="黑体"/>
          <w:b/>
          <w:w w:val="90"/>
          <w:kern w:val="0"/>
          <w:sz w:val="48"/>
          <w:szCs w:val="48"/>
        </w:rPr>
        <w:t>鑫</w:t>
      </w:r>
      <w:proofErr w:type="gramEnd"/>
      <w:r>
        <w:rPr>
          <w:rFonts w:eastAsia="黑体"/>
          <w:b/>
          <w:w w:val="90"/>
          <w:kern w:val="0"/>
          <w:sz w:val="48"/>
          <w:szCs w:val="48"/>
        </w:rPr>
        <w:t>圣生物科技有限公司文</w:t>
      </w:r>
      <w:r>
        <w:rPr>
          <w:rFonts w:eastAsia="黑体"/>
          <w:b/>
          <w:spacing w:val="-30"/>
          <w:w w:val="90"/>
          <w:kern w:val="0"/>
          <w:sz w:val="48"/>
          <w:szCs w:val="48"/>
        </w:rPr>
        <w:t>件</w:t>
      </w:r>
    </w:p>
    <w:p w:rsidR="006A234C" w:rsidRDefault="006A2D5B">
      <w:pPr>
        <w:tabs>
          <w:tab w:val="left" w:pos="3960"/>
        </w:tabs>
        <w:wordWrap w:val="0"/>
        <w:adjustRightInd w:val="0"/>
        <w:snapToGrid w:val="0"/>
        <w:jc w:val="distribute"/>
        <w:outlineLvl w:val="1"/>
        <w:rPr>
          <w:rFonts w:eastAsia="黑体"/>
          <w:sz w:val="28"/>
        </w:rPr>
      </w:pPr>
      <w:bookmarkStart w:id="0" w:name="标准号"/>
      <w:r>
        <w:rPr>
          <w:kern w:val="0"/>
          <w:sz w:val="30"/>
          <w:szCs w:val="30"/>
        </w:rPr>
        <w:t>D</w:t>
      </w:r>
      <w:r>
        <w:rPr>
          <w:rFonts w:hint="eastAsia"/>
          <w:kern w:val="0"/>
          <w:sz w:val="30"/>
          <w:szCs w:val="30"/>
        </w:rPr>
        <w:t xml:space="preserve">ocument </w:t>
      </w:r>
      <w:r>
        <w:rPr>
          <w:kern w:val="0"/>
          <w:sz w:val="30"/>
          <w:szCs w:val="30"/>
        </w:rPr>
        <w:t>o</w:t>
      </w:r>
      <w:r>
        <w:rPr>
          <w:rFonts w:hint="eastAsia"/>
          <w:kern w:val="0"/>
          <w:sz w:val="30"/>
          <w:szCs w:val="30"/>
        </w:rPr>
        <w:t>f</w:t>
      </w:r>
      <w:r>
        <w:rPr>
          <w:kern w:val="0"/>
          <w:sz w:val="30"/>
          <w:szCs w:val="30"/>
        </w:rPr>
        <w:t xml:space="preserve"> Hubei </w:t>
      </w:r>
      <w:proofErr w:type="spellStart"/>
      <w:r>
        <w:rPr>
          <w:kern w:val="0"/>
          <w:sz w:val="30"/>
          <w:szCs w:val="30"/>
        </w:rPr>
        <w:t>Topgene</w:t>
      </w:r>
      <w:proofErr w:type="spellEnd"/>
      <w:r>
        <w:rPr>
          <w:kern w:val="0"/>
          <w:sz w:val="30"/>
          <w:szCs w:val="30"/>
        </w:rPr>
        <w:t xml:space="preserve"> </w:t>
      </w:r>
      <w:proofErr w:type="spellStart"/>
      <w:r>
        <w:rPr>
          <w:rFonts w:hint="eastAsia"/>
          <w:kern w:val="0"/>
          <w:sz w:val="30"/>
          <w:szCs w:val="30"/>
        </w:rPr>
        <w:t>Xinsheng</w:t>
      </w:r>
      <w:proofErr w:type="spellEnd"/>
      <w:r>
        <w:rPr>
          <w:kern w:val="0"/>
          <w:sz w:val="30"/>
          <w:szCs w:val="30"/>
        </w:rPr>
        <w:t xml:space="preserve"> </w:t>
      </w:r>
      <w:r>
        <w:rPr>
          <w:rFonts w:hint="eastAsia"/>
          <w:kern w:val="0"/>
          <w:sz w:val="30"/>
          <w:szCs w:val="30"/>
        </w:rPr>
        <w:t>Biot</w:t>
      </w:r>
      <w:r>
        <w:rPr>
          <w:kern w:val="0"/>
          <w:sz w:val="30"/>
          <w:szCs w:val="30"/>
        </w:rPr>
        <w:t xml:space="preserve">echnology </w:t>
      </w:r>
      <w:proofErr w:type="spellStart"/>
      <w:proofErr w:type="gramStart"/>
      <w:r>
        <w:rPr>
          <w:kern w:val="0"/>
          <w:sz w:val="30"/>
          <w:szCs w:val="30"/>
        </w:rPr>
        <w:t>Co.,Ltd</w:t>
      </w:r>
      <w:bookmarkEnd w:id="0"/>
      <w:proofErr w:type="spellEnd"/>
      <w:proofErr w:type="gramEnd"/>
    </w:p>
    <w:p w:rsidR="006A234C" w:rsidRDefault="006A2D5B">
      <w:pPr>
        <w:pBdr>
          <w:top w:val="none" w:sz="0" w:space="1" w:color="auto"/>
          <w:left w:val="none" w:sz="0" w:space="4" w:color="auto"/>
          <w:bottom w:val="single" w:sz="12" w:space="0" w:color="000000"/>
          <w:right w:val="none" w:sz="0" w:space="4" w:color="auto"/>
        </w:pBdr>
        <w:tabs>
          <w:tab w:val="left" w:pos="3960"/>
        </w:tabs>
        <w:wordWrap w:val="0"/>
        <w:spacing w:line="360" w:lineRule="auto"/>
        <w:jc w:val="right"/>
        <w:outlineLvl w:val="0"/>
        <w:rPr>
          <w:rFonts w:eastAsia="黑体"/>
          <w:sz w:val="28"/>
          <w:szCs w:val="28"/>
        </w:rPr>
      </w:pPr>
      <w:r>
        <w:rPr>
          <w:rFonts w:eastAsia="黑体" w:hint="eastAsia"/>
          <w:sz w:val="28"/>
          <w:szCs w:val="28"/>
          <w:lang w:eastAsia="zh-Hans"/>
        </w:rPr>
        <w:t>T</w:t>
      </w:r>
      <w:r>
        <w:rPr>
          <w:rFonts w:eastAsia="黑体" w:hint="eastAsia"/>
          <w:sz w:val="28"/>
          <w:szCs w:val="28"/>
        </w:rPr>
        <w:t>Q</w:t>
      </w:r>
      <w:r>
        <w:rPr>
          <w:rFonts w:eastAsia="黑体" w:hint="eastAsia"/>
          <w:sz w:val="28"/>
          <w:szCs w:val="28"/>
          <w:lang w:eastAsia="zh-Hans"/>
        </w:rPr>
        <w:t>XS</w:t>
      </w:r>
      <w:r>
        <w:rPr>
          <w:rFonts w:eastAsia="黑体" w:hint="eastAsia"/>
          <w:sz w:val="28"/>
          <w:szCs w:val="28"/>
        </w:rPr>
        <w:t>-</w:t>
      </w:r>
      <w:r>
        <w:rPr>
          <w:rFonts w:eastAsia="黑体"/>
          <w:sz w:val="28"/>
          <w:szCs w:val="28"/>
        </w:rPr>
        <w:t>SOP</w:t>
      </w:r>
      <w:r>
        <w:rPr>
          <w:rFonts w:eastAsia="黑体" w:hint="eastAsia"/>
          <w:sz w:val="28"/>
          <w:szCs w:val="28"/>
        </w:rPr>
        <w:t>-GEN-</w:t>
      </w:r>
      <w:r>
        <w:rPr>
          <w:rFonts w:eastAsia="黑体"/>
          <w:sz w:val="28"/>
          <w:szCs w:val="28"/>
        </w:rPr>
        <w:t>0</w:t>
      </w:r>
      <w:r>
        <w:rPr>
          <w:rFonts w:eastAsia="黑体" w:hint="eastAsia"/>
          <w:sz w:val="28"/>
          <w:szCs w:val="28"/>
        </w:rPr>
        <w:t>15</w:t>
      </w:r>
    </w:p>
    <w:p w:rsidR="006A234C" w:rsidRDefault="006A234C">
      <w:pPr>
        <w:jc w:val="center"/>
        <w:rPr>
          <w:rFonts w:eastAsia="黑体"/>
          <w:b/>
          <w:sz w:val="24"/>
        </w:rPr>
      </w:pPr>
    </w:p>
    <w:p w:rsidR="006A234C" w:rsidRDefault="006A234C">
      <w:pPr>
        <w:jc w:val="center"/>
        <w:rPr>
          <w:rFonts w:eastAsia="黑体"/>
          <w:b/>
          <w:sz w:val="24"/>
        </w:rPr>
      </w:pPr>
    </w:p>
    <w:p w:rsidR="006A234C" w:rsidRDefault="006A234C">
      <w:pPr>
        <w:jc w:val="center"/>
        <w:rPr>
          <w:rFonts w:eastAsia="黑体"/>
          <w:b/>
          <w:sz w:val="24"/>
        </w:rPr>
      </w:pPr>
    </w:p>
    <w:p w:rsidR="006A234C" w:rsidRDefault="006A2D5B">
      <w:pPr>
        <w:jc w:val="center"/>
        <w:rPr>
          <w:rFonts w:eastAsia="黑体"/>
          <w:b/>
          <w:sz w:val="52"/>
          <w:szCs w:val="52"/>
        </w:rPr>
      </w:pPr>
      <w:r>
        <w:rPr>
          <w:rFonts w:eastAsia="黑体"/>
          <w:b/>
          <w:sz w:val="52"/>
          <w:szCs w:val="52"/>
        </w:rPr>
        <w:t>计算机化系统风险管理</w:t>
      </w:r>
    </w:p>
    <w:p w:rsidR="006A234C" w:rsidRDefault="006A234C">
      <w:pPr>
        <w:jc w:val="center"/>
        <w:rPr>
          <w:rFonts w:eastAsia="黑体"/>
          <w:b/>
          <w:sz w:val="24"/>
        </w:rPr>
      </w:pPr>
    </w:p>
    <w:p w:rsidR="006A234C" w:rsidRDefault="006A234C">
      <w:pPr>
        <w:jc w:val="center"/>
        <w:rPr>
          <w:rFonts w:eastAsia="黑体"/>
          <w:b/>
          <w:sz w:val="24"/>
        </w:rPr>
      </w:pPr>
    </w:p>
    <w:p w:rsidR="006A234C" w:rsidRDefault="006A2D5B">
      <w:pPr>
        <w:jc w:val="center"/>
        <w:rPr>
          <w:rFonts w:ascii="黑体" w:eastAsia="黑体" w:hAnsi="黑体" w:cs="黑体"/>
          <w:sz w:val="32"/>
        </w:rPr>
      </w:pPr>
      <w:r>
        <w:rPr>
          <w:rFonts w:ascii="黑体" w:eastAsia="黑体" w:hAnsi="黑体" w:cs="黑体" w:hint="eastAsia"/>
          <w:sz w:val="32"/>
        </w:rPr>
        <w:t>保密等级：机密</w:t>
      </w:r>
    </w:p>
    <w:p w:rsidR="006A234C" w:rsidRDefault="006A2D5B">
      <w:pPr>
        <w:jc w:val="center"/>
        <w:rPr>
          <w:rStyle w:val="af9"/>
          <w:rFonts w:ascii="黑体" w:eastAsia="黑体" w:hAnsi="黑体" w:cs="黑体"/>
          <w:sz w:val="24"/>
          <w:szCs w:val="24"/>
        </w:rPr>
      </w:pPr>
      <w:r>
        <w:rPr>
          <w:rFonts w:ascii="黑体" w:eastAsia="黑体" w:hAnsi="黑体" w:cs="黑体" w:hint="eastAsia"/>
          <w:sz w:val="32"/>
        </w:rPr>
        <w:t>版本</w:t>
      </w:r>
      <w:r>
        <w:rPr>
          <w:rFonts w:ascii="黑体" w:eastAsia="黑体" w:hAnsi="黑体" w:cs="黑体" w:hint="eastAsia"/>
          <w:sz w:val="32"/>
        </w:rPr>
        <w:t>/</w:t>
      </w:r>
      <w:r>
        <w:rPr>
          <w:rFonts w:ascii="黑体" w:eastAsia="黑体" w:hAnsi="黑体" w:cs="黑体" w:hint="eastAsia"/>
          <w:sz w:val="32"/>
        </w:rPr>
        <w:t>版次：</w:t>
      </w:r>
      <w:r>
        <w:rPr>
          <w:rFonts w:ascii="黑体" w:eastAsia="黑体" w:hAnsi="黑体" w:cs="黑体" w:hint="eastAsia"/>
          <w:sz w:val="32"/>
        </w:rPr>
        <w:t>1</w:t>
      </w:r>
      <w:r>
        <w:rPr>
          <w:rFonts w:ascii="黑体" w:eastAsia="黑体" w:hAnsi="黑体" w:cs="黑体" w:hint="eastAsia"/>
          <w:sz w:val="32"/>
        </w:rPr>
        <w:t>.</w:t>
      </w:r>
      <w:r>
        <w:rPr>
          <w:rFonts w:ascii="黑体" w:eastAsia="黑体" w:hAnsi="黑体" w:cs="黑体" w:hint="eastAsia"/>
          <w:sz w:val="32"/>
        </w:rPr>
        <w:t>2</w:t>
      </w:r>
    </w:p>
    <w:p w:rsidR="006A234C" w:rsidRDefault="006A234C">
      <w:pPr>
        <w:rPr>
          <w:rFonts w:eastAsia="黑体"/>
          <w:sz w:val="24"/>
        </w:rPr>
      </w:pPr>
      <w:bookmarkStart w:id="1" w:name="_GoBack"/>
      <w:bookmarkEnd w:id="1"/>
    </w:p>
    <w:p w:rsidR="006A234C" w:rsidRDefault="006A2D5B">
      <w:pPr>
        <w:tabs>
          <w:tab w:val="left" w:pos="1260"/>
        </w:tabs>
        <w:adjustRightInd w:val="0"/>
        <w:snapToGrid w:val="0"/>
        <w:spacing w:beforeLines="50" w:before="156" w:afterLines="100" w:after="312"/>
        <w:jc w:val="center"/>
        <w:rPr>
          <w:rFonts w:eastAsia="黑体"/>
          <w:sz w:val="28"/>
          <w:szCs w:val="28"/>
        </w:rPr>
      </w:pPr>
      <w:r>
        <w:rPr>
          <w:rFonts w:eastAsia="黑体"/>
          <w:sz w:val="28"/>
          <w:szCs w:val="28"/>
        </w:rPr>
        <w:t>文件修订履历表</w:t>
      </w:r>
    </w:p>
    <w:tbl>
      <w:tblPr>
        <w:tblW w:w="0" w:type="auto"/>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5811"/>
        <w:gridCol w:w="1560"/>
      </w:tblGrid>
      <w:tr w:rsidR="006A234C">
        <w:trPr>
          <w:trHeight w:val="609"/>
        </w:trPr>
        <w:tc>
          <w:tcPr>
            <w:tcW w:w="754" w:type="dxa"/>
            <w:vAlign w:val="center"/>
          </w:tcPr>
          <w:p w:rsidR="006A234C" w:rsidRDefault="006A2D5B">
            <w:pPr>
              <w:snapToGrid w:val="0"/>
              <w:jc w:val="center"/>
              <w:rPr>
                <w:sz w:val="24"/>
              </w:rPr>
            </w:pPr>
            <w:r>
              <w:rPr>
                <w:sz w:val="24"/>
              </w:rPr>
              <w:t>版本</w:t>
            </w:r>
          </w:p>
        </w:tc>
        <w:tc>
          <w:tcPr>
            <w:tcW w:w="5811" w:type="dxa"/>
            <w:vAlign w:val="center"/>
          </w:tcPr>
          <w:p w:rsidR="006A234C" w:rsidRDefault="006A2D5B">
            <w:pPr>
              <w:spacing w:before="120"/>
              <w:jc w:val="center"/>
              <w:rPr>
                <w:sz w:val="24"/>
              </w:rPr>
            </w:pPr>
            <w:r>
              <w:rPr>
                <w:sz w:val="24"/>
              </w:rPr>
              <w:t>修订</w:t>
            </w:r>
            <w:r>
              <w:rPr>
                <w:sz w:val="24"/>
              </w:rPr>
              <w:t>说明</w:t>
            </w:r>
          </w:p>
        </w:tc>
        <w:tc>
          <w:tcPr>
            <w:tcW w:w="1560" w:type="dxa"/>
            <w:vAlign w:val="center"/>
          </w:tcPr>
          <w:p w:rsidR="006A234C" w:rsidRDefault="006A2D5B">
            <w:pPr>
              <w:spacing w:before="120"/>
              <w:jc w:val="center"/>
              <w:rPr>
                <w:sz w:val="24"/>
              </w:rPr>
            </w:pPr>
            <w:r>
              <w:rPr>
                <w:sz w:val="24"/>
              </w:rPr>
              <w:t>日期</w:t>
            </w:r>
          </w:p>
        </w:tc>
      </w:tr>
      <w:tr w:rsidR="006A234C">
        <w:trPr>
          <w:trHeight w:val="574"/>
        </w:trPr>
        <w:tc>
          <w:tcPr>
            <w:tcW w:w="754" w:type="dxa"/>
            <w:vAlign w:val="center"/>
          </w:tcPr>
          <w:p w:rsidR="006A234C" w:rsidRDefault="006A2D5B">
            <w:pPr>
              <w:tabs>
                <w:tab w:val="left" w:pos="238"/>
                <w:tab w:val="left" w:pos="476"/>
                <w:tab w:val="left" w:pos="728"/>
              </w:tabs>
              <w:spacing w:line="360" w:lineRule="auto"/>
              <w:jc w:val="center"/>
              <w:rPr>
                <w:sz w:val="24"/>
              </w:rPr>
            </w:pPr>
            <w:r>
              <w:rPr>
                <w:sz w:val="24"/>
              </w:rPr>
              <w:t>1.0</w:t>
            </w:r>
          </w:p>
        </w:tc>
        <w:tc>
          <w:tcPr>
            <w:tcW w:w="5811" w:type="dxa"/>
            <w:vAlign w:val="center"/>
          </w:tcPr>
          <w:p w:rsidR="006A234C" w:rsidRDefault="006A2D5B">
            <w:pPr>
              <w:tabs>
                <w:tab w:val="left" w:pos="238"/>
                <w:tab w:val="left" w:pos="476"/>
                <w:tab w:val="left" w:pos="728"/>
              </w:tabs>
              <w:spacing w:line="360" w:lineRule="auto"/>
              <w:jc w:val="left"/>
              <w:rPr>
                <w:sz w:val="24"/>
              </w:rPr>
            </w:pPr>
            <w:r>
              <w:rPr>
                <w:rFonts w:hint="eastAsia"/>
                <w:sz w:val="24"/>
              </w:rPr>
              <w:t>无</w:t>
            </w:r>
          </w:p>
        </w:tc>
        <w:tc>
          <w:tcPr>
            <w:tcW w:w="1560" w:type="dxa"/>
            <w:vAlign w:val="center"/>
          </w:tcPr>
          <w:p w:rsidR="006A234C" w:rsidRDefault="006A2D5B">
            <w:pPr>
              <w:tabs>
                <w:tab w:val="left" w:pos="238"/>
                <w:tab w:val="left" w:pos="476"/>
                <w:tab w:val="left" w:pos="728"/>
              </w:tabs>
              <w:spacing w:line="360" w:lineRule="auto"/>
              <w:jc w:val="center"/>
              <w:rPr>
                <w:sz w:val="24"/>
              </w:rPr>
            </w:pPr>
            <w:r>
              <w:rPr>
                <w:rFonts w:hint="eastAsia"/>
                <w:sz w:val="24"/>
              </w:rPr>
              <w:t>2022.08.17</w:t>
            </w:r>
          </w:p>
        </w:tc>
      </w:tr>
      <w:tr w:rsidR="006A234C">
        <w:trPr>
          <w:trHeight w:val="574"/>
        </w:trPr>
        <w:tc>
          <w:tcPr>
            <w:tcW w:w="754" w:type="dxa"/>
            <w:vAlign w:val="center"/>
          </w:tcPr>
          <w:p w:rsidR="006A234C" w:rsidRDefault="006A2D5B">
            <w:pPr>
              <w:tabs>
                <w:tab w:val="left" w:pos="238"/>
                <w:tab w:val="left" w:pos="476"/>
                <w:tab w:val="left" w:pos="728"/>
              </w:tabs>
              <w:spacing w:line="360" w:lineRule="auto"/>
              <w:jc w:val="center"/>
              <w:rPr>
                <w:sz w:val="24"/>
              </w:rPr>
            </w:pPr>
            <w:r>
              <w:rPr>
                <w:rFonts w:hint="eastAsia"/>
                <w:sz w:val="24"/>
              </w:rPr>
              <w:t>1.1</w:t>
            </w:r>
          </w:p>
        </w:tc>
        <w:tc>
          <w:tcPr>
            <w:tcW w:w="5811" w:type="dxa"/>
            <w:vAlign w:val="center"/>
          </w:tcPr>
          <w:p w:rsidR="006A234C" w:rsidRDefault="006A2D5B">
            <w:pPr>
              <w:tabs>
                <w:tab w:val="left" w:pos="238"/>
                <w:tab w:val="left" w:pos="476"/>
                <w:tab w:val="left" w:pos="728"/>
              </w:tabs>
              <w:spacing w:line="360" w:lineRule="auto"/>
              <w:jc w:val="left"/>
              <w:rPr>
                <w:sz w:val="24"/>
              </w:rPr>
            </w:pPr>
            <w:r>
              <w:rPr>
                <w:rFonts w:eastAsiaTheme="minorEastAsia" w:hint="eastAsia"/>
                <w:sz w:val="24"/>
              </w:rPr>
              <w:t>修</w:t>
            </w:r>
            <w:r>
              <w:rPr>
                <w:rFonts w:eastAsiaTheme="minorEastAsia" w:hint="eastAsia"/>
                <w:sz w:val="24"/>
              </w:rPr>
              <w:t>订</w:t>
            </w:r>
            <w:r>
              <w:rPr>
                <w:rFonts w:eastAsiaTheme="minorEastAsia" w:hint="eastAsia"/>
                <w:sz w:val="24"/>
              </w:rPr>
              <w:t>公司</w:t>
            </w:r>
            <w:r>
              <w:rPr>
                <w:rFonts w:eastAsiaTheme="minorEastAsia" w:hint="eastAsia"/>
                <w:sz w:val="24"/>
              </w:rPr>
              <w:t>Logo</w:t>
            </w:r>
            <w:r>
              <w:rPr>
                <w:rFonts w:eastAsiaTheme="minorEastAsia" w:hint="eastAsia"/>
                <w:sz w:val="24"/>
              </w:rPr>
              <w:t>及公司英文名称。</w:t>
            </w:r>
          </w:p>
        </w:tc>
        <w:tc>
          <w:tcPr>
            <w:tcW w:w="1560" w:type="dxa"/>
            <w:vAlign w:val="center"/>
          </w:tcPr>
          <w:p w:rsidR="006A234C" w:rsidRDefault="006A2D5B">
            <w:pPr>
              <w:tabs>
                <w:tab w:val="left" w:pos="238"/>
                <w:tab w:val="left" w:pos="476"/>
                <w:tab w:val="left" w:pos="728"/>
              </w:tabs>
              <w:spacing w:line="360" w:lineRule="auto"/>
              <w:jc w:val="center"/>
              <w:rPr>
                <w:sz w:val="24"/>
              </w:rPr>
            </w:pPr>
            <w:r>
              <w:rPr>
                <w:rFonts w:hint="eastAsia"/>
                <w:sz w:val="24"/>
              </w:rPr>
              <w:t>2022.10.14</w:t>
            </w:r>
          </w:p>
        </w:tc>
      </w:tr>
      <w:tr w:rsidR="006A234C">
        <w:trPr>
          <w:trHeight w:val="574"/>
        </w:trPr>
        <w:tc>
          <w:tcPr>
            <w:tcW w:w="754" w:type="dxa"/>
            <w:vAlign w:val="center"/>
          </w:tcPr>
          <w:p w:rsidR="006A234C" w:rsidRDefault="006A2D5B">
            <w:pPr>
              <w:tabs>
                <w:tab w:val="left" w:pos="238"/>
                <w:tab w:val="left" w:pos="476"/>
                <w:tab w:val="left" w:pos="728"/>
              </w:tabs>
              <w:spacing w:line="360" w:lineRule="auto"/>
              <w:jc w:val="center"/>
              <w:rPr>
                <w:sz w:val="24"/>
              </w:rPr>
            </w:pPr>
            <w:r>
              <w:rPr>
                <w:rFonts w:hint="eastAsia"/>
                <w:sz w:val="24"/>
              </w:rPr>
              <w:t>1.2</w:t>
            </w:r>
          </w:p>
        </w:tc>
        <w:tc>
          <w:tcPr>
            <w:tcW w:w="5811" w:type="dxa"/>
            <w:vAlign w:val="center"/>
          </w:tcPr>
          <w:p w:rsidR="006A234C" w:rsidRDefault="006A2D5B">
            <w:pPr>
              <w:tabs>
                <w:tab w:val="left" w:pos="238"/>
                <w:tab w:val="left" w:pos="476"/>
                <w:tab w:val="left" w:pos="728"/>
              </w:tabs>
              <w:spacing w:line="360" w:lineRule="auto"/>
              <w:jc w:val="left"/>
              <w:rPr>
                <w:rFonts w:eastAsiaTheme="minorEastAsia"/>
                <w:sz w:val="24"/>
              </w:rPr>
            </w:pPr>
            <w:r>
              <w:rPr>
                <w:rFonts w:eastAsiaTheme="minorEastAsia" w:hint="eastAsia"/>
                <w:sz w:val="24"/>
              </w:rPr>
              <w:t>修订计算机化系统风险管理。</w:t>
            </w:r>
          </w:p>
        </w:tc>
        <w:tc>
          <w:tcPr>
            <w:tcW w:w="1560" w:type="dxa"/>
            <w:vAlign w:val="center"/>
          </w:tcPr>
          <w:p w:rsidR="006A234C" w:rsidRDefault="006A234C">
            <w:pPr>
              <w:tabs>
                <w:tab w:val="left" w:pos="238"/>
                <w:tab w:val="left" w:pos="476"/>
                <w:tab w:val="left" w:pos="728"/>
              </w:tabs>
              <w:spacing w:line="360" w:lineRule="auto"/>
              <w:jc w:val="center"/>
              <w:rPr>
                <w:sz w:val="24"/>
              </w:rPr>
            </w:pPr>
          </w:p>
        </w:tc>
      </w:tr>
    </w:tbl>
    <w:p w:rsidR="006A234C" w:rsidRDefault="006A234C">
      <w:pPr>
        <w:tabs>
          <w:tab w:val="left" w:pos="1260"/>
        </w:tabs>
        <w:rPr>
          <w:b/>
          <w:sz w:val="24"/>
        </w:rPr>
        <w:sectPr w:rsidR="006A234C">
          <w:headerReference w:type="even" r:id="rId10"/>
          <w:headerReference w:type="default" r:id="rId11"/>
          <w:footerReference w:type="even" r:id="rId12"/>
          <w:footerReference w:type="default" r:id="rId13"/>
          <w:headerReference w:type="first" r:id="rId14"/>
          <w:footerReference w:type="first" r:id="rId15"/>
          <w:pgSz w:w="11906" w:h="16838"/>
          <w:pgMar w:top="1077" w:right="1417" w:bottom="1077" w:left="1418" w:header="851" w:footer="992" w:gutter="567"/>
          <w:cols w:space="720"/>
          <w:titlePg/>
          <w:docGrid w:type="linesAndChars" w:linePitch="312"/>
        </w:sectPr>
      </w:pPr>
    </w:p>
    <w:p w:rsidR="006A234C" w:rsidRDefault="006A2D5B">
      <w:pPr>
        <w:tabs>
          <w:tab w:val="left" w:pos="945"/>
        </w:tabs>
        <w:spacing w:line="360" w:lineRule="auto"/>
        <w:contextualSpacing/>
        <w:jc w:val="left"/>
        <w:rPr>
          <w:b/>
          <w:bCs/>
          <w:sz w:val="24"/>
        </w:rPr>
      </w:pPr>
      <w:r>
        <w:rPr>
          <w:rStyle w:val="10"/>
          <w:rFonts w:ascii="Times New Roman" w:hAnsi="Times New Roman"/>
          <w:sz w:val="24"/>
          <w:szCs w:val="16"/>
        </w:rPr>
        <w:lastRenderedPageBreak/>
        <w:t>1</w:t>
      </w:r>
      <w:r>
        <w:rPr>
          <w:rStyle w:val="10"/>
          <w:rFonts w:ascii="Times New Roman" w:hAnsi="Times New Roman"/>
          <w:sz w:val="24"/>
          <w:szCs w:val="24"/>
        </w:rPr>
        <w:t xml:space="preserve"> </w:t>
      </w:r>
      <w:r>
        <w:rPr>
          <w:rFonts w:hint="eastAsia"/>
          <w:b/>
          <w:bCs/>
          <w:sz w:val="24"/>
        </w:rPr>
        <w:t>目的</w:t>
      </w:r>
      <w:r>
        <w:rPr>
          <w:b/>
          <w:bCs/>
          <w:sz w:val="24"/>
        </w:rPr>
        <w:t xml:space="preserve"> </w:t>
      </w:r>
    </w:p>
    <w:p w:rsidR="006A234C" w:rsidRDefault="006A2D5B">
      <w:pPr>
        <w:tabs>
          <w:tab w:val="left" w:pos="945"/>
        </w:tabs>
        <w:spacing w:line="360" w:lineRule="auto"/>
        <w:ind w:firstLineChars="200" w:firstLine="480"/>
        <w:contextualSpacing/>
        <w:rPr>
          <w:sz w:val="24"/>
        </w:rPr>
      </w:pPr>
      <w:bookmarkStart w:id="2" w:name="OLE_LINK20"/>
      <w:bookmarkStart w:id="3" w:name="OLE_LINK19"/>
      <w:r>
        <w:rPr>
          <w:rFonts w:hint="eastAsia"/>
          <w:sz w:val="24"/>
          <w:shd w:val="clear" w:color="auto" w:fill="FFFFFF"/>
        </w:rPr>
        <w:t>为规范与指导机构计算机化系统的风险管理程序、统一风险管理标准，以确保数据的完整性和结果的准确性，而制订本</w:t>
      </w:r>
      <w:r>
        <w:rPr>
          <w:rFonts w:hint="eastAsia"/>
          <w:sz w:val="24"/>
          <w:shd w:val="clear" w:color="auto" w:fill="FFFFFF"/>
        </w:rPr>
        <w:t>SOP</w:t>
      </w:r>
      <w:r>
        <w:rPr>
          <w:rFonts w:hint="eastAsia"/>
          <w:sz w:val="24"/>
          <w:shd w:val="clear" w:color="auto" w:fill="FFFFFF"/>
        </w:rPr>
        <w:t>。</w:t>
      </w:r>
    </w:p>
    <w:p w:rsidR="006A234C" w:rsidRDefault="006A234C">
      <w:pPr>
        <w:tabs>
          <w:tab w:val="left" w:pos="945"/>
        </w:tabs>
        <w:spacing w:line="360" w:lineRule="auto"/>
        <w:ind w:firstLineChars="200" w:firstLine="480"/>
        <w:contextualSpacing/>
        <w:rPr>
          <w:sz w:val="24"/>
        </w:rPr>
      </w:pPr>
    </w:p>
    <w:bookmarkEnd w:id="2"/>
    <w:bookmarkEnd w:id="3"/>
    <w:p w:rsidR="006A234C" w:rsidRDefault="006A2D5B">
      <w:pPr>
        <w:spacing w:line="360" w:lineRule="auto"/>
        <w:contextualSpacing/>
        <w:jc w:val="left"/>
        <w:rPr>
          <w:rStyle w:val="10"/>
          <w:rFonts w:ascii="Times New Roman" w:hAnsi="Times New Roman"/>
          <w:sz w:val="24"/>
          <w:szCs w:val="8"/>
        </w:rPr>
      </w:pPr>
      <w:r>
        <w:rPr>
          <w:rStyle w:val="10"/>
          <w:rFonts w:ascii="Times New Roman" w:hAnsi="Times New Roman"/>
          <w:sz w:val="24"/>
          <w:szCs w:val="8"/>
        </w:rPr>
        <w:t>2</w:t>
      </w:r>
      <w:r>
        <w:rPr>
          <w:rStyle w:val="10"/>
          <w:rFonts w:ascii="Times New Roman" w:hAnsi="Times New Roman"/>
          <w:sz w:val="24"/>
          <w:szCs w:val="8"/>
        </w:rPr>
        <w:t xml:space="preserve"> </w:t>
      </w:r>
      <w:r>
        <w:rPr>
          <w:rStyle w:val="10"/>
          <w:rFonts w:ascii="Times New Roman" w:hAnsi="Times New Roman"/>
          <w:sz w:val="24"/>
          <w:szCs w:val="8"/>
        </w:rPr>
        <w:t>适用范围及人员职责</w:t>
      </w:r>
      <w:r>
        <w:rPr>
          <w:rStyle w:val="10"/>
          <w:rFonts w:ascii="Times New Roman" w:hAnsi="Times New Roman"/>
          <w:sz w:val="24"/>
          <w:szCs w:val="8"/>
        </w:rPr>
        <w:t xml:space="preserve"> </w:t>
      </w:r>
    </w:p>
    <w:p w:rsidR="006A234C" w:rsidRDefault="006A2D5B">
      <w:pPr>
        <w:tabs>
          <w:tab w:val="left" w:pos="945"/>
        </w:tabs>
        <w:spacing w:line="360" w:lineRule="auto"/>
        <w:ind w:firstLineChars="200" w:firstLine="480"/>
        <w:contextualSpacing/>
        <w:rPr>
          <w:sz w:val="24"/>
          <w:shd w:val="clear" w:color="auto" w:fill="FFFFFF"/>
        </w:rPr>
      </w:pPr>
      <w:r>
        <w:rPr>
          <w:rFonts w:hint="eastAsia"/>
          <w:sz w:val="24"/>
          <w:shd w:val="clear" w:color="auto" w:fill="FFFFFF"/>
        </w:rPr>
        <w:t>本文件适用于本机构部署的，带有法规使用目的的计算机化系统和系统的管理和使用人员，参与此工作人员应该阅读、理解并遵守本规程。</w:t>
      </w:r>
    </w:p>
    <w:p w:rsidR="006A234C" w:rsidRDefault="006A2D5B">
      <w:pPr>
        <w:tabs>
          <w:tab w:val="left" w:pos="945"/>
        </w:tabs>
        <w:spacing w:line="360" w:lineRule="auto"/>
        <w:ind w:firstLineChars="200" w:firstLine="480"/>
        <w:contextualSpacing/>
        <w:rPr>
          <w:sz w:val="24"/>
          <w:shd w:val="clear" w:color="auto" w:fill="FFFFFF"/>
        </w:rPr>
      </w:pPr>
      <w:r>
        <w:rPr>
          <w:rFonts w:hint="eastAsia"/>
          <w:sz w:val="24"/>
          <w:shd w:val="clear" w:color="auto" w:fill="FFFFFF"/>
        </w:rPr>
        <w:t>质量保证人员职责：从合</w:t>
      </w:r>
      <w:proofErr w:type="gramStart"/>
      <w:r>
        <w:rPr>
          <w:rFonts w:hint="eastAsia"/>
          <w:sz w:val="24"/>
          <w:shd w:val="clear" w:color="auto" w:fill="FFFFFF"/>
        </w:rPr>
        <w:t>规</w:t>
      </w:r>
      <w:proofErr w:type="gramEnd"/>
      <w:r>
        <w:rPr>
          <w:rFonts w:hint="eastAsia"/>
          <w:sz w:val="24"/>
          <w:shd w:val="clear" w:color="auto" w:fill="FFFFFF"/>
        </w:rPr>
        <w:t>角度参与风险评估，确保合规方面的风险因素在风险评估过程中得到强调，审核风险评估结果。</w:t>
      </w:r>
    </w:p>
    <w:p w:rsidR="006A234C" w:rsidRDefault="006A2D5B">
      <w:pPr>
        <w:tabs>
          <w:tab w:val="left" w:pos="945"/>
        </w:tabs>
        <w:spacing w:line="360" w:lineRule="auto"/>
        <w:ind w:firstLineChars="200" w:firstLine="480"/>
        <w:contextualSpacing/>
        <w:rPr>
          <w:sz w:val="24"/>
          <w:shd w:val="clear" w:color="auto" w:fill="FFFFFF"/>
        </w:rPr>
      </w:pPr>
      <w:r>
        <w:rPr>
          <w:rFonts w:hint="eastAsia"/>
          <w:sz w:val="24"/>
          <w:shd w:val="clear" w:color="auto" w:fill="FFFFFF"/>
        </w:rPr>
        <w:t>系统管理员：识别、分析并评估有可能对数据完整性和试验结果准确性产生影响的风险</w:t>
      </w:r>
      <w:r>
        <w:rPr>
          <w:rFonts w:hint="eastAsia"/>
          <w:sz w:val="24"/>
          <w:shd w:val="clear" w:color="auto" w:fill="FFFFFF"/>
        </w:rPr>
        <w:t>；</w:t>
      </w:r>
      <w:r>
        <w:rPr>
          <w:rFonts w:hint="eastAsia"/>
          <w:sz w:val="24"/>
          <w:shd w:val="clear" w:color="auto" w:fill="FFFFFF"/>
        </w:rPr>
        <w:t>协助</w:t>
      </w:r>
      <w:r>
        <w:rPr>
          <w:rFonts w:hint="eastAsia"/>
          <w:sz w:val="24"/>
          <w:shd w:val="clear" w:color="auto" w:fill="FFFFFF"/>
        </w:rPr>
        <w:t>制定</w:t>
      </w:r>
      <w:r>
        <w:rPr>
          <w:rFonts w:hint="eastAsia"/>
          <w:sz w:val="24"/>
          <w:shd w:val="clear" w:color="auto" w:fill="FFFFFF"/>
        </w:rPr>
        <w:t>风险减轻和</w:t>
      </w:r>
      <w:r>
        <w:rPr>
          <w:rFonts w:hint="eastAsia"/>
          <w:sz w:val="24"/>
          <w:shd w:val="clear" w:color="auto" w:fill="FFFFFF"/>
        </w:rPr>
        <w:t>控制措施</w:t>
      </w:r>
      <w:r>
        <w:rPr>
          <w:rFonts w:hint="eastAsia"/>
          <w:sz w:val="24"/>
          <w:shd w:val="clear" w:color="auto" w:fill="FFFFFF"/>
        </w:rPr>
        <w:t>。</w:t>
      </w:r>
    </w:p>
    <w:p w:rsidR="006A234C" w:rsidRDefault="006A2D5B">
      <w:pPr>
        <w:tabs>
          <w:tab w:val="left" w:pos="945"/>
        </w:tabs>
        <w:spacing w:line="360" w:lineRule="auto"/>
        <w:ind w:firstLineChars="200" w:firstLine="480"/>
        <w:contextualSpacing/>
        <w:rPr>
          <w:sz w:val="24"/>
          <w:shd w:val="clear" w:color="auto" w:fill="FFFFFF"/>
        </w:rPr>
      </w:pPr>
      <w:r>
        <w:rPr>
          <w:rFonts w:hint="eastAsia"/>
          <w:sz w:val="24"/>
          <w:shd w:val="clear" w:color="auto" w:fill="FFFFFF"/>
        </w:rPr>
        <w:t>系统所有者：负责成立风险评估小组和确定小组成员</w:t>
      </w:r>
      <w:r>
        <w:rPr>
          <w:rFonts w:hint="eastAsia"/>
          <w:sz w:val="24"/>
          <w:shd w:val="clear" w:color="auto" w:fill="FFFFFF"/>
        </w:rPr>
        <w:t>，</w:t>
      </w:r>
      <w:r>
        <w:rPr>
          <w:rFonts w:hint="eastAsia"/>
          <w:sz w:val="24"/>
          <w:shd w:val="clear" w:color="auto" w:fill="FFFFFF"/>
        </w:rPr>
        <w:t>审核并批准风险评估结果。</w:t>
      </w:r>
    </w:p>
    <w:p w:rsidR="006A234C" w:rsidRDefault="006A234C">
      <w:pPr>
        <w:tabs>
          <w:tab w:val="left" w:pos="945"/>
        </w:tabs>
        <w:spacing w:line="360" w:lineRule="auto"/>
        <w:contextualSpacing/>
        <w:rPr>
          <w:sz w:val="24"/>
          <w:shd w:val="clear" w:color="auto" w:fill="FFFFFF"/>
        </w:rPr>
      </w:pPr>
    </w:p>
    <w:p w:rsidR="006A234C" w:rsidRDefault="006A2D5B">
      <w:pPr>
        <w:tabs>
          <w:tab w:val="left" w:pos="945"/>
        </w:tabs>
        <w:spacing w:line="360" w:lineRule="auto"/>
        <w:contextualSpacing/>
        <w:jc w:val="left"/>
        <w:rPr>
          <w:b/>
          <w:bCs/>
          <w:sz w:val="24"/>
        </w:rPr>
      </w:pPr>
      <w:r>
        <w:rPr>
          <w:b/>
          <w:bCs/>
          <w:sz w:val="24"/>
        </w:rPr>
        <w:t xml:space="preserve">3 </w:t>
      </w:r>
      <w:r>
        <w:rPr>
          <w:rFonts w:hint="eastAsia"/>
          <w:b/>
          <w:bCs/>
          <w:sz w:val="24"/>
        </w:rPr>
        <w:t>用语说明</w:t>
      </w:r>
      <w:r>
        <w:rPr>
          <w:b/>
          <w:bCs/>
          <w:sz w:val="24"/>
        </w:rPr>
        <w:t xml:space="preserve"> </w:t>
      </w:r>
    </w:p>
    <w:p w:rsidR="006A234C" w:rsidRDefault="006A2D5B">
      <w:pPr>
        <w:tabs>
          <w:tab w:val="left" w:pos="945"/>
        </w:tabs>
        <w:spacing w:line="360" w:lineRule="auto"/>
        <w:contextualSpacing/>
        <w:jc w:val="left"/>
        <w:rPr>
          <w:sz w:val="24"/>
          <w:shd w:val="clear" w:color="auto" w:fill="FFFFFF"/>
        </w:rPr>
      </w:pPr>
      <w:r>
        <w:rPr>
          <w:rFonts w:hint="eastAsia"/>
          <w:sz w:val="24"/>
          <w:shd w:val="clear" w:color="auto" w:fill="FFFFFF"/>
        </w:rPr>
        <w:t>（</w:t>
      </w:r>
      <w:r>
        <w:rPr>
          <w:sz w:val="24"/>
          <w:shd w:val="clear" w:color="auto" w:fill="FFFFFF"/>
        </w:rPr>
        <w:t>1</w:t>
      </w:r>
      <w:r>
        <w:rPr>
          <w:rFonts w:hint="eastAsia"/>
          <w:sz w:val="24"/>
          <w:shd w:val="clear" w:color="auto" w:fill="FFFFFF"/>
        </w:rPr>
        <w:t>）风险：风险是对意外影响的严重程度和可能性的度量。通常被认为是危害发生</w:t>
      </w:r>
      <w:r>
        <w:rPr>
          <w:rFonts w:hint="eastAsia"/>
          <w:sz w:val="24"/>
          <w:shd w:val="clear" w:color="auto" w:fill="FFFFFF"/>
        </w:rPr>
        <w:t>机</w:t>
      </w:r>
      <w:r>
        <w:rPr>
          <w:rFonts w:hint="eastAsia"/>
          <w:sz w:val="24"/>
          <w:shd w:val="clear" w:color="auto" w:fill="FFFFFF"/>
        </w:rPr>
        <w:t>率和危害严重程度的组合。</w:t>
      </w:r>
      <w:r>
        <w:rPr>
          <w:sz w:val="24"/>
          <w:shd w:val="clear" w:color="auto" w:fill="FFFFFF"/>
        </w:rPr>
        <w:t xml:space="preserve"> </w:t>
      </w:r>
    </w:p>
    <w:p w:rsidR="006A234C" w:rsidRDefault="006A2D5B">
      <w:pPr>
        <w:tabs>
          <w:tab w:val="left" w:pos="945"/>
        </w:tabs>
        <w:spacing w:line="360" w:lineRule="auto"/>
        <w:contextualSpacing/>
        <w:jc w:val="left"/>
        <w:rPr>
          <w:sz w:val="24"/>
          <w:shd w:val="clear" w:color="auto" w:fill="FFFFFF"/>
        </w:rPr>
      </w:pPr>
      <w:r>
        <w:rPr>
          <w:rFonts w:hint="eastAsia"/>
          <w:sz w:val="24"/>
          <w:shd w:val="clear" w:color="auto" w:fill="FFFFFF"/>
        </w:rPr>
        <w:t>（</w:t>
      </w:r>
      <w:r>
        <w:rPr>
          <w:rFonts w:hint="eastAsia"/>
          <w:sz w:val="24"/>
          <w:shd w:val="clear" w:color="auto" w:fill="FFFFFF"/>
        </w:rPr>
        <w:t>2</w:t>
      </w:r>
      <w:r>
        <w:rPr>
          <w:rFonts w:hint="eastAsia"/>
          <w:sz w:val="24"/>
          <w:shd w:val="clear" w:color="auto" w:fill="FFFFFF"/>
        </w:rPr>
        <w:t>）风险识别：关于风险怀疑或问题描述的危害识别的信息的一种系统性使用。这些信息可以包括历史数据、理论分析、专业观点和利害关系人的考虑。</w:t>
      </w:r>
    </w:p>
    <w:p w:rsidR="006A234C" w:rsidRDefault="006A2D5B">
      <w:pPr>
        <w:tabs>
          <w:tab w:val="left" w:pos="945"/>
        </w:tabs>
        <w:spacing w:line="360" w:lineRule="auto"/>
        <w:contextualSpacing/>
        <w:jc w:val="left"/>
        <w:rPr>
          <w:sz w:val="24"/>
          <w:shd w:val="clear" w:color="auto" w:fill="FFFFFF"/>
        </w:rPr>
      </w:pPr>
      <w:r>
        <w:rPr>
          <w:rFonts w:hint="eastAsia"/>
          <w:sz w:val="24"/>
          <w:shd w:val="clear" w:color="auto" w:fill="FFFFFF"/>
        </w:rPr>
        <w:t>（</w:t>
      </w:r>
      <w:r>
        <w:rPr>
          <w:rFonts w:hint="eastAsia"/>
          <w:sz w:val="24"/>
          <w:shd w:val="clear" w:color="auto" w:fill="FFFFFF"/>
        </w:rPr>
        <w:t>3</w:t>
      </w:r>
      <w:r>
        <w:rPr>
          <w:rFonts w:hint="eastAsia"/>
          <w:sz w:val="24"/>
          <w:shd w:val="clear" w:color="auto" w:fill="FFFFFF"/>
        </w:rPr>
        <w:t>）</w:t>
      </w:r>
      <w:r>
        <w:rPr>
          <w:rFonts w:hint="eastAsia"/>
          <w:sz w:val="24"/>
          <w:shd w:val="clear" w:color="auto" w:fill="FFFFFF"/>
        </w:rPr>
        <w:t>风险评估：风险评估由危害识别和这些危害暴露相关的风险分析和评价组成。</w:t>
      </w:r>
    </w:p>
    <w:p w:rsidR="006A234C" w:rsidRDefault="006A2D5B">
      <w:pPr>
        <w:tabs>
          <w:tab w:val="left" w:pos="945"/>
        </w:tabs>
        <w:spacing w:line="360" w:lineRule="auto"/>
        <w:contextualSpacing/>
        <w:jc w:val="left"/>
        <w:rPr>
          <w:sz w:val="24"/>
          <w:shd w:val="clear" w:color="auto" w:fill="FFFFFF"/>
        </w:rPr>
      </w:pPr>
      <w:r>
        <w:rPr>
          <w:rFonts w:hint="eastAsia"/>
          <w:sz w:val="24"/>
          <w:shd w:val="clear" w:color="auto" w:fill="FFFFFF"/>
        </w:rPr>
        <w:t>（</w:t>
      </w:r>
      <w:r>
        <w:rPr>
          <w:rFonts w:hint="eastAsia"/>
          <w:sz w:val="24"/>
          <w:shd w:val="clear" w:color="auto" w:fill="FFFFFF"/>
        </w:rPr>
        <w:t>4</w:t>
      </w:r>
      <w:r>
        <w:rPr>
          <w:rFonts w:hint="eastAsia"/>
          <w:sz w:val="24"/>
          <w:shd w:val="clear" w:color="auto" w:fill="FFFFFF"/>
        </w:rPr>
        <w:t>）</w:t>
      </w:r>
      <w:r>
        <w:rPr>
          <w:rFonts w:hint="eastAsia"/>
          <w:sz w:val="24"/>
          <w:shd w:val="clear" w:color="auto" w:fill="FFFFFF"/>
        </w:rPr>
        <w:t>风险控制：从达成决定到实施保全措施来降低风险或保持风险至规定程度的过程。</w:t>
      </w:r>
    </w:p>
    <w:p w:rsidR="006A234C" w:rsidRDefault="006A2D5B">
      <w:pPr>
        <w:tabs>
          <w:tab w:val="left" w:pos="945"/>
        </w:tabs>
        <w:spacing w:line="360" w:lineRule="auto"/>
        <w:contextualSpacing/>
        <w:jc w:val="left"/>
        <w:rPr>
          <w:sz w:val="24"/>
          <w:shd w:val="clear" w:color="auto" w:fill="FFFFFF"/>
        </w:rPr>
      </w:pPr>
      <w:r>
        <w:rPr>
          <w:rFonts w:hint="eastAsia"/>
          <w:sz w:val="24"/>
          <w:shd w:val="clear" w:color="auto" w:fill="FFFFFF"/>
        </w:rPr>
        <w:t>（</w:t>
      </w:r>
      <w:r>
        <w:rPr>
          <w:rFonts w:hint="eastAsia"/>
          <w:sz w:val="24"/>
          <w:shd w:val="clear" w:color="auto" w:fill="FFFFFF"/>
        </w:rPr>
        <w:t>5</w:t>
      </w:r>
      <w:r>
        <w:rPr>
          <w:rFonts w:hint="eastAsia"/>
          <w:sz w:val="24"/>
          <w:shd w:val="clear" w:color="auto" w:fill="FFFFFF"/>
        </w:rPr>
        <w:t>）</w:t>
      </w:r>
      <w:r>
        <w:rPr>
          <w:rFonts w:hint="eastAsia"/>
          <w:sz w:val="24"/>
          <w:shd w:val="clear" w:color="auto" w:fill="FFFFFF"/>
        </w:rPr>
        <w:t>风险减轻</w:t>
      </w:r>
      <w:r>
        <w:rPr>
          <w:sz w:val="24"/>
        </w:rPr>
        <w:t>：减轻危</w:t>
      </w:r>
      <w:r>
        <w:rPr>
          <w:sz w:val="24"/>
        </w:rPr>
        <w:t>害发生</w:t>
      </w:r>
      <w:r>
        <w:rPr>
          <w:sz w:val="24"/>
        </w:rPr>
        <w:t>机</w:t>
      </w:r>
      <w:r>
        <w:rPr>
          <w:sz w:val="24"/>
        </w:rPr>
        <w:t>率和危害严重程度的行动。</w:t>
      </w:r>
    </w:p>
    <w:p w:rsidR="006A234C" w:rsidRDefault="006A234C">
      <w:pPr>
        <w:tabs>
          <w:tab w:val="left" w:pos="945"/>
        </w:tabs>
        <w:spacing w:line="360" w:lineRule="auto"/>
        <w:contextualSpacing/>
        <w:jc w:val="left"/>
        <w:rPr>
          <w:sz w:val="24"/>
        </w:rPr>
      </w:pPr>
    </w:p>
    <w:p w:rsidR="006A234C" w:rsidRDefault="006A2D5B">
      <w:pPr>
        <w:pStyle w:val="afb"/>
        <w:tabs>
          <w:tab w:val="left" w:pos="945"/>
        </w:tabs>
        <w:spacing w:line="360" w:lineRule="auto"/>
        <w:ind w:firstLineChars="0" w:firstLine="0"/>
        <w:contextualSpacing/>
        <w:jc w:val="left"/>
        <w:rPr>
          <w:rFonts w:ascii="Times New Roman" w:hAnsi="Times New Roman"/>
          <w:b/>
          <w:bCs/>
          <w:sz w:val="24"/>
        </w:rPr>
      </w:pPr>
      <w:r>
        <w:rPr>
          <w:rFonts w:ascii="Times New Roman" w:hAnsi="Times New Roman" w:hint="eastAsia"/>
          <w:b/>
          <w:bCs/>
          <w:sz w:val="24"/>
          <w:szCs w:val="24"/>
        </w:rPr>
        <w:t xml:space="preserve">4 </w:t>
      </w:r>
      <w:r>
        <w:rPr>
          <w:rFonts w:ascii="Times New Roman" w:hAnsi="Times New Roman"/>
          <w:b/>
          <w:bCs/>
          <w:sz w:val="24"/>
        </w:rPr>
        <w:t>正文</w:t>
      </w:r>
      <w:r>
        <w:rPr>
          <w:rFonts w:ascii="Times New Roman" w:hAnsi="Times New Roman"/>
          <w:b/>
          <w:bCs/>
          <w:sz w:val="24"/>
        </w:rPr>
        <w:t xml:space="preserve"> </w:t>
      </w:r>
    </w:p>
    <w:p w:rsidR="006A234C" w:rsidRDefault="006A2D5B">
      <w:pPr>
        <w:pStyle w:val="afb"/>
        <w:spacing w:line="360" w:lineRule="auto"/>
        <w:ind w:firstLine="480"/>
        <w:rPr>
          <w:rFonts w:ascii="Times New Roman" w:hAnsi="Times New Roman"/>
          <w:sz w:val="24"/>
          <w:szCs w:val="24"/>
        </w:rPr>
      </w:pPr>
      <w:r>
        <w:rPr>
          <w:rFonts w:ascii="Times New Roman" w:hAnsi="Times New Roman"/>
          <w:sz w:val="24"/>
          <w:szCs w:val="24"/>
        </w:rPr>
        <w:t>风险管理应该适用于计算机化系统的整个生命周期，以确保数据的完整性和试验结果的准确性。</w:t>
      </w:r>
      <w:r>
        <w:rPr>
          <w:rFonts w:ascii="Times New Roman" w:hAnsi="Times New Roman"/>
          <w:sz w:val="24"/>
        </w:rPr>
        <w:t>风险管理的目标是为了制定控制措施，以使危害的严重性、危害发生的概率以及危害的可检测性这三者的结合降低到一个可接受的范围。</w:t>
      </w:r>
      <w:r>
        <w:rPr>
          <w:rFonts w:ascii="Times New Roman" w:hAnsi="Times New Roman"/>
          <w:sz w:val="24"/>
        </w:rPr>
        <w:t>为管理已确认的风险与确定每一生命周期阶段活动的严密性和范围，应该选择恰当的风险管理流程并在整个生命周期中贯彻实施。</w:t>
      </w:r>
      <w:r>
        <w:rPr>
          <w:rFonts w:ascii="Times New Roman" w:hAnsi="Times New Roman"/>
          <w:sz w:val="24"/>
          <w:szCs w:val="24"/>
        </w:rPr>
        <w:t>风险管理</w:t>
      </w:r>
      <w:proofErr w:type="gramStart"/>
      <w:r>
        <w:rPr>
          <w:rFonts w:ascii="Times New Roman" w:hAnsi="Times New Roman"/>
          <w:sz w:val="24"/>
          <w:szCs w:val="24"/>
        </w:rPr>
        <w:t>由风险</w:t>
      </w:r>
      <w:proofErr w:type="gramEnd"/>
      <w:r>
        <w:rPr>
          <w:rFonts w:ascii="Times New Roman" w:hAnsi="Times New Roman"/>
          <w:sz w:val="24"/>
          <w:szCs w:val="24"/>
        </w:rPr>
        <w:t>识别、风险评估、</w:t>
      </w:r>
      <w:r>
        <w:rPr>
          <w:rFonts w:ascii="Times New Roman" w:hAnsi="Times New Roman"/>
          <w:sz w:val="24"/>
          <w:szCs w:val="24"/>
        </w:rPr>
        <w:lastRenderedPageBreak/>
        <w:t>风险减轻和控制组成。</w:t>
      </w:r>
    </w:p>
    <w:p w:rsidR="006A234C" w:rsidRDefault="006A2D5B">
      <w:pPr>
        <w:pStyle w:val="afb"/>
        <w:spacing w:line="360" w:lineRule="auto"/>
        <w:ind w:firstLineChars="0" w:firstLine="0"/>
        <w:rPr>
          <w:rFonts w:ascii="Times New Roman" w:eastAsiaTheme="minorEastAsia" w:hAnsi="Times New Roman"/>
          <w:b/>
          <w:bCs/>
          <w:sz w:val="24"/>
        </w:rPr>
      </w:pPr>
      <w:r>
        <w:rPr>
          <w:rFonts w:ascii="Times New Roman" w:hAnsi="Times New Roman" w:hint="eastAsia"/>
          <w:b/>
          <w:bCs/>
          <w:sz w:val="24"/>
          <w:szCs w:val="24"/>
        </w:rPr>
        <w:t xml:space="preserve">4.1 </w:t>
      </w:r>
      <w:r>
        <w:rPr>
          <w:rFonts w:ascii="Times New Roman" w:eastAsiaTheme="minorEastAsia" w:hAnsi="Times New Roman"/>
          <w:b/>
          <w:bCs/>
          <w:sz w:val="24"/>
        </w:rPr>
        <w:t>风险识别</w:t>
      </w:r>
    </w:p>
    <w:p w:rsidR="006A234C" w:rsidRDefault="006A2D5B">
      <w:pPr>
        <w:tabs>
          <w:tab w:val="left" w:pos="945"/>
        </w:tabs>
        <w:spacing w:line="360" w:lineRule="auto"/>
        <w:ind w:firstLineChars="200" w:firstLine="480"/>
        <w:contextualSpacing/>
        <w:jc w:val="left"/>
        <w:rPr>
          <w:sz w:val="24"/>
        </w:rPr>
      </w:pPr>
      <w:r>
        <w:rPr>
          <w:sz w:val="24"/>
        </w:rPr>
        <w:t>在计算机化系统的生命周期中，只要是对数据完整性和试验结果准确性产生影响的行为，都可能产生风险。</w:t>
      </w:r>
    </w:p>
    <w:p w:rsidR="006A234C" w:rsidRDefault="006A2D5B">
      <w:pPr>
        <w:tabs>
          <w:tab w:val="left" w:pos="945"/>
        </w:tabs>
        <w:spacing w:line="360" w:lineRule="auto"/>
        <w:contextualSpacing/>
        <w:jc w:val="left"/>
        <w:rPr>
          <w:b/>
          <w:bCs/>
          <w:sz w:val="24"/>
        </w:rPr>
      </w:pPr>
      <w:r>
        <w:rPr>
          <w:rFonts w:hint="eastAsia"/>
          <w:b/>
          <w:bCs/>
          <w:sz w:val="24"/>
        </w:rPr>
        <w:t>4.</w:t>
      </w:r>
      <w:r>
        <w:rPr>
          <w:rFonts w:hint="eastAsia"/>
          <w:b/>
          <w:bCs/>
          <w:sz w:val="24"/>
        </w:rPr>
        <w:t>2</w:t>
      </w:r>
      <w:r>
        <w:rPr>
          <w:rFonts w:hint="eastAsia"/>
          <w:b/>
          <w:bCs/>
          <w:sz w:val="24"/>
        </w:rPr>
        <w:t xml:space="preserve"> </w:t>
      </w:r>
      <w:r>
        <w:rPr>
          <w:rFonts w:hint="eastAsia"/>
          <w:b/>
          <w:bCs/>
          <w:sz w:val="24"/>
        </w:rPr>
        <w:t>风险评估</w:t>
      </w:r>
    </w:p>
    <w:p w:rsidR="006A234C" w:rsidRDefault="006A2D5B">
      <w:pPr>
        <w:tabs>
          <w:tab w:val="left" w:pos="945"/>
        </w:tabs>
        <w:spacing w:line="360" w:lineRule="auto"/>
        <w:ind w:firstLineChars="200" w:firstLine="480"/>
        <w:contextualSpacing/>
        <w:jc w:val="left"/>
        <w:rPr>
          <w:sz w:val="24"/>
        </w:rPr>
      </w:pPr>
      <w:r>
        <w:rPr>
          <w:sz w:val="24"/>
        </w:rPr>
        <w:t>评估对象在系统生命周期的不同阶段中包括但不限于：系统需求和功能对业务和数据的风险、系统</w:t>
      </w:r>
      <w:r>
        <w:rPr>
          <w:sz w:val="24"/>
        </w:rPr>
        <w:t>故障</w:t>
      </w:r>
      <w:r>
        <w:rPr>
          <w:sz w:val="24"/>
        </w:rPr>
        <w:t>对业务和数据的风险、系统变更对业务和数据的风险、系统灾难对业务和数据的风险、和系统退役对业务和数据的风险。</w:t>
      </w:r>
    </w:p>
    <w:p w:rsidR="006A234C" w:rsidRDefault="006A2D5B">
      <w:pPr>
        <w:pStyle w:val="afd"/>
        <w:spacing w:before="156" w:after="156"/>
        <w:ind w:firstLine="480"/>
        <w:jc w:val="both"/>
        <w:rPr>
          <w:sz w:val="24"/>
        </w:rPr>
      </w:pPr>
      <w:r>
        <w:rPr>
          <w:sz w:val="24"/>
        </w:rPr>
        <w:t>首先，识别评估对象的潜在风险对系统、业务</w:t>
      </w:r>
      <w:r>
        <w:rPr>
          <w:sz w:val="24"/>
        </w:rPr>
        <w:t>、</w:t>
      </w:r>
      <w:r>
        <w:rPr>
          <w:sz w:val="24"/>
        </w:rPr>
        <w:t>人员健康</w:t>
      </w:r>
      <w:r>
        <w:rPr>
          <w:sz w:val="24"/>
        </w:rPr>
        <w:t>或其他方面的影响的严重性。</w:t>
      </w:r>
    </w:p>
    <w:tbl>
      <w:tblPr>
        <w:tblStyle w:val="af5"/>
        <w:tblW w:w="0" w:type="auto"/>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37"/>
        <w:gridCol w:w="6548"/>
      </w:tblGrid>
      <w:tr w:rsidR="006A234C">
        <w:tc>
          <w:tcPr>
            <w:tcW w:w="1842" w:type="dxa"/>
            <w:shd w:val="clear" w:color="auto" w:fill="BFBFBF" w:themeFill="background1" w:themeFillShade="BF"/>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严重性</w:t>
            </w:r>
          </w:p>
        </w:tc>
        <w:tc>
          <w:tcPr>
            <w:tcW w:w="7513" w:type="dxa"/>
            <w:shd w:val="clear" w:color="auto" w:fill="BFBFBF" w:themeFill="background1" w:themeFillShade="BF"/>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描述或说明</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w:t>
            </w:r>
            <w:r>
              <w:rPr>
                <w:rFonts w:eastAsiaTheme="minorEastAsia"/>
                <w:szCs w:val="21"/>
              </w:rPr>
              <w:t>GLP</w:t>
            </w:r>
            <w:r>
              <w:rPr>
                <w:rFonts w:eastAsiaTheme="minorEastAsia" w:hint="eastAsia"/>
                <w:szCs w:val="21"/>
              </w:rPr>
              <w:t>数据完整性和</w:t>
            </w:r>
            <w:r>
              <w:rPr>
                <w:rFonts w:eastAsiaTheme="minorEastAsia" w:hint="eastAsia"/>
                <w:szCs w:val="21"/>
              </w:rPr>
              <w:t>/</w:t>
            </w:r>
            <w:r>
              <w:rPr>
                <w:rFonts w:eastAsiaTheme="minorEastAsia" w:hint="eastAsia"/>
                <w:szCs w:val="21"/>
              </w:rPr>
              <w:t>或试验结果准确性有很大影响且不可控；</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对人员健康有很大影响且不可控；</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对相关业务有很大影响且不可控；</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w:t>
            </w:r>
            <w:r>
              <w:rPr>
                <w:rFonts w:eastAsiaTheme="minorEastAsia"/>
                <w:szCs w:val="21"/>
              </w:rPr>
              <w:t>GLP</w:t>
            </w:r>
            <w:r>
              <w:rPr>
                <w:rFonts w:eastAsiaTheme="minorEastAsia" w:hint="eastAsia"/>
                <w:szCs w:val="21"/>
              </w:rPr>
              <w:t>数据完整性和</w:t>
            </w:r>
            <w:r>
              <w:rPr>
                <w:rFonts w:eastAsiaTheme="minorEastAsia" w:hint="eastAsia"/>
                <w:szCs w:val="21"/>
              </w:rPr>
              <w:t>/</w:t>
            </w:r>
            <w:r>
              <w:rPr>
                <w:rFonts w:eastAsiaTheme="minorEastAsia" w:hint="eastAsia"/>
                <w:szCs w:val="21"/>
              </w:rPr>
              <w:t>或试验结果准确性有影响，但影响不大且可控；</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对人员健康有影响，但影响不大且可控；</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对相关业务有影响，但影响不大且可控；</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w:t>
            </w:r>
            <w:r>
              <w:rPr>
                <w:rFonts w:eastAsiaTheme="minorEastAsia"/>
                <w:szCs w:val="21"/>
              </w:rPr>
              <w:t>GLP</w:t>
            </w:r>
            <w:r>
              <w:rPr>
                <w:rFonts w:eastAsiaTheme="minorEastAsia" w:hint="eastAsia"/>
                <w:szCs w:val="21"/>
              </w:rPr>
              <w:t>数据完整性和</w:t>
            </w:r>
            <w:r>
              <w:rPr>
                <w:rFonts w:eastAsiaTheme="minorEastAsia" w:hint="eastAsia"/>
                <w:szCs w:val="21"/>
              </w:rPr>
              <w:t>/</w:t>
            </w:r>
            <w:r>
              <w:rPr>
                <w:rFonts w:eastAsiaTheme="minorEastAsia" w:hint="eastAsia"/>
                <w:szCs w:val="21"/>
              </w:rPr>
              <w:t>或试验结果准确性几乎没有影响；</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对人员健康几乎没有影响；</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对相关业务几乎没有影响，即使有一点影响也能很快恢复；</w:t>
            </w:r>
          </w:p>
        </w:tc>
      </w:tr>
    </w:tbl>
    <w:p w:rsidR="006A234C" w:rsidRDefault="006A2D5B">
      <w:pPr>
        <w:pStyle w:val="afd"/>
        <w:spacing w:before="156" w:after="156"/>
        <w:ind w:firstLine="480"/>
        <w:jc w:val="both"/>
        <w:rPr>
          <w:sz w:val="24"/>
        </w:rPr>
      </w:pPr>
      <w:r>
        <w:rPr>
          <w:sz w:val="24"/>
        </w:rPr>
        <w:t>其次，基于事实或者历史经验推断和识别评估对象的潜在风险发生的可能性。</w:t>
      </w:r>
    </w:p>
    <w:tbl>
      <w:tblPr>
        <w:tblStyle w:val="af5"/>
        <w:tblW w:w="0" w:type="auto"/>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37"/>
        <w:gridCol w:w="6548"/>
      </w:tblGrid>
      <w:tr w:rsidR="006A234C">
        <w:tc>
          <w:tcPr>
            <w:tcW w:w="1842" w:type="dxa"/>
            <w:shd w:val="clear" w:color="auto" w:fill="BFBFBF" w:themeFill="background1" w:themeFillShade="BF"/>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可能性</w:t>
            </w:r>
          </w:p>
        </w:tc>
        <w:tc>
          <w:tcPr>
            <w:tcW w:w="7513" w:type="dxa"/>
            <w:shd w:val="clear" w:color="auto" w:fill="BFBFBF" w:themeFill="background1" w:themeFillShade="BF"/>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描述或说明</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日常运行中经常发生；</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在整个系统生命周期过程中可能会经常发生；</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日常运行中可能发生；</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在整个系统生命周期过程中可能会发生数次；</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日常运行中几乎不发生；</w:t>
            </w:r>
          </w:p>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在整个系统生命周期过程中有发生的可能，但可能性很小；</w:t>
            </w:r>
          </w:p>
        </w:tc>
      </w:tr>
    </w:tbl>
    <w:p w:rsidR="006A234C" w:rsidRDefault="006A2D5B">
      <w:pPr>
        <w:pStyle w:val="afd"/>
        <w:spacing w:before="156" w:after="156"/>
        <w:ind w:firstLine="480"/>
        <w:jc w:val="both"/>
        <w:rPr>
          <w:sz w:val="24"/>
        </w:rPr>
      </w:pPr>
      <w:r>
        <w:rPr>
          <w:sz w:val="24"/>
        </w:rPr>
        <w:t>然后，基于系统设计、当前技术水平和用户的熟练程度判断该潜在风险的可探测性。</w:t>
      </w:r>
    </w:p>
    <w:tbl>
      <w:tblPr>
        <w:tblStyle w:val="af5"/>
        <w:tblW w:w="0" w:type="auto"/>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37"/>
        <w:gridCol w:w="6548"/>
      </w:tblGrid>
      <w:tr w:rsidR="006A234C">
        <w:tc>
          <w:tcPr>
            <w:tcW w:w="1842" w:type="dxa"/>
            <w:shd w:val="clear" w:color="auto" w:fill="BFBFBF" w:themeFill="background1" w:themeFillShade="BF"/>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可探测性</w:t>
            </w:r>
          </w:p>
        </w:tc>
        <w:tc>
          <w:tcPr>
            <w:tcW w:w="7513" w:type="dxa"/>
            <w:shd w:val="clear" w:color="auto" w:fill="BFBFBF" w:themeFill="background1" w:themeFillShade="BF"/>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描述或说明</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该风险造成的失效能够被用户直接感知；</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该风险造成的失效不能够被用户直接感知，但可以通过特定手段探测得知；</w:t>
            </w:r>
          </w:p>
        </w:tc>
      </w:tr>
      <w:tr w:rsidR="006A234C">
        <w:tc>
          <w:tcPr>
            <w:tcW w:w="1842" w:type="dxa"/>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w:t>
            </w:r>
          </w:p>
        </w:tc>
        <w:tc>
          <w:tcPr>
            <w:tcW w:w="7513" w:type="dxa"/>
          </w:tcPr>
          <w:p w:rsidR="006A234C" w:rsidRDefault="006A2D5B">
            <w:pPr>
              <w:pStyle w:val="afd"/>
              <w:numPr>
                <w:ilvl w:val="0"/>
                <w:numId w:val="1"/>
              </w:numPr>
              <w:spacing w:beforeLines="0" w:afterLines="0" w:line="240" w:lineRule="auto"/>
              <w:ind w:firstLineChars="0"/>
              <w:jc w:val="both"/>
              <w:rPr>
                <w:rFonts w:eastAsiaTheme="minorEastAsia"/>
                <w:szCs w:val="21"/>
              </w:rPr>
            </w:pPr>
            <w:r>
              <w:rPr>
                <w:rFonts w:eastAsiaTheme="minorEastAsia" w:hint="eastAsia"/>
                <w:szCs w:val="21"/>
              </w:rPr>
              <w:t>该风险造成的失效不能够被用户直接感知，且很难通过某种手段</w:t>
            </w:r>
            <w:r>
              <w:rPr>
                <w:rFonts w:eastAsiaTheme="minorEastAsia" w:hint="eastAsia"/>
                <w:szCs w:val="21"/>
              </w:rPr>
              <w:lastRenderedPageBreak/>
              <w:t>探测得知；</w:t>
            </w:r>
          </w:p>
        </w:tc>
      </w:tr>
    </w:tbl>
    <w:p w:rsidR="006A234C" w:rsidRDefault="006A2D5B">
      <w:pPr>
        <w:tabs>
          <w:tab w:val="left" w:pos="945"/>
        </w:tabs>
        <w:spacing w:line="360" w:lineRule="auto"/>
        <w:ind w:firstLineChars="200" w:firstLine="480"/>
        <w:contextualSpacing/>
        <w:jc w:val="left"/>
        <w:rPr>
          <w:sz w:val="24"/>
        </w:rPr>
      </w:pPr>
      <w:r>
        <w:rPr>
          <w:sz w:val="24"/>
        </w:rPr>
        <w:t>最后，基于以上严重程度和发生可能性的判断，得出评估对象的潜在风险等级（表</w:t>
      </w:r>
      <w:r>
        <w:rPr>
          <w:sz w:val="24"/>
        </w:rPr>
        <w:t>1</w:t>
      </w:r>
      <w:r>
        <w:rPr>
          <w:sz w:val="24"/>
        </w:rPr>
        <w:t>）。再根据风险等级和</w:t>
      </w:r>
      <w:proofErr w:type="gramStart"/>
      <w:r>
        <w:rPr>
          <w:sz w:val="24"/>
        </w:rPr>
        <w:t>可</w:t>
      </w:r>
      <w:proofErr w:type="gramEnd"/>
      <w:r>
        <w:rPr>
          <w:sz w:val="24"/>
        </w:rPr>
        <w:t>探测性，得出评估对象的风险优先级（表</w:t>
      </w:r>
      <w:r>
        <w:rPr>
          <w:sz w:val="24"/>
        </w:rPr>
        <w:t>2</w:t>
      </w:r>
      <w:r>
        <w:rPr>
          <w:sz w:val="24"/>
        </w:rPr>
        <w:t>）。</w:t>
      </w:r>
    </w:p>
    <w:tbl>
      <w:tblPr>
        <w:tblStyle w:val="af5"/>
        <w:tblW w:w="0" w:type="auto"/>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37"/>
        <w:gridCol w:w="1637"/>
        <w:gridCol w:w="1637"/>
        <w:gridCol w:w="1637"/>
        <w:gridCol w:w="1637"/>
      </w:tblGrid>
      <w:tr w:rsidR="006A234C">
        <w:trPr>
          <w:trHeight w:val="53"/>
        </w:trPr>
        <w:tc>
          <w:tcPr>
            <w:tcW w:w="1871" w:type="dxa"/>
            <w:tcBorders>
              <w:top w:val="nil"/>
              <w:left w:val="nil"/>
              <w:bottom w:val="nil"/>
              <w:right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tcBorders>
              <w:top w:val="nil"/>
              <w:left w:val="nil"/>
              <w:bottom w:val="nil"/>
              <w:right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5613" w:type="dxa"/>
            <w:gridSpan w:val="3"/>
            <w:tcBorders>
              <w:top w:val="nil"/>
              <w:left w:val="nil"/>
              <w:right w:val="nil"/>
            </w:tcBorders>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可能性</w:t>
            </w:r>
          </w:p>
        </w:tc>
      </w:tr>
      <w:tr w:rsidR="006A234C">
        <w:trPr>
          <w:trHeight w:val="232"/>
        </w:trPr>
        <w:tc>
          <w:tcPr>
            <w:tcW w:w="1871" w:type="dxa"/>
            <w:tcBorders>
              <w:top w:val="nil"/>
              <w:left w:val="nil"/>
              <w:bottom w:val="nil"/>
              <w:right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tcBorders>
              <w:top w:val="nil"/>
              <w:left w:val="nil"/>
              <w:bottom w:val="single" w:sz="4" w:space="0" w:color="auto"/>
              <w:right w:val="single" w:sz="4" w:space="0" w:color="auto"/>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tcBorders>
              <w:left w:val="single" w:sz="4" w:space="0" w:color="auto"/>
            </w:tcBorders>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w:t>
            </w: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w:t>
            </w: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w:t>
            </w:r>
          </w:p>
        </w:tc>
      </w:tr>
      <w:tr w:rsidR="006A234C">
        <w:trPr>
          <w:trHeight w:val="43"/>
        </w:trPr>
        <w:tc>
          <w:tcPr>
            <w:tcW w:w="1871" w:type="dxa"/>
            <w:vMerge w:val="restart"/>
            <w:tcBorders>
              <w:top w:val="nil"/>
              <w:left w:val="nil"/>
              <w:bottom w:val="nil"/>
            </w:tcBorders>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严重性</w:t>
            </w:r>
          </w:p>
        </w:tc>
        <w:tc>
          <w:tcPr>
            <w:tcW w:w="1871" w:type="dxa"/>
            <w:tcBorders>
              <w:top w:val="single" w:sz="4" w:space="0" w:color="auto"/>
            </w:tcBorders>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w:t>
            </w:r>
          </w:p>
        </w:tc>
        <w:tc>
          <w:tcPr>
            <w:tcW w:w="1871" w:type="dxa"/>
            <w:shd w:val="clear" w:color="auto" w:fill="FFFF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2</w:t>
            </w:r>
          </w:p>
        </w:tc>
        <w:tc>
          <w:tcPr>
            <w:tcW w:w="1871" w:type="dxa"/>
            <w:shd w:val="clear" w:color="auto" w:fill="FF00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1</w:t>
            </w:r>
          </w:p>
        </w:tc>
        <w:tc>
          <w:tcPr>
            <w:tcW w:w="1871" w:type="dxa"/>
            <w:shd w:val="clear" w:color="auto" w:fill="FF00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1</w:t>
            </w:r>
          </w:p>
        </w:tc>
      </w:tr>
      <w:tr w:rsidR="006A234C">
        <w:trPr>
          <w:trHeight w:val="43"/>
        </w:trPr>
        <w:tc>
          <w:tcPr>
            <w:tcW w:w="1871" w:type="dxa"/>
            <w:vMerge/>
            <w:tcBorders>
              <w:left w:val="nil"/>
              <w:bottom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w:t>
            </w:r>
          </w:p>
        </w:tc>
        <w:tc>
          <w:tcPr>
            <w:tcW w:w="1871" w:type="dxa"/>
            <w:shd w:val="clear" w:color="auto" w:fill="00B05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3</w:t>
            </w:r>
          </w:p>
        </w:tc>
        <w:tc>
          <w:tcPr>
            <w:tcW w:w="1871" w:type="dxa"/>
            <w:shd w:val="clear" w:color="auto" w:fill="FFFF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2</w:t>
            </w:r>
          </w:p>
        </w:tc>
        <w:tc>
          <w:tcPr>
            <w:tcW w:w="1871" w:type="dxa"/>
            <w:shd w:val="clear" w:color="auto" w:fill="FF00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1</w:t>
            </w:r>
          </w:p>
        </w:tc>
      </w:tr>
      <w:tr w:rsidR="006A234C">
        <w:trPr>
          <w:trHeight w:val="43"/>
        </w:trPr>
        <w:tc>
          <w:tcPr>
            <w:tcW w:w="1871" w:type="dxa"/>
            <w:vMerge/>
            <w:tcBorders>
              <w:left w:val="nil"/>
              <w:bottom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w:t>
            </w:r>
          </w:p>
        </w:tc>
        <w:tc>
          <w:tcPr>
            <w:tcW w:w="1871" w:type="dxa"/>
            <w:shd w:val="clear" w:color="auto" w:fill="00B05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3</w:t>
            </w:r>
          </w:p>
        </w:tc>
        <w:tc>
          <w:tcPr>
            <w:tcW w:w="1871" w:type="dxa"/>
            <w:shd w:val="clear" w:color="auto" w:fill="00B05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3</w:t>
            </w:r>
          </w:p>
        </w:tc>
        <w:tc>
          <w:tcPr>
            <w:tcW w:w="1871" w:type="dxa"/>
            <w:shd w:val="clear" w:color="auto" w:fill="FFFF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r>
              <w:rPr>
                <w:rFonts w:eastAsiaTheme="minorEastAsia" w:hint="eastAsia"/>
                <w:szCs w:val="21"/>
              </w:rPr>
              <w:t>2</w:t>
            </w:r>
          </w:p>
        </w:tc>
      </w:tr>
    </w:tbl>
    <w:p w:rsidR="006A234C" w:rsidRDefault="006A2D5B">
      <w:pPr>
        <w:tabs>
          <w:tab w:val="left" w:pos="945"/>
        </w:tabs>
        <w:spacing w:line="360" w:lineRule="auto"/>
        <w:ind w:firstLineChars="2600" w:firstLine="5460"/>
        <w:contextualSpacing/>
        <w:jc w:val="left"/>
        <w:rPr>
          <w:rFonts w:eastAsiaTheme="minorEastAsia"/>
          <w:szCs w:val="21"/>
        </w:rPr>
      </w:pPr>
      <w:r>
        <w:rPr>
          <w:rFonts w:eastAsiaTheme="minorEastAsia" w:hint="eastAsia"/>
          <w:szCs w:val="21"/>
        </w:rPr>
        <w:t>表</w:t>
      </w:r>
      <w:r>
        <w:rPr>
          <w:rFonts w:eastAsiaTheme="minorEastAsia" w:hint="eastAsia"/>
          <w:szCs w:val="21"/>
        </w:rPr>
        <w:t>1</w:t>
      </w:r>
    </w:p>
    <w:tbl>
      <w:tblPr>
        <w:tblStyle w:val="af5"/>
        <w:tblW w:w="0" w:type="auto"/>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1"/>
        <w:gridCol w:w="1624"/>
        <w:gridCol w:w="1640"/>
        <w:gridCol w:w="1640"/>
        <w:gridCol w:w="1640"/>
      </w:tblGrid>
      <w:tr w:rsidR="006A234C">
        <w:trPr>
          <w:trHeight w:val="53"/>
        </w:trPr>
        <w:tc>
          <w:tcPr>
            <w:tcW w:w="1871" w:type="dxa"/>
            <w:tcBorders>
              <w:top w:val="nil"/>
              <w:left w:val="nil"/>
              <w:bottom w:val="nil"/>
              <w:right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tcBorders>
              <w:top w:val="nil"/>
              <w:left w:val="nil"/>
              <w:bottom w:val="nil"/>
              <w:right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5613" w:type="dxa"/>
            <w:gridSpan w:val="3"/>
            <w:tcBorders>
              <w:top w:val="nil"/>
              <w:left w:val="nil"/>
              <w:right w:val="nil"/>
            </w:tcBorders>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可探测性</w:t>
            </w:r>
          </w:p>
        </w:tc>
      </w:tr>
      <w:tr w:rsidR="006A234C">
        <w:trPr>
          <w:trHeight w:val="232"/>
        </w:trPr>
        <w:tc>
          <w:tcPr>
            <w:tcW w:w="1871" w:type="dxa"/>
            <w:tcBorders>
              <w:top w:val="nil"/>
              <w:left w:val="nil"/>
              <w:bottom w:val="nil"/>
              <w:right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tcBorders>
              <w:top w:val="nil"/>
              <w:left w:val="nil"/>
              <w:bottom w:val="single" w:sz="4" w:space="0" w:color="auto"/>
              <w:right w:val="single" w:sz="4" w:space="0" w:color="auto"/>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tcBorders>
              <w:left w:val="single" w:sz="4" w:space="0" w:color="auto"/>
            </w:tcBorders>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w:t>
            </w: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w:t>
            </w: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w:t>
            </w:r>
          </w:p>
        </w:tc>
      </w:tr>
      <w:tr w:rsidR="006A234C">
        <w:trPr>
          <w:trHeight w:val="43"/>
        </w:trPr>
        <w:tc>
          <w:tcPr>
            <w:tcW w:w="1871" w:type="dxa"/>
            <w:vMerge w:val="restart"/>
            <w:tcBorders>
              <w:top w:val="nil"/>
              <w:left w:val="nil"/>
              <w:bottom w:val="nil"/>
            </w:tcBorders>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风险等级</w:t>
            </w:r>
          </w:p>
        </w:tc>
        <w:tc>
          <w:tcPr>
            <w:tcW w:w="1871" w:type="dxa"/>
            <w:tcBorders>
              <w:top w:val="single" w:sz="4" w:space="0" w:color="auto"/>
            </w:tcBorders>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1</w:t>
            </w:r>
          </w:p>
        </w:tc>
        <w:tc>
          <w:tcPr>
            <w:tcW w:w="1871" w:type="dxa"/>
            <w:shd w:val="clear" w:color="auto" w:fill="FFFF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中风险</w:t>
            </w:r>
          </w:p>
        </w:tc>
        <w:tc>
          <w:tcPr>
            <w:tcW w:w="1871" w:type="dxa"/>
            <w:shd w:val="clear" w:color="auto" w:fill="FF00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高风险</w:t>
            </w:r>
          </w:p>
        </w:tc>
        <w:tc>
          <w:tcPr>
            <w:tcW w:w="1871" w:type="dxa"/>
            <w:shd w:val="clear" w:color="auto" w:fill="FF00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高风险</w:t>
            </w:r>
          </w:p>
        </w:tc>
      </w:tr>
      <w:tr w:rsidR="006A234C">
        <w:trPr>
          <w:trHeight w:val="43"/>
        </w:trPr>
        <w:tc>
          <w:tcPr>
            <w:tcW w:w="1871" w:type="dxa"/>
            <w:vMerge/>
            <w:tcBorders>
              <w:left w:val="nil"/>
              <w:bottom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2</w:t>
            </w:r>
          </w:p>
        </w:tc>
        <w:tc>
          <w:tcPr>
            <w:tcW w:w="1871" w:type="dxa"/>
            <w:shd w:val="clear" w:color="auto" w:fill="00B05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低风险</w:t>
            </w:r>
          </w:p>
        </w:tc>
        <w:tc>
          <w:tcPr>
            <w:tcW w:w="1871" w:type="dxa"/>
            <w:shd w:val="clear" w:color="auto" w:fill="FFFF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中风险</w:t>
            </w:r>
          </w:p>
        </w:tc>
        <w:tc>
          <w:tcPr>
            <w:tcW w:w="1871" w:type="dxa"/>
            <w:shd w:val="clear" w:color="auto" w:fill="FF00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高风险</w:t>
            </w:r>
          </w:p>
        </w:tc>
      </w:tr>
      <w:tr w:rsidR="006A234C">
        <w:trPr>
          <w:trHeight w:val="43"/>
        </w:trPr>
        <w:tc>
          <w:tcPr>
            <w:tcW w:w="1871" w:type="dxa"/>
            <w:vMerge/>
            <w:tcBorders>
              <w:left w:val="nil"/>
              <w:bottom w:val="nil"/>
            </w:tcBorders>
            <w:vAlign w:val="center"/>
          </w:tcPr>
          <w:p w:rsidR="006A234C" w:rsidRDefault="006A234C">
            <w:pPr>
              <w:pStyle w:val="afd"/>
              <w:spacing w:beforeLines="0" w:afterLines="0" w:line="240" w:lineRule="auto"/>
              <w:ind w:firstLineChars="0" w:firstLine="0"/>
              <w:jc w:val="center"/>
              <w:rPr>
                <w:rFonts w:eastAsiaTheme="minorEastAsia"/>
                <w:szCs w:val="21"/>
              </w:rPr>
            </w:pPr>
          </w:p>
        </w:tc>
        <w:tc>
          <w:tcPr>
            <w:tcW w:w="1871" w:type="dxa"/>
            <w:shd w:val="clear" w:color="auto" w:fill="auto"/>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3</w:t>
            </w:r>
          </w:p>
        </w:tc>
        <w:tc>
          <w:tcPr>
            <w:tcW w:w="1871" w:type="dxa"/>
            <w:shd w:val="clear" w:color="auto" w:fill="00B05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低风险</w:t>
            </w:r>
          </w:p>
        </w:tc>
        <w:tc>
          <w:tcPr>
            <w:tcW w:w="1871" w:type="dxa"/>
            <w:shd w:val="clear" w:color="auto" w:fill="00B05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低风险</w:t>
            </w:r>
          </w:p>
        </w:tc>
        <w:tc>
          <w:tcPr>
            <w:tcW w:w="1871" w:type="dxa"/>
            <w:shd w:val="clear" w:color="auto" w:fill="FFFF00"/>
            <w:vAlign w:val="center"/>
          </w:tcPr>
          <w:p w:rsidR="006A234C" w:rsidRDefault="006A2D5B">
            <w:pPr>
              <w:pStyle w:val="afd"/>
              <w:spacing w:beforeLines="0" w:afterLines="0" w:line="240" w:lineRule="auto"/>
              <w:ind w:firstLineChars="0" w:firstLine="0"/>
              <w:jc w:val="center"/>
              <w:rPr>
                <w:rFonts w:eastAsiaTheme="minorEastAsia"/>
                <w:szCs w:val="21"/>
              </w:rPr>
            </w:pPr>
            <w:r>
              <w:rPr>
                <w:rFonts w:eastAsiaTheme="minorEastAsia" w:hint="eastAsia"/>
                <w:szCs w:val="21"/>
              </w:rPr>
              <w:t>中风险</w:t>
            </w:r>
          </w:p>
        </w:tc>
      </w:tr>
    </w:tbl>
    <w:p w:rsidR="006A234C" w:rsidRDefault="006A2D5B">
      <w:pPr>
        <w:tabs>
          <w:tab w:val="left" w:pos="945"/>
        </w:tabs>
        <w:spacing w:line="360" w:lineRule="auto"/>
        <w:ind w:firstLineChars="2600" w:firstLine="5460"/>
        <w:contextualSpacing/>
        <w:jc w:val="left"/>
        <w:rPr>
          <w:sz w:val="24"/>
        </w:rPr>
      </w:pPr>
      <w:r>
        <w:rPr>
          <w:rFonts w:eastAsiaTheme="minorEastAsia" w:hint="eastAsia"/>
          <w:szCs w:val="21"/>
        </w:rPr>
        <w:t>表</w:t>
      </w:r>
      <w:r>
        <w:rPr>
          <w:rFonts w:eastAsiaTheme="minorEastAsia" w:hint="eastAsia"/>
          <w:szCs w:val="21"/>
        </w:rPr>
        <w:t>2</w:t>
      </w:r>
    </w:p>
    <w:p w:rsidR="006A234C" w:rsidRDefault="006A2D5B">
      <w:pPr>
        <w:tabs>
          <w:tab w:val="left" w:pos="945"/>
        </w:tabs>
        <w:spacing w:line="360" w:lineRule="auto"/>
        <w:contextualSpacing/>
        <w:jc w:val="left"/>
        <w:rPr>
          <w:b/>
          <w:bCs/>
          <w:sz w:val="24"/>
        </w:rPr>
      </w:pPr>
      <w:r>
        <w:rPr>
          <w:rFonts w:hint="eastAsia"/>
          <w:b/>
          <w:bCs/>
          <w:sz w:val="24"/>
        </w:rPr>
        <w:t>4.3</w:t>
      </w:r>
      <w:r>
        <w:rPr>
          <w:rFonts w:hint="eastAsia"/>
          <w:b/>
          <w:bCs/>
          <w:sz w:val="24"/>
        </w:rPr>
        <w:t>风险减轻和控制</w:t>
      </w:r>
    </w:p>
    <w:p w:rsidR="006A234C" w:rsidRDefault="006A2D5B">
      <w:pPr>
        <w:tabs>
          <w:tab w:val="left" w:pos="945"/>
        </w:tabs>
        <w:spacing w:line="360" w:lineRule="auto"/>
        <w:ind w:firstLineChars="200" w:firstLine="480"/>
        <w:contextualSpacing/>
        <w:jc w:val="left"/>
        <w:rPr>
          <w:sz w:val="24"/>
        </w:rPr>
      </w:pPr>
      <w:r>
        <w:rPr>
          <w:rFonts w:hint="eastAsia"/>
          <w:sz w:val="24"/>
        </w:rPr>
        <w:t>风险的减轻和控制是指将风险降低到可接受范围的措施。其主要思路为降低已识别风险的影响、降低其发生可能性或增加与风险相关的故障被检测到的可能性。风险减轻和控制措施包括但不限于：系统验证和</w:t>
      </w:r>
      <w:r>
        <w:rPr>
          <w:rFonts w:hint="eastAsia"/>
          <w:sz w:val="24"/>
        </w:rPr>
        <w:t>/</w:t>
      </w:r>
      <w:r>
        <w:rPr>
          <w:rFonts w:hint="eastAsia"/>
          <w:sz w:val="24"/>
        </w:rPr>
        <w:t>或测试、用户和管理员培训、系统使用标准操作规程的制定、备份和灾难恢复计划的编制、系统配置以及获得基础设施支持等。</w:t>
      </w:r>
    </w:p>
    <w:p w:rsidR="006A234C" w:rsidRDefault="006A2D5B">
      <w:pPr>
        <w:tabs>
          <w:tab w:val="left" w:pos="945"/>
        </w:tabs>
        <w:spacing w:line="360" w:lineRule="auto"/>
        <w:contextualSpacing/>
        <w:jc w:val="left"/>
        <w:rPr>
          <w:b/>
          <w:bCs/>
          <w:sz w:val="24"/>
        </w:rPr>
      </w:pPr>
      <w:r>
        <w:rPr>
          <w:rFonts w:hint="eastAsia"/>
          <w:b/>
          <w:bCs/>
          <w:sz w:val="24"/>
        </w:rPr>
        <w:t xml:space="preserve">4.4. </w:t>
      </w:r>
      <w:r>
        <w:rPr>
          <w:rFonts w:hint="eastAsia"/>
          <w:b/>
          <w:bCs/>
          <w:sz w:val="24"/>
        </w:rPr>
        <w:t>风险评估结果记录</w:t>
      </w:r>
    </w:p>
    <w:p w:rsidR="006A234C" w:rsidRDefault="006A2D5B">
      <w:pPr>
        <w:tabs>
          <w:tab w:val="left" w:pos="945"/>
        </w:tabs>
        <w:wordWrap w:val="0"/>
        <w:spacing w:line="360" w:lineRule="auto"/>
        <w:ind w:firstLineChars="200" w:firstLine="480"/>
        <w:contextualSpacing/>
        <w:jc w:val="left"/>
        <w:rPr>
          <w:sz w:val="24"/>
        </w:rPr>
      </w:pPr>
      <w:r>
        <w:rPr>
          <w:rFonts w:hint="eastAsia"/>
          <w:sz w:val="24"/>
        </w:rPr>
        <w:t>根据</w:t>
      </w:r>
      <w:r>
        <w:rPr>
          <w:rFonts w:hint="eastAsia"/>
          <w:sz w:val="24"/>
        </w:rPr>
        <w:t>4.1</w:t>
      </w:r>
      <w:r>
        <w:rPr>
          <w:rFonts w:hint="eastAsia"/>
          <w:sz w:val="24"/>
        </w:rPr>
        <w:t>风险识别、</w:t>
      </w:r>
      <w:r>
        <w:rPr>
          <w:rFonts w:hint="eastAsia"/>
          <w:sz w:val="24"/>
        </w:rPr>
        <w:t>4.2</w:t>
      </w:r>
      <w:r>
        <w:rPr>
          <w:rFonts w:hint="eastAsia"/>
          <w:sz w:val="24"/>
        </w:rPr>
        <w:t>风险评估和</w:t>
      </w:r>
      <w:r>
        <w:rPr>
          <w:rFonts w:hint="eastAsia"/>
          <w:sz w:val="24"/>
        </w:rPr>
        <w:t>4.3</w:t>
      </w:r>
      <w:r>
        <w:rPr>
          <w:rFonts w:hint="eastAsia"/>
          <w:sz w:val="24"/>
        </w:rPr>
        <w:t>风险减轻和控制</w:t>
      </w:r>
      <w:r>
        <w:rPr>
          <w:rFonts w:hint="eastAsia"/>
          <w:sz w:val="24"/>
        </w:rPr>
        <w:t>，填写</w:t>
      </w:r>
      <w:r>
        <w:rPr>
          <w:rFonts w:hint="eastAsia"/>
          <w:sz w:val="24"/>
        </w:rPr>
        <w:t>计算机化系统风险评估</w:t>
      </w:r>
      <w:r>
        <w:rPr>
          <w:rFonts w:hint="eastAsia"/>
          <w:sz w:val="24"/>
        </w:rPr>
        <w:t>记录表（</w:t>
      </w:r>
      <w:r>
        <w:rPr>
          <w:rFonts w:hint="eastAsia"/>
          <w:sz w:val="24"/>
        </w:rPr>
        <w:t>TQXS-FORM-GEN-015-</w:t>
      </w:r>
      <w:r>
        <w:rPr>
          <w:rFonts w:hint="eastAsia"/>
          <w:sz w:val="24"/>
        </w:rPr>
        <w:t>B</w:t>
      </w:r>
      <w:r>
        <w:rPr>
          <w:rFonts w:hint="eastAsia"/>
          <w:sz w:val="24"/>
        </w:rPr>
        <w:t>）</w:t>
      </w:r>
      <w:r>
        <w:rPr>
          <w:rFonts w:hint="eastAsia"/>
          <w:sz w:val="24"/>
        </w:rPr>
        <w:t>。</w:t>
      </w:r>
    </w:p>
    <w:p w:rsidR="006A234C" w:rsidRDefault="006A234C">
      <w:pPr>
        <w:tabs>
          <w:tab w:val="left" w:pos="945"/>
        </w:tabs>
        <w:wordWrap w:val="0"/>
        <w:spacing w:line="360" w:lineRule="auto"/>
        <w:ind w:firstLineChars="200" w:firstLine="480"/>
        <w:contextualSpacing/>
        <w:jc w:val="left"/>
        <w:rPr>
          <w:sz w:val="24"/>
        </w:rPr>
      </w:pPr>
    </w:p>
    <w:p w:rsidR="006A234C" w:rsidRDefault="006A2D5B">
      <w:pPr>
        <w:tabs>
          <w:tab w:val="left" w:pos="945"/>
        </w:tabs>
        <w:spacing w:line="360" w:lineRule="auto"/>
        <w:contextualSpacing/>
        <w:jc w:val="left"/>
        <w:rPr>
          <w:b/>
          <w:bCs/>
          <w:sz w:val="24"/>
        </w:rPr>
      </w:pPr>
      <w:r>
        <w:rPr>
          <w:b/>
          <w:bCs/>
          <w:sz w:val="24"/>
        </w:rPr>
        <w:t xml:space="preserve">5 </w:t>
      </w:r>
      <w:r>
        <w:rPr>
          <w:rFonts w:hint="eastAsia"/>
          <w:b/>
          <w:bCs/>
          <w:sz w:val="24"/>
        </w:rPr>
        <w:t>记录表格</w:t>
      </w:r>
    </w:p>
    <w:p w:rsidR="006A234C" w:rsidRDefault="006A2D5B">
      <w:pPr>
        <w:tabs>
          <w:tab w:val="left" w:pos="945"/>
        </w:tabs>
        <w:spacing w:line="360" w:lineRule="auto"/>
        <w:contextualSpacing/>
        <w:jc w:val="left"/>
        <w:rPr>
          <w:sz w:val="24"/>
        </w:rPr>
      </w:pPr>
      <w:r>
        <w:rPr>
          <w:sz w:val="24"/>
        </w:rPr>
        <w:t xml:space="preserve">5.1  </w:t>
      </w:r>
      <w:r>
        <w:rPr>
          <w:rFonts w:eastAsiaTheme="minorEastAsia" w:hint="eastAsia"/>
          <w:sz w:val="24"/>
        </w:rPr>
        <w:t>TQXS-FORM</w:t>
      </w:r>
      <w:r>
        <w:rPr>
          <w:rFonts w:eastAsiaTheme="minorEastAsia"/>
          <w:sz w:val="24"/>
        </w:rPr>
        <w:t>-GEN-</w:t>
      </w:r>
      <w:r>
        <w:rPr>
          <w:rFonts w:eastAsiaTheme="minorEastAsia" w:hint="eastAsia"/>
          <w:sz w:val="24"/>
        </w:rPr>
        <w:t xml:space="preserve">015-B </w:t>
      </w:r>
      <w:r>
        <w:rPr>
          <w:rFonts w:hint="eastAsia"/>
          <w:sz w:val="24"/>
        </w:rPr>
        <w:t>计算机化系统风险评估记录表</w:t>
      </w:r>
    </w:p>
    <w:p w:rsidR="006A234C" w:rsidRDefault="006A234C">
      <w:pPr>
        <w:tabs>
          <w:tab w:val="left" w:pos="945"/>
        </w:tabs>
        <w:spacing w:line="360" w:lineRule="auto"/>
        <w:contextualSpacing/>
        <w:jc w:val="left"/>
        <w:rPr>
          <w:sz w:val="24"/>
        </w:rPr>
      </w:pPr>
    </w:p>
    <w:p w:rsidR="006A234C" w:rsidRDefault="006A2D5B">
      <w:pPr>
        <w:tabs>
          <w:tab w:val="left" w:pos="945"/>
        </w:tabs>
        <w:spacing w:line="360" w:lineRule="auto"/>
        <w:contextualSpacing/>
        <w:jc w:val="left"/>
        <w:rPr>
          <w:b/>
          <w:bCs/>
          <w:sz w:val="24"/>
        </w:rPr>
      </w:pPr>
      <w:r>
        <w:rPr>
          <w:b/>
          <w:bCs/>
          <w:sz w:val="24"/>
        </w:rPr>
        <w:t xml:space="preserve">6 </w:t>
      </w:r>
      <w:r>
        <w:rPr>
          <w:rFonts w:hint="eastAsia"/>
          <w:b/>
          <w:bCs/>
          <w:sz w:val="24"/>
        </w:rPr>
        <w:t>参考文献</w:t>
      </w:r>
    </w:p>
    <w:p w:rsidR="006A234C" w:rsidRDefault="006A2D5B">
      <w:pPr>
        <w:spacing w:line="360" w:lineRule="auto"/>
        <w:rPr>
          <w:sz w:val="24"/>
        </w:rPr>
      </w:pPr>
      <w:r>
        <w:rPr>
          <w:sz w:val="24"/>
        </w:rPr>
        <w:t xml:space="preserve">[1] </w:t>
      </w:r>
      <w:r>
        <w:rPr>
          <w:rFonts w:hint="eastAsia"/>
          <w:sz w:val="24"/>
        </w:rPr>
        <w:t>原国家食品药品监督管理总局</w:t>
      </w:r>
      <w:r>
        <w:rPr>
          <w:sz w:val="24"/>
        </w:rPr>
        <w:t xml:space="preserve">. </w:t>
      </w:r>
      <w:r>
        <w:rPr>
          <w:rFonts w:hint="eastAsia"/>
          <w:sz w:val="24"/>
        </w:rPr>
        <w:t>药物非临床研究质量管理规范</w:t>
      </w:r>
      <w:r>
        <w:rPr>
          <w:sz w:val="24"/>
        </w:rPr>
        <w:t>. 2017.</w:t>
      </w:r>
    </w:p>
    <w:p w:rsidR="006A234C" w:rsidRDefault="006A2D5B">
      <w:pPr>
        <w:spacing w:line="360" w:lineRule="auto"/>
        <w:rPr>
          <w:sz w:val="24"/>
        </w:rPr>
      </w:pPr>
      <w:r>
        <w:rPr>
          <w:sz w:val="24"/>
        </w:rPr>
        <w:t>[2] OECD SERIES ON PRINCIPLES OF GOOD LABORATORY PRACTICE ANDCOMPLIANCE MONITORING Number 1 OECD Principles on Good Laboratory Practice, as revised in 1997.</w:t>
      </w:r>
    </w:p>
    <w:p w:rsidR="006A234C" w:rsidRDefault="006A2D5B">
      <w:pPr>
        <w:spacing w:line="360" w:lineRule="auto"/>
        <w:rPr>
          <w:sz w:val="24"/>
        </w:rPr>
      </w:pPr>
      <w:r>
        <w:rPr>
          <w:sz w:val="24"/>
        </w:rPr>
        <w:lastRenderedPageBreak/>
        <w:t xml:space="preserve">[3] CFR Title </w:t>
      </w:r>
      <w:r>
        <w:rPr>
          <w:rStyle w:val="af6"/>
          <w:b w:val="0"/>
          <w:sz w:val="24"/>
        </w:rPr>
        <w:t xml:space="preserve">21 Part 58 </w:t>
      </w:r>
      <w:r>
        <w:rPr>
          <w:sz w:val="24"/>
        </w:rPr>
        <w:t xml:space="preserve">Good Laboratory Practice for Nonclinical Laboratory Studies. </w:t>
      </w:r>
    </w:p>
    <w:p w:rsidR="006A234C" w:rsidRDefault="006A2D5B">
      <w:pPr>
        <w:spacing w:line="360" w:lineRule="auto"/>
        <w:rPr>
          <w:sz w:val="24"/>
        </w:rPr>
      </w:pPr>
      <w:r>
        <w:rPr>
          <w:sz w:val="24"/>
        </w:rPr>
        <w:t xml:space="preserve">                                                                                                                                                                                    </w:t>
      </w:r>
    </w:p>
    <w:p w:rsidR="006A234C" w:rsidRDefault="006A2D5B">
      <w:pPr>
        <w:spacing w:line="360" w:lineRule="auto"/>
        <w:rPr>
          <w:sz w:val="24"/>
        </w:rPr>
      </w:pPr>
      <w:r>
        <w:rPr>
          <w:noProof/>
          <w:sz w:val="24"/>
        </w:rPr>
        <mc:AlternateContent>
          <mc:Choice Requires="wps">
            <w:drawing>
              <wp:anchor distT="0" distB="0" distL="114300" distR="114300" simplePos="0" relativeHeight="251659264" behindDoc="0" locked="0" layoutInCell="1" allowOverlap="1">
                <wp:simplePos x="0" y="0"/>
                <wp:positionH relativeFrom="column">
                  <wp:posOffset>1826260</wp:posOffset>
                </wp:positionH>
                <wp:positionV relativeFrom="paragraph">
                  <wp:posOffset>308610</wp:posOffset>
                </wp:positionV>
                <wp:extent cx="1800225" cy="0"/>
                <wp:effectExtent l="0" t="0" r="1016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19050" cmpd="sng">
                          <a:solidFill>
                            <a:srgbClr val="000000"/>
                          </a:solidFill>
                          <a:round/>
                        </a:ln>
                      </wps:spPr>
                      <wps:bodyPr/>
                    </wps:wsp>
                  </a:graphicData>
                </a:graphic>
              </wp:anchor>
            </w:drawing>
          </mc:Choice>
          <mc:Fallback>
            <w:pict>
              <v:line w14:anchorId="19EC11C7" id="Line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43.8pt,24.3pt" to="285.5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" strokeweight="1.5pt"/>
            </w:pict>
          </mc:Fallback>
        </mc:AlternateContent>
      </w:r>
    </w:p>
    <w:sectPr w:rsidR="006A234C">
      <w:headerReference w:type="even" r:id="rId16"/>
      <w:headerReference w:type="default" r:id="rId17"/>
      <w:headerReference w:type="first" r:id="rId18"/>
      <w:pgSz w:w="11906" w:h="16838"/>
      <w:pgMar w:top="1077" w:right="1418" w:bottom="1077" w:left="1418" w:header="964" w:footer="964" w:gutter="567"/>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2D5B" w:rsidRDefault="006A2D5B">
      <w:r>
        <w:separator/>
      </w:r>
    </w:p>
  </w:endnote>
  <w:endnote w:type="continuationSeparator" w:id="0">
    <w:p w:rsidR="006A2D5B" w:rsidRDefault="006A2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34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D5B">
    <w:pPr>
      <w:pStyle w:val="ae"/>
      <w:pBdr>
        <w:top w:val="single" w:sz="4" w:space="0" w:color="auto"/>
      </w:pBdr>
    </w:pPr>
    <w:r>
      <w:rPr>
        <w:rFonts w:eastAsia="黑体"/>
        <w:color w:val="000000"/>
        <w:sz w:val="24"/>
        <w:szCs w:val="24"/>
        <w:lang w:eastAsia="zh-Hans"/>
      </w:rPr>
      <w:t>TQXS-SOP</w:t>
    </w:r>
    <w:r>
      <w:rPr>
        <w:rFonts w:eastAsia="黑体"/>
        <w:color w:val="000000"/>
        <w:sz w:val="24"/>
        <w:szCs w:val="24"/>
      </w:rPr>
      <w:t>-GEN-0</w:t>
    </w:r>
    <w:r>
      <w:rPr>
        <w:rFonts w:eastAsia="黑体" w:hint="eastAsia"/>
        <w:color w:val="000000"/>
        <w:sz w:val="24"/>
        <w:szCs w:val="24"/>
      </w:rPr>
      <w:t>15</w:t>
    </w:r>
    <w:r>
      <w:rPr>
        <w:rFonts w:ascii="宋体" w:hAnsi="宋体" w:hint="eastAsia"/>
        <w:sz w:val="24"/>
        <w:szCs w:val="24"/>
      </w:rPr>
      <w:t xml:space="preserve">         </w:t>
    </w:r>
    <w:r>
      <w:rPr>
        <w:rFonts w:ascii="宋体" w:hAnsi="宋体" w:hint="eastAsia"/>
        <w:sz w:val="24"/>
        <w:szCs w:val="24"/>
      </w:rPr>
      <w:t xml:space="preserve">  </w:t>
    </w:r>
    <w:r>
      <w:rPr>
        <w:sz w:val="24"/>
        <w:szCs w:val="24"/>
      </w:rPr>
      <w:t xml:space="preserve"> </w:t>
    </w:r>
    <w:r>
      <w:rPr>
        <w:bCs/>
        <w:snapToGrid w:val="0"/>
        <w:kern w:val="0"/>
        <w:sz w:val="24"/>
        <w:szCs w:val="24"/>
      </w:rPr>
      <w:t>版本</w:t>
    </w:r>
    <w:r>
      <w:rPr>
        <w:bCs/>
        <w:snapToGrid w:val="0"/>
        <w:kern w:val="0"/>
        <w:sz w:val="24"/>
        <w:szCs w:val="24"/>
      </w:rPr>
      <w:t>/</w:t>
    </w:r>
    <w:r>
      <w:rPr>
        <w:rFonts w:hint="eastAsia"/>
        <w:sz w:val="24"/>
        <w:szCs w:val="24"/>
      </w:rPr>
      <w:t>版次：</w:t>
    </w:r>
    <w:r>
      <w:rPr>
        <w:rFonts w:hint="eastAsia"/>
        <w:sz w:val="24"/>
        <w:szCs w:val="24"/>
      </w:rPr>
      <w:t>1</w:t>
    </w:r>
    <w:r>
      <w:rPr>
        <w:rFonts w:hint="eastAsia"/>
        <w:sz w:val="24"/>
        <w:szCs w:val="24"/>
      </w:rPr>
      <w:t>.</w:t>
    </w:r>
    <w:r>
      <w:rPr>
        <w:noProof/>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A234C" w:rsidRDefault="006A2D5B">
                          <w:pPr>
                            <w:pStyle w:val="ae"/>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w:t>
                          </w:r>
                          <w:r>
                            <w:rPr>
                              <w:sz w:val="24"/>
                              <w:szCs w:val="24"/>
                            </w:rPr>
                            <w:t>页</w:t>
                          </w:r>
                          <w:r>
                            <w:rPr>
                              <w:sz w:val="24"/>
                              <w:szCs w:val="24"/>
                            </w:rPr>
                            <w:t xml:space="preserve"> </w:t>
                          </w:r>
                          <w:r>
                            <w:rPr>
                              <w:sz w:val="24"/>
                              <w:szCs w:val="24"/>
                            </w:rPr>
                            <w:t>共</w:t>
                          </w:r>
                          <w:r>
                            <w:rPr>
                              <w:sz w:val="24"/>
                              <w:szCs w:val="24"/>
                            </w:rPr>
                            <w:t xml:space="preserve">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13</w:t>
                          </w:r>
                          <w:r>
                            <w:rPr>
                              <w:sz w:val="24"/>
                              <w:szCs w:val="24"/>
                            </w:rPr>
                            <w:fldChar w:fldCharType="end"/>
                          </w:r>
                          <w:r>
                            <w:rPr>
                              <w:sz w:val="24"/>
                              <w:szCs w:val="24"/>
                            </w:rPr>
                            <w:t xml:space="preserve"> </w:t>
                          </w:r>
                          <w:r>
                            <w:rPr>
                              <w:sz w:val="24"/>
                              <w:szCs w:val="24"/>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6A234C" w:rsidRDefault="006A2D5B">
                    <w:pPr>
                      <w:pStyle w:val="ae"/>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w:t>
                    </w:r>
                    <w:r>
                      <w:rPr>
                        <w:sz w:val="24"/>
                        <w:szCs w:val="24"/>
                      </w:rPr>
                      <w:t>页</w:t>
                    </w:r>
                    <w:r>
                      <w:rPr>
                        <w:sz w:val="24"/>
                        <w:szCs w:val="24"/>
                      </w:rPr>
                      <w:t xml:space="preserve"> </w:t>
                    </w:r>
                    <w:r>
                      <w:rPr>
                        <w:sz w:val="24"/>
                        <w:szCs w:val="24"/>
                      </w:rPr>
                      <w:t>共</w:t>
                    </w:r>
                    <w:r>
                      <w:rPr>
                        <w:sz w:val="24"/>
                        <w:szCs w:val="24"/>
                      </w:rPr>
                      <w:t xml:space="preserve">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13</w:t>
                    </w:r>
                    <w:r>
                      <w:rPr>
                        <w:sz w:val="24"/>
                        <w:szCs w:val="24"/>
                      </w:rPr>
                      <w:fldChar w:fldCharType="end"/>
                    </w:r>
                    <w:r>
                      <w:rPr>
                        <w:sz w:val="24"/>
                        <w:szCs w:val="24"/>
                      </w:rPr>
                      <w:t xml:space="preserve"> </w:t>
                    </w:r>
                    <w:r>
                      <w:rPr>
                        <w:sz w:val="24"/>
                        <w:szCs w:val="24"/>
                      </w:rPr>
                      <w:t>页</w:t>
                    </w:r>
                  </w:p>
                </w:txbxContent>
              </v:textbox>
              <w10:wrap anchorx="margin"/>
            </v:shape>
          </w:pict>
        </mc:Fallback>
      </mc:AlternateContent>
    </w:r>
    <w:r>
      <w:rPr>
        <w:rFonts w:hint="eastAsia"/>
        <w:sz w:val="24"/>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D5B">
    <w:pPr>
      <w:pStyle w:val="ae"/>
      <w:pBdr>
        <w:top w:val="single" w:sz="4" w:space="0" w:color="auto"/>
      </w:pBdr>
    </w:pPr>
    <w:r>
      <w:rPr>
        <w:rFonts w:eastAsia="黑体"/>
        <w:color w:val="000000"/>
        <w:sz w:val="24"/>
        <w:szCs w:val="24"/>
        <w:lang w:eastAsia="zh-Hans"/>
      </w:rPr>
      <w:t>TQXS-SOP</w:t>
    </w:r>
    <w:r>
      <w:rPr>
        <w:rFonts w:eastAsia="黑体"/>
        <w:color w:val="000000"/>
        <w:sz w:val="24"/>
        <w:szCs w:val="24"/>
      </w:rPr>
      <w:t>-GEN-0</w:t>
    </w:r>
    <w:r>
      <w:rPr>
        <w:rFonts w:eastAsia="黑体" w:hint="eastAsia"/>
        <w:color w:val="000000"/>
        <w:sz w:val="24"/>
        <w:szCs w:val="24"/>
      </w:rPr>
      <w:t>15</w:t>
    </w:r>
    <w:r>
      <w:rPr>
        <w:rFonts w:ascii="宋体" w:hAnsi="宋体" w:hint="eastAsia"/>
        <w:sz w:val="24"/>
        <w:szCs w:val="24"/>
      </w:rPr>
      <w:t xml:space="preserve">         </w:t>
    </w:r>
    <w:r>
      <w:rPr>
        <w:rFonts w:ascii="宋体" w:hAnsi="宋体" w:hint="eastAsia"/>
        <w:sz w:val="24"/>
        <w:szCs w:val="24"/>
      </w:rPr>
      <w:t xml:space="preserve">  </w:t>
    </w:r>
    <w:r>
      <w:rPr>
        <w:sz w:val="24"/>
        <w:szCs w:val="24"/>
      </w:rPr>
      <w:t xml:space="preserve"> </w:t>
    </w:r>
    <w:r>
      <w:rPr>
        <w:bCs/>
        <w:snapToGrid w:val="0"/>
        <w:kern w:val="0"/>
        <w:sz w:val="24"/>
        <w:szCs w:val="24"/>
      </w:rPr>
      <w:t>版本</w:t>
    </w:r>
    <w:r>
      <w:rPr>
        <w:bCs/>
        <w:snapToGrid w:val="0"/>
        <w:kern w:val="0"/>
        <w:sz w:val="24"/>
        <w:szCs w:val="24"/>
      </w:rPr>
      <w:t>/</w:t>
    </w:r>
    <w:r>
      <w:rPr>
        <w:rFonts w:hint="eastAsia"/>
        <w:sz w:val="24"/>
        <w:szCs w:val="24"/>
      </w:rPr>
      <w:t>版次：</w:t>
    </w:r>
    <w:r>
      <w:rPr>
        <w:rFonts w:hint="eastAsia"/>
        <w:sz w:val="24"/>
        <w:szCs w:val="24"/>
      </w:rPr>
      <w:t>1</w:t>
    </w:r>
    <w:r>
      <w:rPr>
        <w:rFonts w:hint="eastAsia"/>
        <w:sz w:val="24"/>
        <w:szCs w:val="24"/>
      </w:rPr>
      <w:t>.</w:t>
    </w: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A234C" w:rsidRDefault="006A2D5B">
                          <w:pPr>
                            <w:pStyle w:val="ae"/>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w:t>
                          </w:r>
                          <w:r>
                            <w:rPr>
                              <w:sz w:val="24"/>
                              <w:szCs w:val="24"/>
                            </w:rPr>
                            <w:t>页</w:t>
                          </w:r>
                          <w:r>
                            <w:rPr>
                              <w:sz w:val="24"/>
                              <w:szCs w:val="24"/>
                            </w:rPr>
                            <w:t xml:space="preserve"> </w:t>
                          </w:r>
                          <w:r>
                            <w:rPr>
                              <w:sz w:val="24"/>
                              <w:szCs w:val="24"/>
                            </w:rPr>
                            <w:t>共</w:t>
                          </w:r>
                          <w:r>
                            <w:rPr>
                              <w:sz w:val="24"/>
                              <w:szCs w:val="24"/>
                            </w:rPr>
                            <w:t xml:space="preserve">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13</w:t>
                          </w:r>
                          <w:r>
                            <w:rPr>
                              <w:sz w:val="24"/>
                              <w:szCs w:val="24"/>
                            </w:rPr>
                            <w:fldChar w:fldCharType="end"/>
                          </w:r>
                          <w:r>
                            <w:rPr>
                              <w:sz w:val="24"/>
                              <w:szCs w:val="24"/>
                            </w:rPr>
                            <w:t xml:space="preserve"> </w:t>
                          </w:r>
                          <w:r>
                            <w:rPr>
                              <w:sz w:val="24"/>
                              <w:szCs w:val="24"/>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rsidR="006A234C" w:rsidRDefault="006A2D5B">
                    <w:pPr>
                      <w:pStyle w:val="ae"/>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w:t>
                    </w:r>
                    <w:r>
                      <w:rPr>
                        <w:sz w:val="24"/>
                        <w:szCs w:val="24"/>
                      </w:rPr>
                      <w:t>页</w:t>
                    </w:r>
                    <w:r>
                      <w:rPr>
                        <w:sz w:val="24"/>
                        <w:szCs w:val="24"/>
                      </w:rPr>
                      <w:t xml:space="preserve"> </w:t>
                    </w:r>
                    <w:r>
                      <w:rPr>
                        <w:sz w:val="24"/>
                        <w:szCs w:val="24"/>
                      </w:rPr>
                      <w:t>共</w:t>
                    </w:r>
                    <w:r>
                      <w:rPr>
                        <w:sz w:val="24"/>
                        <w:szCs w:val="24"/>
                      </w:rPr>
                      <w:t xml:space="preserve">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13</w:t>
                    </w:r>
                    <w:r>
                      <w:rPr>
                        <w:sz w:val="24"/>
                        <w:szCs w:val="24"/>
                      </w:rPr>
                      <w:fldChar w:fldCharType="end"/>
                    </w:r>
                    <w:r>
                      <w:rPr>
                        <w:sz w:val="24"/>
                        <w:szCs w:val="24"/>
                      </w:rPr>
                      <w:t xml:space="preserve"> </w:t>
                    </w:r>
                    <w:r>
                      <w:rPr>
                        <w:sz w:val="24"/>
                        <w:szCs w:val="24"/>
                      </w:rPr>
                      <w:t>页</w:t>
                    </w:r>
                  </w:p>
                </w:txbxContent>
              </v:textbox>
              <w10:wrap anchorx="margin"/>
            </v:shape>
          </w:pict>
        </mc:Fallback>
      </mc:AlternateContent>
    </w:r>
    <w:r>
      <w:rPr>
        <w:rFonts w:hint="eastAsia"/>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2D5B" w:rsidRDefault="006A2D5B">
      <w:r>
        <w:separator/>
      </w:r>
    </w:p>
  </w:footnote>
  <w:footnote w:type="continuationSeparator" w:id="0">
    <w:p w:rsidR="006A2D5B" w:rsidRDefault="006A2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34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D5B">
    <w:pPr>
      <w:pStyle w:val="af0"/>
      <w:jc w:val="both"/>
    </w:pPr>
    <w:r>
      <w:rPr>
        <w:noProof/>
      </w:rPr>
      <w:drawing>
        <wp:inline distT="0" distB="0" distL="114300" distR="114300">
          <wp:extent cx="1151890" cy="288290"/>
          <wp:effectExtent l="0" t="0" r="1016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34C">
    <w:pPr>
      <w:pStyle w:val="af0"/>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34C">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D5B">
    <w:pPr>
      <w:pStyle w:val="af0"/>
      <w:pBdr>
        <w:bottom w:val="single" w:sz="4" w:space="1" w:color="auto"/>
      </w:pBdr>
      <w:tabs>
        <w:tab w:val="clear" w:pos="4153"/>
        <w:tab w:val="clear" w:pos="8306"/>
        <w:tab w:val="left" w:pos="2025"/>
      </w:tabs>
      <w:jc w:val="both"/>
    </w:pPr>
    <w:r>
      <w:rPr>
        <w:noProof/>
      </w:rPr>
      <w:drawing>
        <wp:inline distT="0" distB="0" distL="114300" distR="114300">
          <wp:extent cx="1151890" cy="288290"/>
          <wp:effectExtent l="0" t="0" r="10160"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34C" w:rsidRDefault="006A2D5B">
    <w:pPr>
      <w:pStyle w:val="af0"/>
      <w:jc w:val="both"/>
    </w:pPr>
    <w:r>
      <w:rPr>
        <w:noProof/>
      </w:rPr>
      <w:drawing>
        <wp:inline distT="0" distB="0" distL="114300" distR="114300">
          <wp:extent cx="1151890" cy="288290"/>
          <wp:effectExtent l="0" t="0" r="10160" b="165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634E0"/>
    <w:multiLevelType w:val="multilevel"/>
    <w:tmpl w:val="116634E0"/>
    <w:lvl w:ilvl="0">
      <w:start w:val="1"/>
      <w:numFmt w:val="bullet"/>
      <w:lvlText w:val=""/>
      <w:lvlJc w:val="left"/>
      <w:pPr>
        <w:ind w:left="420" w:hanging="420"/>
      </w:pPr>
      <w:rPr>
        <w:rFonts w:ascii="Symbol" w:hAnsi="Symbol" w:hint="default"/>
        <w:color w:val="auto"/>
        <w:sz w:val="22"/>
        <w:szCs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Y2YmI5ODJhNmRkZWUyNTBhOGM1YmZkNDE0MjlmZTcifQ=="/>
  </w:docVars>
  <w:rsids>
    <w:rsidRoot w:val="00172A27"/>
    <w:rsid w:val="0000043B"/>
    <w:rsid w:val="00007BB5"/>
    <w:rsid w:val="00016169"/>
    <w:rsid w:val="00022EE0"/>
    <w:rsid w:val="00026D94"/>
    <w:rsid w:val="00027B77"/>
    <w:rsid w:val="00033415"/>
    <w:rsid w:val="000355B6"/>
    <w:rsid w:val="000426EF"/>
    <w:rsid w:val="00045341"/>
    <w:rsid w:val="00046066"/>
    <w:rsid w:val="00047299"/>
    <w:rsid w:val="00055E77"/>
    <w:rsid w:val="000632DF"/>
    <w:rsid w:val="0006364B"/>
    <w:rsid w:val="0006735B"/>
    <w:rsid w:val="000675B1"/>
    <w:rsid w:val="00067A4A"/>
    <w:rsid w:val="00067FD2"/>
    <w:rsid w:val="00074CF1"/>
    <w:rsid w:val="0007564E"/>
    <w:rsid w:val="00076D1C"/>
    <w:rsid w:val="000816C9"/>
    <w:rsid w:val="00083299"/>
    <w:rsid w:val="00096E3A"/>
    <w:rsid w:val="000A01AD"/>
    <w:rsid w:val="000C0E3B"/>
    <w:rsid w:val="000C5827"/>
    <w:rsid w:val="000D18FF"/>
    <w:rsid w:val="000D5EFE"/>
    <w:rsid w:val="000F1738"/>
    <w:rsid w:val="000F56A1"/>
    <w:rsid w:val="000F5FCE"/>
    <w:rsid w:val="000F6DA1"/>
    <w:rsid w:val="0011179A"/>
    <w:rsid w:val="00122633"/>
    <w:rsid w:val="00123D7B"/>
    <w:rsid w:val="001248C7"/>
    <w:rsid w:val="001257A5"/>
    <w:rsid w:val="00144586"/>
    <w:rsid w:val="00144A42"/>
    <w:rsid w:val="001450E3"/>
    <w:rsid w:val="00151BE1"/>
    <w:rsid w:val="00152C17"/>
    <w:rsid w:val="00153DA2"/>
    <w:rsid w:val="001571D5"/>
    <w:rsid w:val="00157D89"/>
    <w:rsid w:val="00162EE2"/>
    <w:rsid w:val="001640E8"/>
    <w:rsid w:val="00172A27"/>
    <w:rsid w:val="00173067"/>
    <w:rsid w:val="00174AE5"/>
    <w:rsid w:val="00193B7D"/>
    <w:rsid w:val="001A3979"/>
    <w:rsid w:val="001A4498"/>
    <w:rsid w:val="001A6155"/>
    <w:rsid w:val="001C0622"/>
    <w:rsid w:val="001C2BED"/>
    <w:rsid w:val="001D5CE2"/>
    <w:rsid w:val="001E03DF"/>
    <w:rsid w:val="001E4524"/>
    <w:rsid w:val="001E7C5F"/>
    <w:rsid w:val="001F25FF"/>
    <w:rsid w:val="001F66F8"/>
    <w:rsid w:val="001F7F25"/>
    <w:rsid w:val="00206E83"/>
    <w:rsid w:val="002074CF"/>
    <w:rsid w:val="00221733"/>
    <w:rsid w:val="002236D3"/>
    <w:rsid w:val="00231D14"/>
    <w:rsid w:val="00236311"/>
    <w:rsid w:val="00240A52"/>
    <w:rsid w:val="00242EAD"/>
    <w:rsid w:val="00243725"/>
    <w:rsid w:val="00246A12"/>
    <w:rsid w:val="00255109"/>
    <w:rsid w:val="002559A6"/>
    <w:rsid w:val="00263A9F"/>
    <w:rsid w:val="00266533"/>
    <w:rsid w:val="00266CA7"/>
    <w:rsid w:val="00275CA4"/>
    <w:rsid w:val="002813A1"/>
    <w:rsid w:val="002876EB"/>
    <w:rsid w:val="00291975"/>
    <w:rsid w:val="00291B9C"/>
    <w:rsid w:val="002A3D80"/>
    <w:rsid w:val="002A674B"/>
    <w:rsid w:val="002B26D5"/>
    <w:rsid w:val="002B3FAC"/>
    <w:rsid w:val="002B59B8"/>
    <w:rsid w:val="002B5F87"/>
    <w:rsid w:val="002B6393"/>
    <w:rsid w:val="002F6FB2"/>
    <w:rsid w:val="003056C3"/>
    <w:rsid w:val="0030700E"/>
    <w:rsid w:val="00312EF0"/>
    <w:rsid w:val="00313EA6"/>
    <w:rsid w:val="003167B0"/>
    <w:rsid w:val="003200AB"/>
    <w:rsid w:val="00330D5F"/>
    <w:rsid w:val="003441E6"/>
    <w:rsid w:val="00345DB9"/>
    <w:rsid w:val="003462C6"/>
    <w:rsid w:val="0037587F"/>
    <w:rsid w:val="00381E98"/>
    <w:rsid w:val="00395834"/>
    <w:rsid w:val="00397F41"/>
    <w:rsid w:val="003A65A7"/>
    <w:rsid w:val="003C1A9E"/>
    <w:rsid w:val="003C3F4E"/>
    <w:rsid w:val="003C5BBE"/>
    <w:rsid w:val="003D5C93"/>
    <w:rsid w:val="003E0660"/>
    <w:rsid w:val="003E5570"/>
    <w:rsid w:val="003F4B19"/>
    <w:rsid w:val="00413229"/>
    <w:rsid w:val="00415D6C"/>
    <w:rsid w:val="004264F8"/>
    <w:rsid w:val="004266E1"/>
    <w:rsid w:val="0043157F"/>
    <w:rsid w:val="0044170C"/>
    <w:rsid w:val="0044439F"/>
    <w:rsid w:val="00444BCC"/>
    <w:rsid w:val="00446D3F"/>
    <w:rsid w:val="00453D17"/>
    <w:rsid w:val="00460593"/>
    <w:rsid w:val="00470AC8"/>
    <w:rsid w:val="00474423"/>
    <w:rsid w:val="00476FDB"/>
    <w:rsid w:val="00482C72"/>
    <w:rsid w:val="00493E2F"/>
    <w:rsid w:val="00495C27"/>
    <w:rsid w:val="004A35BF"/>
    <w:rsid w:val="004A5AE2"/>
    <w:rsid w:val="004B4872"/>
    <w:rsid w:val="004B507C"/>
    <w:rsid w:val="004B7995"/>
    <w:rsid w:val="004C73ED"/>
    <w:rsid w:val="004D2AEB"/>
    <w:rsid w:val="004D4736"/>
    <w:rsid w:val="004D5ACD"/>
    <w:rsid w:val="004E18D9"/>
    <w:rsid w:val="004F44D8"/>
    <w:rsid w:val="004F53FA"/>
    <w:rsid w:val="004F659A"/>
    <w:rsid w:val="00505355"/>
    <w:rsid w:val="005109B3"/>
    <w:rsid w:val="00514C02"/>
    <w:rsid w:val="005158A9"/>
    <w:rsid w:val="00530BDB"/>
    <w:rsid w:val="00530CFB"/>
    <w:rsid w:val="00540226"/>
    <w:rsid w:val="00547A62"/>
    <w:rsid w:val="00551C64"/>
    <w:rsid w:val="00583E9B"/>
    <w:rsid w:val="00585C18"/>
    <w:rsid w:val="0058723B"/>
    <w:rsid w:val="00587A78"/>
    <w:rsid w:val="00591BD1"/>
    <w:rsid w:val="005A2F96"/>
    <w:rsid w:val="005A345A"/>
    <w:rsid w:val="005B4DC7"/>
    <w:rsid w:val="005C280F"/>
    <w:rsid w:val="005C7AAA"/>
    <w:rsid w:val="005D2D0D"/>
    <w:rsid w:val="005D7503"/>
    <w:rsid w:val="005E1B83"/>
    <w:rsid w:val="005E431C"/>
    <w:rsid w:val="005E5374"/>
    <w:rsid w:val="005E585C"/>
    <w:rsid w:val="005E7B69"/>
    <w:rsid w:val="005F5851"/>
    <w:rsid w:val="00600977"/>
    <w:rsid w:val="006013DF"/>
    <w:rsid w:val="0060719A"/>
    <w:rsid w:val="00621C39"/>
    <w:rsid w:val="00633585"/>
    <w:rsid w:val="006360AF"/>
    <w:rsid w:val="0064370C"/>
    <w:rsid w:val="00643FC2"/>
    <w:rsid w:val="006442FA"/>
    <w:rsid w:val="00647BB4"/>
    <w:rsid w:val="00650B7C"/>
    <w:rsid w:val="00664B8D"/>
    <w:rsid w:val="00683E8E"/>
    <w:rsid w:val="006864CB"/>
    <w:rsid w:val="00687538"/>
    <w:rsid w:val="00687FD1"/>
    <w:rsid w:val="0069570C"/>
    <w:rsid w:val="006A234C"/>
    <w:rsid w:val="006A2D5B"/>
    <w:rsid w:val="006B6061"/>
    <w:rsid w:val="006B6142"/>
    <w:rsid w:val="006B6C58"/>
    <w:rsid w:val="006B7067"/>
    <w:rsid w:val="006B7673"/>
    <w:rsid w:val="006C1D75"/>
    <w:rsid w:val="006C2CFF"/>
    <w:rsid w:val="006C4780"/>
    <w:rsid w:val="006C5965"/>
    <w:rsid w:val="006C642C"/>
    <w:rsid w:val="006D02F0"/>
    <w:rsid w:val="006D535F"/>
    <w:rsid w:val="006D5A13"/>
    <w:rsid w:val="006D6C92"/>
    <w:rsid w:val="006E3400"/>
    <w:rsid w:val="006F434E"/>
    <w:rsid w:val="006F6395"/>
    <w:rsid w:val="00700396"/>
    <w:rsid w:val="00711AC3"/>
    <w:rsid w:val="00711E9B"/>
    <w:rsid w:val="00712B4A"/>
    <w:rsid w:val="00714E51"/>
    <w:rsid w:val="007205C7"/>
    <w:rsid w:val="0072142E"/>
    <w:rsid w:val="007318C9"/>
    <w:rsid w:val="00740AE0"/>
    <w:rsid w:val="00740E6A"/>
    <w:rsid w:val="00743FFD"/>
    <w:rsid w:val="00744A22"/>
    <w:rsid w:val="007718E8"/>
    <w:rsid w:val="00776D1B"/>
    <w:rsid w:val="007A03AB"/>
    <w:rsid w:val="007A683E"/>
    <w:rsid w:val="007B1A62"/>
    <w:rsid w:val="007B1D75"/>
    <w:rsid w:val="007B3244"/>
    <w:rsid w:val="007B4BBE"/>
    <w:rsid w:val="007C4B5F"/>
    <w:rsid w:val="007D19AD"/>
    <w:rsid w:val="007D63B0"/>
    <w:rsid w:val="007E0424"/>
    <w:rsid w:val="007E7B95"/>
    <w:rsid w:val="007F0CC9"/>
    <w:rsid w:val="007F51A5"/>
    <w:rsid w:val="00801C31"/>
    <w:rsid w:val="00803802"/>
    <w:rsid w:val="00803FFD"/>
    <w:rsid w:val="0080499A"/>
    <w:rsid w:val="008056FA"/>
    <w:rsid w:val="00817F5C"/>
    <w:rsid w:val="0083023A"/>
    <w:rsid w:val="00832C9E"/>
    <w:rsid w:val="00837EFD"/>
    <w:rsid w:val="008457DE"/>
    <w:rsid w:val="00853A82"/>
    <w:rsid w:val="00865529"/>
    <w:rsid w:val="00877641"/>
    <w:rsid w:val="008810F6"/>
    <w:rsid w:val="008870DB"/>
    <w:rsid w:val="00893EB5"/>
    <w:rsid w:val="00894F5B"/>
    <w:rsid w:val="00896717"/>
    <w:rsid w:val="00896E0D"/>
    <w:rsid w:val="00897EAE"/>
    <w:rsid w:val="008A6E9B"/>
    <w:rsid w:val="008B66EE"/>
    <w:rsid w:val="008C0FA0"/>
    <w:rsid w:val="008C1A6A"/>
    <w:rsid w:val="008C6879"/>
    <w:rsid w:val="008D113B"/>
    <w:rsid w:val="008D5702"/>
    <w:rsid w:val="008D583E"/>
    <w:rsid w:val="008D5EFD"/>
    <w:rsid w:val="008E0D1C"/>
    <w:rsid w:val="008F4247"/>
    <w:rsid w:val="00904449"/>
    <w:rsid w:val="00910D01"/>
    <w:rsid w:val="0091570B"/>
    <w:rsid w:val="00915CC1"/>
    <w:rsid w:val="0091614F"/>
    <w:rsid w:val="00930814"/>
    <w:rsid w:val="009400B6"/>
    <w:rsid w:val="00941DCF"/>
    <w:rsid w:val="009438B2"/>
    <w:rsid w:val="009441C4"/>
    <w:rsid w:val="0095130F"/>
    <w:rsid w:val="00953399"/>
    <w:rsid w:val="0095392C"/>
    <w:rsid w:val="00961BB4"/>
    <w:rsid w:val="00971CA1"/>
    <w:rsid w:val="00973F9C"/>
    <w:rsid w:val="009760AC"/>
    <w:rsid w:val="00980185"/>
    <w:rsid w:val="009818D1"/>
    <w:rsid w:val="00982E80"/>
    <w:rsid w:val="009918E2"/>
    <w:rsid w:val="009A683E"/>
    <w:rsid w:val="009B21B5"/>
    <w:rsid w:val="009B29A3"/>
    <w:rsid w:val="009B2F91"/>
    <w:rsid w:val="009C07BF"/>
    <w:rsid w:val="009C4784"/>
    <w:rsid w:val="009D1BEA"/>
    <w:rsid w:val="009D41CC"/>
    <w:rsid w:val="009E11A4"/>
    <w:rsid w:val="009E5028"/>
    <w:rsid w:val="009F1B80"/>
    <w:rsid w:val="009F6018"/>
    <w:rsid w:val="00A00FDA"/>
    <w:rsid w:val="00A07A19"/>
    <w:rsid w:val="00A07BAD"/>
    <w:rsid w:val="00A211CE"/>
    <w:rsid w:val="00A22819"/>
    <w:rsid w:val="00A30835"/>
    <w:rsid w:val="00A32325"/>
    <w:rsid w:val="00A32C33"/>
    <w:rsid w:val="00A377C0"/>
    <w:rsid w:val="00A43896"/>
    <w:rsid w:val="00A45423"/>
    <w:rsid w:val="00A4624F"/>
    <w:rsid w:val="00A46613"/>
    <w:rsid w:val="00A52CA8"/>
    <w:rsid w:val="00A55D5F"/>
    <w:rsid w:val="00A64311"/>
    <w:rsid w:val="00A646DF"/>
    <w:rsid w:val="00A73F39"/>
    <w:rsid w:val="00A817DD"/>
    <w:rsid w:val="00A85404"/>
    <w:rsid w:val="00A868E2"/>
    <w:rsid w:val="00A869C6"/>
    <w:rsid w:val="00A9064C"/>
    <w:rsid w:val="00A931E2"/>
    <w:rsid w:val="00A95423"/>
    <w:rsid w:val="00A95C6D"/>
    <w:rsid w:val="00AA5739"/>
    <w:rsid w:val="00AB5406"/>
    <w:rsid w:val="00AB7B86"/>
    <w:rsid w:val="00AD0DA4"/>
    <w:rsid w:val="00AD19F2"/>
    <w:rsid w:val="00AD7396"/>
    <w:rsid w:val="00AE3789"/>
    <w:rsid w:val="00AE46B5"/>
    <w:rsid w:val="00AE71BF"/>
    <w:rsid w:val="00AF6A20"/>
    <w:rsid w:val="00B05901"/>
    <w:rsid w:val="00B1113F"/>
    <w:rsid w:val="00B11490"/>
    <w:rsid w:val="00B12460"/>
    <w:rsid w:val="00B15CF5"/>
    <w:rsid w:val="00B15D97"/>
    <w:rsid w:val="00B174C0"/>
    <w:rsid w:val="00B205DD"/>
    <w:rsid w:val="00B25778"/>
    <w:rsid w:val="00B2615C"/>
    <w:rsid w:val="00B51748"/>
    <w:rsid w:val="00B53845"/>
    <w:rsid w:val="00B54131"/>
    <w:rsid w:val="00B579C2"/>
    <w:rsid w:val="00B63743"/>
    <w:rsid w:val="00B6778D"/>
    <w:rsid w:val="00B725EE"/>
    <w:rsid w:val="00B8395F"/>
    <w:rsid w:val="00B961A4"/>
    <w:rsid w:val="00BA4C43"/>
    <w:rsid w:val="00BB4C6B"/>
    <w:rsid w:val="00BC2E1F"/>
    <w:rsid w:val="00BC57B3"/>
    <w:rsid w:val="00BC5ECA"/>
    <w:rsid w:val="00BD709F"/>
    <w:rsid w:val="00BD71F5"/>
    <w:rsid w:val="00BE35E6"/>
    <w:rsid w:val="00BE5660"/>
    <w:rsid w:val="00BF3252"/>
    <w:rsid w:val="00BF691E"/>
    <w:rsid w:val="00C0081D"/>
    <w:rsid w:val="00C07C67"/>
    <w:rsid w:val="00C1091F"/>
    <w:rsid w:val="00C34387"/>
    <w:rsid w:val="00C41FE4"/>
    <w:rsid w:val="00C429A2"/>
    <w:rsid w:val="00C42F00"/>
    <w:rsid w:val="00C47CD4"/>
    <w:rsid w:val="00C50363"/>
    <w:rsid w:val="00C5294A"/>
    <w:rsid w:val="00C55E4D"/>
    <w:rsid w:val="00C6191B"/>
    <w:rsid w:val="00C636C9"/>
    <w:rsid w:val="00C712D6"/>
    <w:rsid w:val="00C762FF"/>
    <w:rsid w:val="00C811F2"/>
    <w:rsid w:val="00C82D7A"/>
    <w:rsid w:val="00C8336E"/>
    <w:rsid w:val="00C837BD"/>
    <w:rsid w:val="00C92A1A"/>
    <w:rsid w:val="00C97175"/>
    <w:rsid w:val="00CA0C82"/>
    <w:rsid w:val="00CA54D6"/>
    <w:rsid w:val="00CA5B40"/>
    <w:rsid w:val="00CA5C1A"/>
    <w:rsid w:val="00CB4809"/>
    <w:rsid w:val="00CC2AC3"/>
    <w:rsid w:val="00CC47AC"/>
    <w:rsid w:val="00CD080F"/>
    <w:rsid w:val="00CE5C9E"/>
    <w:rsid w:val="00D04856"/>
    <w:rsid w:val="00D0500E"/>
    <w:rsid w:val="00D1307A"/>
    <w:rsid w:val="00D238CC"/>
    <w:rsid w:val="00D24DCE"/>
    <w:rsid w:val="00D306D7"/>
    <w:rsid w:val="00D32B49"/>
    <w:rsid w:val="00D3340C"/>
    <w:rsid w:val="00D34734"/>
    <w:rsid w:val="00D406C3"/>
    <w:rsid w:val="00D44F08"/>
    <w:rsid w:val="00D509A8"/>
    <w:rsid w:val="00D50AB7"/>
    <w:rsid w:val="00D50E19"/>
    <w:rsid w:val="00D5473A"/>
    <w:rsid w:val="00D6325D"/>
    <w:rsid w:val="00D67AE9"/>
    <w:rsid w:val="00D67EE7"/>
    <w:rsid w:val="00D81512"/>
    <w:rsid w:val="00D823D9"/>
    <w:rsid w:val="00D93B72"/>
    <w:rsid w:val="00D94A1E"/>
    <w:rsid w:val="00DA6921"/>
    <w:rsid w:val="00DB46F5"/>
    <w:rsid w:val="00DB71FF"/>
    <w:rsid w:val="00DC0C8A"/>
    <w:rsid w:val="00DC1B0A"/>
    <w:rsid w:val="00DC490A"/>
    <w:rsid w:val="00DC4E49"/>
    <w:rsid w:val="00DC6F35"/>
    <w:rsid w:val="00DD1FB0"/>
    <w:rsid w:val="00DD36A8"/>
    <w:rsid w:val="00DD390D"/>
    <w:rsid w:val="00DD44BF"/>
    <w:rsid w:val="00DD5674"/>
    <w:rsid w:val="00DD6266"/>
    <w:rsid w:val="00DE087E"/>
    <w:rsid w:val="00DE1F33"/>
    <w:rsid w:val="00DE3043"/>
    <w:rsid w:val="00DF1371"/>
    <w:rsid w:val="00DF382F"/>
    <w:rsid w:val="00DF684F"/>
    <w:rsid w:val="00E00240"/>
    <w:rsid w:val="00E02B3F"/>
    <w:rsid w:val="00E02E84"/>
    <w:rsid w:val="00E113CB"/>
    <w:rsid w:val="00E17B48"/>
    <w:rsid w:val="00E2126A"/>
    <w:rsid w:val="00E21526"/>
    <w:rsid w:val="00E216E8"/>
    <w:rsid w:val="00E27A13"/>
    <w:rsid w:val="00E31865"/>
    <w:rsid w:val="00E34E2D"/>
    <w:rsid w:val="00E401B7"/>
    <w:rsid w:val="00E45F92"/>
    <w:rsid w:val="00E47394"/>
    <w:rsid w:val="00E52186"/>
    <w:rsid w:val="00E55139"/>
    <w:rsid w:val="00E60FC0"/>
    <w:rsid w:val="00E6144C"/>
    <w:rsid w:val="00E634F5"/>
    <w:rsid w:val="00E67E7E"/>
    <w:rsid w:val="00E70941"/>
    <w:rsid w:val="00E73E15"/>
    <w:rsid w:val="00E75D8B"/>
    <w:rsid w:val="00E77D1E"/>
    <w:rsid w:val="00E93976"/>
    <w:rsid w:val="00E942AB"/>
    <w:rsid w:val="00E9511C"/>
    <w:rsid w:val="00E97D32"/>
    <w:rsid w:val="00EA40CD"/>
    <w:rsid w:val="00EA4348"/>
    <w:rsid w:val="00EA5401"/>
    <w:rsid w:val="00EB44A6"/>
    <w:rsid w:val="00EB4FB2"/>
    <w:rsid w:val="00EB56C9"/>
    <w:rsid w:val="00EB5891"/>
    <w:rsid w:val="00EC4F16"/>
    <w:rsid w:val="00ED226D"/>
    <w:rsid w:val="00ED5D52"/>
    <w:rsid w:val="00EE2053"/>
    <w:rsid w:val="00EF4DF9"/>
    <w:rsid w:val="00EF6F33"/>
    <w:rsid w:val="00F06EFB"/>
    <w:rsid w:val="00F134DE"/>
    <w:rsid w:val="00F13F5B"/>
    <w:rsid w:val="00F22E5B"/>
    <w:rsid w:val="00F25E42"/>
    <w:rsid w:val="00F4132B"/>
    <w:rsid w:val="00F435E8"/>
    <w:rsid w:val="00F50C42"/>
    <w:rsid w:val="00F5116E"/>
    <w:rsid w:val="00F53BC2"/>
    <w:rsid w:val="00F5523E"/>
    <w:rsid w:val="00F562ED"/>
    <w:rsid w:val="00F60ADE"/>
    <w:rsid w:val="00F6469C"/>
    <w:rsid w:val="00F721FB"/>
    <w:rsid w:val="00F744BD"/>
    <w:rsid w:val="00F753F3"/>
    <w:rsid w:val="00F85669"/>
    <w:rsid w:val="00F95ED7"/>
    <w:rsid w:val="00F97ECB"/>
    <w:rsid w:val="00FB286B"/>
    <w:rsid w:val="00FB2901"/>
    <w:rsid w:val="00FB6DB6"/>
    <w:rsid w:val="00FC2DB9"/>
    <w:rsid w:val="00FC2E01"/>
    <w:rsid w:val="00FC3F81"/>
    <w:rsid w:val="00FC612A"/>
    <w:rsid w:val="00FC7DB9"/>
    <w:rsid w:val="00FD20B5"/>
    <w:rsid w:val="00FE144E"/>
    <w:rsid w:val="00FE27C8"/>
    <w:rsid w:val="00FE3E23"/>
    <w:rsid w:val="00FE4FB8"/>
    <w:rsid w:val="00FE69AD"/>
    <w:rsid w:val="00FF0F4A"/>
    <w:rsid w:val="00FF5D99"/>
    <w:rsid w:val="00FF7AD7"/>
    <w:rsid w:val="03712117"/>
    <w:rsid w:val="0C853736"/>
    <w:rsid w:val="0CCB023D"/>
    <w:rsid w:val="11A55E09"/>
    <w:rsid w:val="15342883"/>
    <w:rsid w:val="16423319"/>
    <w:rsid w:val="1BEA5B57"/>
    <w:rsid w:val="1FF06B54"/>
    <w:rsid w:val="217B75E8"/>
    <w:rsid w:val="22A72E51"/>
    <w:rsid w:val="22CC036B"/>
    <w:rsid w:val="25E8798F"/>
    <w:rsid w:val="288A54FA"/>
    <w:rsid w:val="2A582249"/>
    <w:rsid w:val="2F054546"/>
    <w:rsid w:val="35F262F1"/>
    <w:rsid w:val="38692958"/>
    <w:rsid w:val="390F4E4A"/>
    <w:rsid w:val="3AE50BB9"/>
    <w:rsid w:val="4D727017"/>
    <w:rsid w:val="4E941C39"/>
    <w:rsid w:val="5A40451F"/>
    <w:rsid w:val="639139A0"/>
    <w:rsid w:val="6459270B"/>
    <w:rsid w:val="68BA4E6C"/>
    <w:rsid w:val="70C739A6"/>
    <w:rsid w:val="7A50175F"/>
    <w:rsid w:val="7E632212"/>
    <w:rsid w:val="7F095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docId w15:val="{B2D776CE-8753-441F-866C-8B8FCB0A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rFonts w:ascii="Calibri" w:hAnsi="Calibri"/>
      <w:b/>
      <w:bCs/>
      <w:kern w:val="44"/>
      <w:sz w:val="44"/>
      <w:szCs w:val="4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18"/>
      <w:szCs w:val="18"/>
    </w:rPr>
  </w:style>
  <w:style w:type="paragraph" w:styleId="a3">
    <w:name w:val="Normal Indent"/>
    <w:basedOn w:val="a"/>
    <w:qFormat/>
    <w:pPr>
      <w:ind w:firstLine="420"/>
    </w:pPr>
    <w:rPr>
      <w:rFonts w:eastAsia="仿宋_GB2312"/>
      <w:spacing w:val="24"/>
      <w:sz w:val="28"/>
      <w:szCs w:val="20"/>
    </w:rPr>
  </w:style>
  <w:style w:type="paragraph" w:styleId="a4">
    <w:name w:val="caption"/>
    <w:basedOn w:val="a"/>
    <w:next w:val="a"/>
    <w:qFormat/>
    <w:rPr>
      <w:rFonts w:ascii="Cambria" w:eastAsia="黑体" w:hAnsi="Cambria"/>
      <w:sz w:val="20"/>
      <w:szCs w:val="20"/>
    </w:rPr>
  </w:style>
  <w:style w:type="paragraph" w:styleId="a5">
    <w:name w:val="annotation text"/>
    <w:basedOn w:val="a"/>
    <w:link w:val="a6"/>
    <w:qFormat/>
    <w:pPr>
      <w:jc w:val="left"/>
    </w:pPr>
  </w:style>
  <w:style w:type="paragraph" w:styleId="a7">
    <w:name w:val="Body Text Indent"/>
    <w:basedOn w:val="a"/>
    <w:qFormat/>
    <w:pPr>
      <w:spacing w:line="360" w:lineRule="auto"/>
      <w:ind w:firstLineChars="196" w:firstLine="470"/>
    </w:pPr>
    <w:rPr>
      <w:rFonts w:ascii="宋体" w:hAnsi="宋体"/>
      <w:sz w:val="24"/>
    </w:rPr>
  </w:style>
  <w:style w:type="paragraph" w:styleId="TOC5">
    <w:name w:val="toc 5"/>
    <w:basedOn w:val="a"/>
    <w:next w:val="a"/>
    <w:qFormat/>
    <w:pPr>
      <w:ind w:left="840"/>
      <w:jc w:val="left"/>
    </w:pPr>
    <w:rPr>
      <w:rFonts w:ascii="Calibri" w:hAnsi="Calibri" w:cs="Calibri"/>
      <w:sz w:val="18"/>
      <w:szCs w:val="18"/>
    </w:rPr>
  </w:style>
  <w:style w:type="paragraph" w:styleId="TOC3">
    <w:name w:val="toc 3"/>
    <w:basedOn w:val="a"/>
    <w:next w:val="a"/>
    <w:qFormat/>
    <w:pPr>
      <w:ind w:left="420"/>
      <w:jc w:val="left"/>
    </w:pPr>
    <w:rPr>
      <w:rFonts w:ascii="Calibri" w:hAnsi="Calibri" w:cs="Calibri"/>
      <w:i/>
      <w:iCs/>
      <w:sz w:val="20"/>
      <w:szCs w:val="20"/>
    </w:rPr>
  </w:style>
  <w:style w:type="paragraph" w:styleId="a8">
    <w:name w:val="Plain Text"/>
    <w:basedOn w:val="a"/>
    <w:link w:val="a9"/>
    <w:qFormat/>
    <w:rPr>
      <w:rFonts w:ascii="宋体" w:hAnsi="Courier New"/>
      <w:szCs w:val="21"/>
    </w:rPr>
  </w:style>
  <w:style w:type="paragraph" w:styleId="TOC8">
    <w:name w:val="toc 8"/>
    <w:basedOn w:val="a"/>
    <w:next w:val="a"/>
    <w:qFormat/>
    <w:pPr>
      <w:ind w:left="1470"/>
      <w:jc w:val="left"/>
    </w:pPr>
    <w:rPr>
      <w:rFonts w:ascii="Calibri" w:hAnsi="Calibri" w:cs="Calibri"/>
      <w:sz w:val="18"/>
      <w:szCs w:val="18"/>
    </w:rPr>
  </w:style>
  <w:style w:type="paragraph" w:styleId="aa">
    <w:name w:val="Date"/>
    <w:basedOn w:val="a"/>
    <w:next w:val="a"/>
    <w:link w:val="ab"/>
    <w:qFormat/>
    <w:pPr>
      <w:ind w:leftChars="2500" w:left="100"/>
    </w:pPr>
    <w:rPr>
      <w:rFonts w:ascii="Calibri" w:hAnsi="Calibri"/>
      <w:szCs w:val="22"/>
    </w:rPr>
  </w:style>
  <w:style w:type="paragraph" w:styleId="2">
    <w:name w:val="Body Text Indent 2"/>
    <w:basedOn w:val="a"/>
    <w:link w:val="20"/>
    <w:uiPriority w:val="99"/>
    <w:unhideWhenUsed/>
    <w:qFormat/>
    <w:pPr>
      <w:spacing w:after="120" w:line="480" w:lineRule="auto"/>
      <w:ind w:leftChars="200" w:left="420"/>
    </w:pPr>
  </w:style>
  <w:style w:type="paragraph" w:styleId="ac">
    <w:name w:val="Balloon Text"/>
    <w:basedOn w:val="a"/>
    <w:link w:val="ad"/>
    <w:qFormat/>
    <w:rPr>
      <w:rFonts w:ascii="Calibri" w:hAnsi="Calibri"/>
      <w:sz w:val="18"/>
      <w:szCs w:val="18"/>
    </w:rPr>
  </w:style>
  <w:style w:type="paragraph" w:styleId="ae">
    <w:name w:val="footer"/>
    <w:basedOn w:val="a"/>
    <w:link w:val="af"/>
    <w:qFormat/>
    <w:pPr>
      <w:tabs>
        <w:tab w:val="center" w:pos="4153"/>
        <w:tab w:val="right" w:pos="8306"/>
      </w:tabs>
      <w:snapToGrid w:val="0"/>
      <w:jc w:val="left"/>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right" w:leader="dot" w:pos="8302"/>
      </w:tabs>
      <w:spacing w:before="120" w:after="120"/>
      <w:ind w:leftChars="300" w:left="630" w:rightChars="1000" w:right="2100"/>
      <w:jc w:val="center"/>
    </w:pPr>
    <w:rPr>
      <w:rFonts w:ascii="Calibri" w:hAnsi="Calibri" w:cs="Calibri"/>
      <w:b/>
      <w:bCs/>
      <w:caps/>
      <w:sz w:val="20"/>
      <w:szCs w:val="20"/>
    </w:rPr>
  </w:style>
  <w:style w:type="paragraph" w:styleId="TOC4">
    <w:name w:val="toc 4"/>
    <w:basedOn w:val="a"/>
    <w:next w:val="a"/>
    <w:qFormat/>
    <w:pPr>
      <w:ind w:left="630"/>
      <w:jc w:val="left"/>
    </w:pPr>
    <w:rPr>
      <w:rFonts w:ascii="Calibri" w:hAnsi="Calibri" w:cs="Calibri"/>
      <w:sz w:val="18"/>
      <w:szCs w:val="18"/>
    </w:rPr>
  </w:style>
  <w:style w:type="paragraph" w:styleId="TOC6">
    <w:name w:val="toc 6"/>
    <w:basedOn w:val="a"/>
    <w:next w:val="a"/>
    <w:qFormat/>
    <w:pPr>
      <w:ind w:left="1050"/>
      <w:jc w:val="left"/>
    </w:pPr>
    <w:rPr>
      <w:rFonts w:ascii="Calibri" w:hAnsi="Calibri" w:cs="Calibri"/>
      <w:sz w:val="18"/>
      <w:szCs w:val="18"/>
    </w:rPr>
  </w:style>
  <w:style w:type="paragraph" w:styleId="TOC2">
    <w:name w:val="toc 2"/>
    <w:basedOn w:val="a"/>
    <w:next w:val="a"/>
    <w:qFormat/>
    <w:pPr>
      <w:ind w:left="210"/>
      <w:jc w:val="left"/>
    </w:pPr>
    <w:rPr>
      <w:rFonts w:ascii="Calibri" w:hAnsi="Calibri" w:cs="Calibri"/>
      <w:smallCaps/>
      <w:sz w:val="20"/>
      <w:szCs w:val="20"/>
    </w:rPr>
  </w:style>
  <w:style w:type="paragraph" w:styleId="TOC9">
    <w:name w:val="toc 9"/>
    <w:basedOn w:val="a"/>
    <w:next w:val="a"/>
    <w:qFormat/>
    <w:pPr>
      <w:ind w:left="1680"/>
      <w:jc w:val="left"/>
    </w:pPr>
    <w:rPr>
      <w:rFonts w:ascii="Calibri" w:hAnsi="Calibri" w:cs="Calibri"/>
      <w:sz w:val="18"/>
      <w:szCs w:val="18"/>
    </w:rPr>
  </w:style>
  <w:style w:type="paragraph" w:styleId="af2">
    <w:name w:val="Normal (Web)"/>
    <w:basedOn w:val="a"/>
    <w:qFormat/>
    <w:pPr>
      <w:widowControl/>
      <w:spacing w:before="100" w:beforeAutospacing="1" w:after="100" w:afterAutospacing="1"/>
      <w:jc w:val="left"/>
    </w:pPr>
    <w:rPr>
      <w:rFonts w:ascii="宋体" w:hAnsi="宋体" w:cs="宋体"/>
      <w:kern w:val="0"/>
      <w:sz w:val="24"/>
    </w:rPr>
  </w:style>
  <w:style w:type="paragraph" w:styleId="af3">
    <w:name w:val="annotation subject"/>
    <w:basedOn w:val="a5"/>
    <w:next w:val="a5"/>
    <w:link w:val="af4"/>
    <w:qFormat/>
  </w:style>
  <w:style w:type="table" w:styleId="af5">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uiPriority w:val="22"/>
    <w:qFormat/>
    <w:rPr>
      <w:b/>
      <w:bCs/>
    </w:rPr>
  </w:style>
  <w:style w:type="character" w:styleId="af7">
    <w:name w:val="page number"/>
    <w:basedOn w:val="a0"/>
    <w:qFormat/>
  </w:style>
  <w:style w:type="character" w:styleId="af8">
    <w:name w:val="Hyperlink"/>
    <w:qFormat/>
    <w:rPr>
      <w:color w:val="000000"/>
      <w:u w:val="none"/>
    </w:rPr>
  </w:style>
  <w:style w:type="character" w:styleId="af9">
    <w:name w:val="annotation reference"/>
    <w:qFormat/>
    <w:rPr>
      <w:sz w:val="21"/>
      <w:szCs w:val="21"/>
    </w:rPr>
  </w:style>
  <w:style w:type="character" w:customStyle="1" w:styleId="af4">
    <w:name w:val="批注主题 字符"/>
    <w:basedOn w:val="a6"/>
    <w:link w:val="af3"/>
    <w:qFormat/>
    <w:rPr>
      <w:kern w:val="2"/>
      <w:sz w:val="21"/>
      <w:szCs w:val="24"/>
    </w:rPr>
  </w:style>
  <w:style w:type="character" w:customStyle="1" w:styleId="a6">
    <w:name w:val="批注文字 字符"/>
    <w:link w:val="a5"/>
    <w:qFormat/>
    <w:rPr>
      <w:kern w:val="2"/>
      <w:sz w:val="21"/>
      <w:szCs w:val="24"/>
    </w:rPr>
  </w:style>
  <w:style w:type="character" w:customStyle="1" w:styleId="ad">
    <w:name w:val="批注框文本 字符"/>
    <w:link w:val="ac"/>
    <w:qFormat/>
    <w:rPr>
      <w:rFonts w:ascii="Calibri" w:eastAsia="宋体" w:hAnsi="Calibri" w:cs="Times New Roman"/>
      <w:kern w:val="2"/>
      <w:sz w:val="18"/>
      <w:szCs w:val="18"/>
    </w:rPr>
  </w:style>
  <w:style w:type="character" w:customStyle="1" w:styleId="10">
    <w:name w:val="标题 1 字符"/>
    <w:link w:val="1"/>
    <w:qFormat/>
    <w:rPr>
      <w:rFonts w:ascii="Calibri" w:eastAsia="宋体" w:hAnsi="Calibri" w:cs="Times New Roman"/>
      <w:b/>
      <w:bCs/>
      <w:kern w:val="44"/>
      <w:sz w:val="44"/>
      <w:szCs w:val="44"/>
    </w:rPr>
  </w:style>
  <w:style w:type="character" w:customStyle="1" w:styleId="af">
    <w:name w:val="页脚 字符"/>
    <w:link w:val="ae"/>
    <w:qFormat/>
    <w:rPr>
      <w:kern w:val="2"/>
      <w:sz w:val="18"/>
      <w:szCs w:val="18"/>
    </w:rPr>
  </w:style>
  <w:style w:type="character" w:customStyle="1" w:styleId="20">
    <w:name w:val="正文文本缩进 2 字符"/>
    <w:link w:val="2"/>
    <w:uiPriority w:val="99"/>
    <w:semiHidden/>
    <w:qFormat/>
    <w:rPr>
      <w:kern w:val="2"/>
      <w:sz w:val="21"/>
      <w:szCs w:val="24"/>
    </w:rPr>
  </w:style>
  <w:style w:type="character" w:customStyle="1" w:styleId="a9">
    <w:name w:val="纯文本 字符"/>
    <w:link w:val="a8"/>
    <w:qFormat/>
    <w:rPr>
      <w:rFonts w:ascii="宋体" w:hAnsi="Courier New" w:cs="宋体"/>
      <w:kern w:val="2"/>
      <w:sz w:val="21"/>
      <w:szCs w:val="21"/>
    </w:rPr>
  </w:style>
  <w:style w:type="character" w:customStyle="1" w:styleId="af1">
    <w:name w:val="页眉 字符"/>
    <w:link w:val="af0"/>
    <w:qFormat/>
    <w:rPr>
      <w:kern w:val="2"/>
      <w:sz w:val="18"/>
      <w:szCs w:val="18"/>
    </w:rPr>
  </w:style>
  <w:style w:type="character" w:customStyle="1" w:styleId="ab">
    <w:name w:val="日期 字符"/>
    <w:link w:val="aa"/>
    <w:qFormat/>
    <w:rPr>
      <w:rFonts w:ascii="Calibri" w:eastAsia="宋体" w:hAnsi="Calibri" w:cs="Times New Roman"/>
      <w:kern w:val="2"/>
      <w:sz w:val="21"/>
      <w:szCs w:val="22"/>
    </w:rPr>
  </w:style>
  <w:style w:type="paragraph" w:customStyle="1" w:styleId="11">
    <w:name w:val="正文缩进1"/>
    <w:basedOn w:val="a"/>
    <w:qFormat/>
    <w:pPr>
      <w:ind w:firstLine="420"/>
    </w:pPr>
    <w:rPr>
      <w:rFonts w:eastAsia="仿宋_GB2312"/>
      <w:spacing w:val="24"/>
      <w:sz w:val="28"/>
      <w:szCs w:val="20"/>
    </w:rPr>
  </w:style>
  <w:style w:type="paragraph" w:customStyle="1" w:styleId="font2">
    <w:name w:val="font2"/>
    <w:basedOn w:val="a"/>
    <w:qFormat/>
    <w:pPr>
      <w:widowControl/>
      <w:spacing w:before="100" w:beforeAutospacing="1" w:after="100" w:afterAutospacing="1"/>
      <w:jc w:val="left"/>
    </w:pPr>
    <w:rPr>
      <w:rFonts w:ascii="宋体" w:hAnsi="宋体" w:cs="宋体"/>
      <w:color w:val="333333"/>
      <w:kern w:val="0"/>
      <w:sz w:val="24"/>
    </w:rPr>
  </w:style>
  <w:style w:type="paragraph" w:customStyle="1" w:styleId="afa">
    <w:name w:val="È¡ÀÊ¡ÎÄ¡À¾"/>
    <w:basedOn w:val="a"/>
    <w:qFormat/>
    <w:pPr>
      <w:widowControl/>
      <w:overflowPunct w:val="0"/>
      <w:autoSpaceDE w:val="0"/>
      <w:autoSpaceDN w:val="0"/>
      <w:adjustRightInd w:val="0"/>
      <w:jc w:val="left"/>
      <w:textAlignment w:val="baseline"/>
    </w:pPr>
    <w:rPr>
      <w:kern w:val="0"/>
      <w:sz w:val="24"/>
      <w:szCs w:val="20"/>
    </w:rPr>
  </w:style>
  <w:style w:type="paragraph" w:styleId="afb">
    <w:name w:val="List Paragraph"/>
    <w:basedOn w:val="a"/>
    <w:link w:val="afc"/>
    <w:uiPriority w:val="34"/>
    <w:qFormat/>
    <w:pPr>
      <w:ind w:firstLineChars="200" w:firstLine="420"/>
    </w:pPr>
    <w:rPr>
      <w:rFonts w:ascii="Calibri" w:hAnsi="Calibri"/>
      <w:szCs w:val="22"/>
    </w:rPr>
  </w:style>
  <w:style w:type="paragraph" w:customStyle="1" w:styleId="12">
    <w:name w:val="列出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Char">
    <w:name w:val="Char"/>
    <w:basedOn w:val="a"/>
    <w:qFormat/>
    <w:pPr>
      <w:snapToGrid w:val="0"/>
      <w:spacing w:line="360" w:lineRule="auto"/>
    </w:pPr>
    <w:rPr>
      <w:rFonts w:ascii="宋体" w:hAnsi="宋体"/>
      <w:sz w:val="24"/>
    </w:rPr>
  </w:style>
  <w:style w:type="character" w:customStyle="1" w:styleId="30">
    <w:name w:val="标题 3 字符"/>
    <w:basedOn w:val="a0"/>
    <w:link w:val="3"/>
    <w:uiPriority w:val="9"/>
    <w:semiHidden/>
    <w:qFormat/>
    <w:rPr>
      <w:b/>
      <w:bCs/>
      <w:kern w:val="2"/>
      <w:sz w:val="32"/>
      <w:szCs w:val="32"/>
    </w:rPr>
  </w:style>
  <w:style w:type="paragraph" w:customStyle="1" w:styleId="13">
    <w:name w:val="修订1"/>
    <w:hidden/>
    <w:uiPriority w:val="99"/>
    <w:semiHidden/>
    <w:qFormat/>
    <w:rPr>
      <w:kern w:val="2"/>
      <w:sz w:val="21"/>
      <w:szCs w:val="24"/>
    </w:rPr>
  </w:style>
  <w:style w:type="character" w:customStyle="1" w:styleId="afc">
    <w:name w:val="列表段落 字符"/>
    <w:link w:val="afb"/>
    <w:uiPriority w:val="34"/>
    <w:qFormat/>
    <w:locked/>
    <w:rPr>
      <w:rFonts w:ascii="Calibri" w:hAnsi="Calibri"/>
      <w:kern w:val="2"/>
      <w:sz w:val="21"/>
      <w:szCs w:val="22"/>
    </w:rPr>
  </w:style>
  <w:style w:type="paragraph" w:customStyle="1" w:styleId="afd">
    <w:name w:val="报告正文"/>
    <w:basedOn w:val="a"/>
    <w:qFormat/>
    <w:pPr>
      <w:spacing w:beforeLines="50" w:afterLines="50" w:line="300" w:lineRule="auto"/>
      <w:ind w:firstLineChars="200" w:firstLine="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F69425-A3D0-423C-8C01-55A907E47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396</Words>
  <Characters>2258</Characters>
  <Application>Microsoft Office Word</Application>
  <DocSecurity>0</DocSecurity>
  <Lines>18</Lines>
  <Paragraphs>5</Paragraphs>
  <ScaleCrop>false</ScaleCrop>
  <Company>Hewlett-Packard</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M/CTI</dc:title>
  <dc:creator>Leoliu</dc:creator>
  <cp:lastModifiedBy>cc</cp:lastModifiedBy>
  <cp:revision>4</cp:revision>
  <cp:lastPrinted>2022-12-08T09:39:00Z</cp:lastPrinted>
  <dcterms:created xsi:type="dcterms:W3CDTF">2022-03-14T02:24:00Z</dcterms:created>
  <dcterms:modified xsi:type="dcterms:W3CDTF">2025-08-29T01:57:00Z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4FC0EFA51D8046E28EC8EF2B857CED54</vt:lpwstr>
  </property>
</Properties>
</file>