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2F94" w:rsidRDefault="00D75ADC">
      <w:pPr>
        <w:tabs>
          <w:tab w:val="left" w:pos="3960"/>
        </w:tabs>
        <w:spacing w:beforeLines="100" w:before="312" w:afterLines="100" w:after="312"/>
        <w:rPr>
          <w:rFonts w:ascii="黑体" w:eastAsia="黑体" w:hAnsi="宋体"/>
          <w:b/>
          <w:w w:val="90"/>
          <w:kern w:val="0"/>
          <w:sz w:val="48"/>
          <w:szCs w:val="48"/>
        </w:rPr>
      </w:pPr>
      <w:r>
        <w:rPr>
          <w:noProof/>
        </w:rPr>
        <w:drawing>
          <wp:inline distT="0" distB="0" distL="114300" distR="114300">
            <wp:extent cx="1727835" cy="43180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94" w:rsidRDefault="00D75ADC">
      <w:pPr>
        <w:tabs>
          <w:tab w:val="left" w:pos="3960"/>
        </w:tabs>
        <w:jc w:val="distribute"/>
        <w:rPr>
          <w:rFonts w:ascii="黑体" w:eastAsia="黑体" w:hAnsi="宋体"/>
          <w:b/>
          <w:spacing w:val="-30"/>
          <w:w w:val="90"/>
          <w:kern w:val="0"/>
          <w:sz w:val="48"/>
          <w:szCs w:val="48"/>
        </w:rPr>
      </w:pPr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湖北天勤</w:t>
      </w:r>
      <w:proofErr w:type="gramStart"/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鑫</w:t>
      </w:r>
      <w:proofErr w:type="gramEnd"/>
      <w:r>
        <w:rPr>
          <w:rFonts w:ascii="黑体" w:eastAsia="黑体" w:hAnsi="宋体" w:hint="eastAsia"/>
          <w:b/>
          <w:w w:val="90"/>
          <w:kern w:val="0"/>
          <w:sz w:val="48"/>
          <w:szCs w:val="48"/>
        </w:rPr>
        <w:t>圣生物科技有限公司文</w:t>
      </w:r>
      <w:r>
        <w:rPr>
          <w:rFonts w:ascii="黑体" w:eastAsia="黑体" w:hAnsi="宋体" w:hint="eastAsia"/>
          <w:b/>
          <w:spacing w:val="-30"/>
          <w:w w:val="90"/>
          <w:kern w:val="0"/>
          <w:sz w:val="48"/>
          <w:szCs w:val="48"/>
        </w:rPr>
        <w:t>件</w:t>
      </w:r>
    </w:p>
    <w:p w:rsidR="009F2F94" w:rsidRDefault="00D75ADC">
      <w:pPr>
        <w:tabs>
          <w:tab w:val="left" w:pos="3960"/>
        </w:tabs>
        <w:wordWrap w:val="0"/>
        <w:adjustRightInd w:val="0"/>
        <w:snapToGrid w:val="0"/>
        <w:jc w:val="distribute"/>
        <w:outlineLvl w:val="1"/>
        <w:rPr>
          <w:rFonts w:eastAsia="黑体"/>
          <w:sz w:val="28"/>
        </w:rPr>
      </w:pPr>
      <w:bookmarkStart w:id="0" w:name="标准号"/>
      <w:r>
        <w:rPr>
          <w:kern w:val="0"/>
          <w:sz w:val="30"/>
          <w:szCs w:val="30"/>
        </w:rPr>
        <w:t>D</w:t>
      </w:r>
      <w:r>
        <w:rPr>
          <w:rFonts w:hint="eastAsia"/>
          <w:kern w:val="0"/>
          <w:sz w:val="30"/>
          <w:szCs w:val="30"/>
        </w:rPr>
        <w:t xml:space="preserve">ocument </w:t>
      </w:r>
      <w:r>
        <w:rPr>
          <w:kern w:val="0"/>
          <w:sz w:val="30"/>
          <w:szCs w:val="30"/>
        </w:rPr>
        <w:t>o</w:t>
      </w:r>
      <w:r>
        <w:rPr>
          <w:rFonts w:hint="eastAsia"/>
          <w:kern w:val="0"/>
          <w:sz w:val="30"/>
          <w:szCs w:val="30"/>
        </w:rPr>
        <w:t>f</w:t>
      </w:r>
      <w:r>
        <w:rPr>
          <w:kern w:val="0"/>
          <w:sz w:val="30"/>
          <w:szCs w:val="30"/>
        </w:rPr>
        <w:t xml:space="preserve"> Hubei </w:t>
      </w:r>
      <w:proofErr w:type="spellStart"/>
      <w:r>
        <w:rPr>
          <w:kern w:val="0"/>
          <w:sz w:val="30"/>
          <w:szCs w:val="30"/>
        </w:rPr>
        <w:t>Topgene</w:t>
      </w:r>
      <w:proofErr w:type="spellEnd"/>
      <w:r>
        <w:rPr>
          <w:kern w:val="0"/>
          <w:sz w:val="30"/>
          <w:szCs w:val="30"/>
        </w:rPr>
        <w:t xml:space="preserve"> </w:t>
      </w:r>
      <w:proofErr w:type="spellStart"/>
      <w:r>
        <w:rPr>
          <w:rFonts w:hint="eastAsia"/>
          <w:kern w:val="0"/>
          <w:sz w:val="30"/>
          <w:szCs w:val="30"/>
        </w:rPr>
        <w:t>Xinsheng</w:t>
      </w:r>
      <w:proofErr w:type="spellEnd"/>
      <w:r>
        <w:rPr>
          <w:kern w:val="0"/>
          <w:sz w:val="30"/>
          <w:szCs w:val="30"/>
        </w:rPr>
        <w:t xml:space="preserve"> </w:t>
      </w:r>
      <w:r>
        <w:rPr>
          <w:rFonts w:hint="eastAsia"/>
          <w:kern w:val="0"/>
          <w:sz w:val="30"/>
          <w:szCs w:val="30"/>
        </w:rPr>
        <w:t>Biot</w:t>
      </w:r>
      <w:r>
        <w:rPr>
          <w:kern w:val="0"/>
          <w:sz w:val="30"/>
          <w:szCs w:val="30"/>
        </w:rPr>
        <w:t xml:space="preserve">echnology </w:t>
      </w:r>
      <w:proofErr w:type="spellStart"/>
      <w:proofErr w:type="gramStart"/>
      <w:r>
        <w:rPr>
          <w:kern w:val="0"/>
          <w:sz w:val="30"/>
          <w:szCs w:val="30"/>
        </w:rPr>
        <w:t>Co</w:t>
      </w:r>
      <w:r>
        <w:rPr>
          <w:kern w:val="0"/>
          <w:sz w:val="30"/>
          <w:szCs w:val="30"/>
        </w:rPr>
        <w:t>.,</w:t>
      </w:r>
      <w:r>
        <w:rPr>
          <w:kern w:val="0"/>
          <w:sz w:val="30"/>
          <w:szCs w:val="30"/>
        </w:rPr>
        <w:t>Ltd</w:t>
      </w:r>
      <w:bookmarkEnd w:id="0"/>
      <w:proofErr w:type="spellEnd"/>
      <w:proofErr w:type="gramEnd"/>
    </w:p>
    <w:p w:rsidR="009F2F94" w:rsidRDefault="00D75ADC">
      <w:pPr>
        <w:pBdr>
          <w:top w:val="none" w:sz="0" w:space="1" w:color="auto"/>
          <w:left w:val="none" w:sz="0" w:space="4" w:color="auto"/>
          <w:bottom w:val="single" w:sz="12" w:space="0" w:color="000000"/>
          <w:right w:val="none" w:sz="0" w:space="4" w:color="auto"/>
        </w:pBdr>
        <w:tabs>
          <w:tab w:val="left" w:pos="3960"/>
        </w:tabs>
        <w:wordWrap w:val="0"/>
        <w:spacing w:line="360" w:lineRule="auto"/>
        <w:jc w:val="right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  <w:lang w:eastAsia="zh-Hans"/>
        </w:rPr>
        <w:t>T</w:t>
      </w:r>
      <w:r>
        <w:rPr>
          <w:rFonts w:eastAsia="黑体" w:hint="eastAsia"/>
          <w:sz w:val="28"/>
          <w:szCs w:val="28"/>
        </w:rPr>
        <w:t>Q</w:t>
      </w:r>
      <w:r>
        <w:rPr>
          <w:rFonts w:eastAsia="黑体" w:hint="eastAsia"/>
          <w:sz w:val="28"/>
          <w:szCs w:val="28"/>
          <w:lang w:eastAsia="zh-Hans"/>
        </w:rPr>
        <w:t>XS</w:t>
      </w:r>
      <w:r>
        <w:rPr>
          <w:rFonts w:eastAsia="黑体" w:hint="eastAsia"/>
          <w:sz w:val="28"/>
          <w:szCs w:val="28"/>
        </w:rPr>
        <w:t>-</w:t>
      </w:r>
      <w:r>
        <w:rPr>
          <w:rFonts w:eastAsia="黑体"/>
          <w:sz w:val="28"/>
          <w:szCs w:val="28"/>
        </w:rPr>
        <w:t>SOP</w:t>
      </w:r>
      <w:r>
        <w:rPr>
          <w:rFonts w:eastAsia="黑体" w:hint="eastAsia"/>
          <w:sz w:val="28"/>
          <w:szCs w:val="28"/>
        </w:rPr>
        <w:t>-GEN-</w:t>
      </w:r>
      <w:r>
        <w:rPr>
          <w:rFonts w:eastAsia="黑体"/>
          <w:sz w:val="28"/>
          <w:szCs w:val="28"/>
        </w:rPr>
        <w:t>0</w:t>
      </w:r>
      <w:r>
        <w:rPr>
          <w:rFonts w:eastAsia="黑体" w:hint="eastAsia"/>
          <w:sz w:val="28"/>
          <w:szCs w:val="28"/>
        </w:rPr>
        <w:t>34</w:t>
      </w:r>
    </w:p>
    <w:p w:rsidR="009F2F94" w:rsidRDefault="009F2F94">
      <w:pPr>
        <w:jc w:val="center"/>
        <w:rPr>
          <w:rFonts w:ascii="黑体" w:eastAsia="黑体" w:hAnsi="黑体" w:cs="黑体"/>
          <w:b/>
          <w:sz w:val="24"/>
        </w:rPr>
      </w:pPr>
    </w:p>
    <w:p w:rsidR="009F2F94" w:rsidRDefault="009F2F94">
      <w:pPr>
        <w:tabs>
          <w:tab w:val="left" w:pos="3960"/>
        </w:tabs>
        <w:rPr>
          <w:b/>
          <w:sz w:val="24"/>
          <w:u w:val="single"/>
        </w:rPr>
      </w:pPr>
    </w:p>
    <w:p w:rsidR="009F2F94" w:rsidRDefault="009F2F94">
      <w:pPr>
        <w:tabs>
          <w:tab w:val="left" w:pos="3960"/>
        </w:tabs>
        <w:adjustRightInd w:val="0"/>
        <w:snapToGrid w:val="0"/>
        <w:rPr>
          <w:b/>
          <w:sz w:val="24"/>
          <w:szCs w:val="18"/>
        </w:rPr>
      </w:pPr>
    </w:p>
    <w:p w:rsidR="009F2F94" w:rsidRDefault="009F2F94">
      <w:pPr>
        <w:tabs>
          <w:tab w:val="left" w:pos="3960"/>
        </w:tabs>
        <w:adjustRightInd w:val="0"/>
        <w:snapToGrid w:val="0"/>
        <w:rPr>
          <w:b/>
          <w:sz w:val="24"/>
          <w:szCs w:val="18"/>
        </w:rPr>
      </w:pPr>
    </w:p>
    <w:p w:rsidR="009F2F94" w:rsidRDefault="00D75ADC">
      <w:pPr>
        <w:tabs>
          <w:tab w:val="left" w:pos="3960"/>
        </w:tabs>
        <w:adjustRightInd w:val="0"/>
        <w:snapToGrid w:val="0"/>
        <w:jc w:val="center"/>
        <w:rPr>
          <w:b/>
          <w:sz w:val="24"/>
          <w:szCs w:val="18"/>
        </w:rPr>
      </w:pPr>
      <w:r>
        <w:rPr>
          <w:rFonts w:ascii="黑体" w:eastAsia="黑体" w:hAnsi="黑体" w:cs="黑体" w:hint="eastAsia"/>
          <w:b/>
          <w:sz w:val="52"/>
          <w:szCs w:val="52"/>
        </w:rPr>
        <w:t>信息系统灾难恢复</w:t>
      </w:r>
    </w:p>
    <w:p w:rsidR="009F2F94" w:rsidRDefault="009F2F94">
      <w:pPr>
        <w:tabs>
          <w:tab w:val="left" w:pos="3960"/>
        </w:tabs>
        <w:adjustRightInd w:val="0"/>
        <w:snapToGrid w:val="0"/>
        <w:rPr>
          <w:b/>
          <w:sz w:val="24"/>
          <w:szCs w:val="18"/>
        </w:rPr>
      </w:pPr>
    </w:p>
    <w:p w:rsidR="009F2F94" w:rsidRDefault="009F2F94">
      <w:pPr>
        <w:tabs>
          <w:tab w:val="left" w:pos="3960"/>
        </w:tabs>
        <w:rPr>
          <w:b/>
          <w:sz w:val="24"/>
          <w:szCs w:val="18"/>
        </w:rPr>
      </w:pPr>
    </w:p>
    <w:p w:rsidR="009F2F94" w:rsidRDefault="00D75ADC">
      <w:pPr>
        <w:jc w:val="center"/>
        <w:rPr>
          <w:rFonts w:ascii="黑体" w:eastAsia="黑体"/>
          <w:sz w:val="28"/>
        </w:rPr>
      </w:pPr>
      <w:r>
        <w:rPr>
          <w:rFonts w:ascii="黑体" w:eastAsia="黑体" w:hAnsi="宋体" w:hint="eastAsia"/>
          <w:sz w:val="32"/>
        </w:rPr>
        <w:t>保密等级：机密</w:t>
      </w:r>
    </w:p>
    <w:p w:rsidR="009F2F94" w:rsidRDefault="00D75ADC">
      <w:pPr>
        <w:jc w:val="center"/>
        <w:rPr>
          <w:rFonts w:ascii="黑体" w:eastAsia="黑体"/>
          <w:sz w:val="32"/>
        </w:rPr>
      </w:pPr>
      <w:r>
        <w:rPr>
          <w:rFonts w:ascii="黑体" w:eastAsia="黑体" w:hAnsi="宋体" w:hint="eastAsia"/>
          <w:sz w:val="32"/>
        </w:rPr>
        <w:t>版本</w:t>
      </w:r>
      <w:r>
        <w:rPr>
          <w:rFonts w:ascii="黑体" w:eastAsia="黑体" w:hint="eastAsia"/>
          <w:sz w:val="32"/>
        </w:rPr>
        <w:t>/</w:t>
      </w:r>
      <w:r>
        <w:rPr>
          <w:rFonts w:ascii="黑体" w:eastAsia="黑体" w:hAnsi="宋体" w:hint="eastAsia"/>
          <w:sz w:val="32"/>
        </w:rPr>
        <w:t>版次：</w:t>
      </w:r>
      <w:r>
        <w:rPr>
          <w:rFonts w:ascii="黑体" w:eastAsia="黑体"/>
          <w:sz w:val="32"/>
        </w:rPr>
        <w:t>1</w:t>
      </w:r>
      <w:r>
        <w:rPr>
          <w:rFonts w:ascii="黑体" w:eastAsia="黑体" w:hint="eastAsia"/>
          <w:sz w:val="32"/>
        </w:rPr>
        <w:t>.0</w:t>
      </w:r>
    </w:p>
    <w:p w:rsidR="009F2F94" w:rsidRDefault="00D75ADC">
      <w:pPr>
        <w:widowControl/>
        <w:snapToGrid w:val="0"/>
        <w:spacing w:beforeLines="50" w:before="156" w:afterLines="100" w:after="312"/>
        <w:jc w:val="center"/>
        <w:rPr>
          <w:rFonts w:ascii="黑体" w:eastAsia="黑体"/>
          <w:sz w:val="28"/>
          <w:szCs w:val="28"/>
        </w:rPr>
      </w:pPr>
      <w:bookmarkStart w:id="1" w:name="_GoBack"/>
      <w:bookmarkEnd w:id="1"/>
      <w:r>
        <w:rPr>
          <w:rFonts w:ascii="黑体" w:eastAsia="黑体" w:hAnsi="宋体" w:hint="eastAsia"/>
          <w:sz w:val="28"/>
          <w:szCs w:val="28"/>
        </w:rPr>
        <w:t>文件修订履历表</w:t>
      </w:r>
    </w:p>
    <w:tbl>
      <w:tblPr>
        <w:tblW w:w="8408" w:type="dxa"/>
        <w:tblInd w:w="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5953"/>
        <w:gridCol w:w="1701"/>
      </w:tblGrid>
      <w:tr w:rsidR="009F2F94">
        <w:trPr>
          <w:trHeight w:val="601"/>
        </w:trPr>
        <w:tc>
          <w:tcPr>
            <w:tcW w:w="754" w:type="dxa"/>
            <w:vAlign w:val="center"/>
          </w:tcPr>
          <w:p w:rsidR="009F2F94" w:rsidRDefault="00D75ADC">
            <w:pPr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版本</w:t>
            </w:r>
          </w:p>
        </w:tc>
        <w:tc>
          <w:tcPr>
            <w:tcW w:w="5953" w:type="dxa"/>
            <w:vAlign w:val="center"/>
          </w:tcPr>
          <w:p w:rsidR="009F2F94" w:rsidRDefault="00D75ADC">
            <w:pPr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修订</w:t>
            </w:r>
            <w:r>
              <w:rPr>
                <w:rFonts w:hAnsi="宋体"/>
                <w:sz w:val="24"/>
              </w:rPr>
              <w:t>说明</w:t>
            </w: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before="12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日期</w:t>
            </w:r>
          </w:p>
        </w:tc>
      </w:tr>
      <w:tr w:rsidR="009F2F94">
        <w:trPr>
          <w:trHeight w:val="670"/>
        </w:trPr>
        <w:tc>
          <w:tcPr>
            <w:tcW w:w="754" w:type="dxa"/>
            <w:vAlign w:val="center"/>
          </w:tcPr>
          <w:p w:rsidR="009F2F94" w:rsidRDefault="00D75ADC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5953" w:type="dxa"/>
            <w:vAlign w:val="center"/>
          </w:tcPr>
          <w:p w:rsidR="009F2F94" w:rsidRDefault="00D75ADC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lef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无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1701" w:type="dxa"/>
            <w:vAlign w:val="center"/>
          </w:tcPr>
          <w:p w:rsidR="009F2F94" w:rsidRDefault="00D75ADC">
            <w:pPr>
              <w:tabs>
                <w:tab w:val="left" w:pos="238"/>
                <w:tab w:val="left" w:pos="476"/>
                <w:tab w:val="left" w:pos="728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2022.09.30</w:t>
            </w:r>
          </w:p>
        </w:tc>
      </w:tr>
    </w:tbl>
    <w:p w:rsidR="009F2F94" w:rsidRDefault="009F2F94">
      <w:pPr>
        <w:tabs>
          <w:tab w:val="left" w:pos="1260"/>
        </w:tabs>
        <w:rPr>
          <w:b/>
          <w:sz w:val="32"/>
          <w:szCs w:val="32"/>
        </w:rPr>
        <w:sectPr w:rsidR="009F2F9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077" w:right="1417" w:bottom="1077" w:left="1417" w:header="851" w:footer="992" w:gutter="567"/>
          <w:cols w:space="720"/>
          <w:titlePg/>
          <w:docGrid w:type="linesAndChars" w:linePitch="312"/>
        </w:sectPr>
      </w:pPr>
    </w:p>
    <w:p w:rsidR="009F2F94" w:rsidRDefault="00D75ADC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lastRenderedPageBreak/>
        <w:t xml:space="preserve">1 </w:t>
      </w:r>
      <w:r>
        <w:rPr>
          <w:b/>
          <w:bCs/>
          <w:sz w:val="24"/>
        </w:rPr>
        <w:t>目的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为规范机构信息系统的灾难应对措施，减少损失和影响，特制订本规程。</w:t>
      </w:r>
    </w:p>
    <w:p w:rsidR="009F2F94" w:rsidRDefault="009F2F94">
      <w:pPr>
        <w:spacing w:line="360" w:lineRule="auto"/>
        <w:ind w:firstLineChars="200" w:firstLine="480"/>
        <w:rPr>
          <w:sz w:val="24"/>
        </w:rPr>
      </w:pPr>
    </w:p>
    <w:p w:rsidR="009F2F94" w:rsidRDefault="00D75ADC">
      <w:pPr>
        <w:spacing w:line="360" w:lineRule="auto"/>
        <w:rPr>
          <w:b/>
          <w:bCs/>
          <w:sz w:val="24"/>
        </w:rPr>
      </w:pPr>
      <w:bookmarkStart w:id="2" w:name="_Toc340822057"/>
      <w:r>
        <w:rPr>
          <w:b/>
          <w:bCs/>
          <w:sz w:val="24"/>
        </w:rPr>
        <w:t xml:space="preserve">2 </w:t>
      </w:r>
      <w:r>
        <w:rPr>
          <w:b/>
          <w:bCs/>
          <w:sz w:val="24"/>
        </w:rPr>
        <w:t>适用范围和人员责任</w:t>
      </w:r>
      <w:bookmarkEnd w:id="2"/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本</w:t>
      </w:r>
      <w:r>
        <w:rPr>
          <w:sz w:val="24"/>
        </w:rPr>
        <w:t xml:space="preserve">SOP </w:t>
      </w:r>
      <w:r>
        <w:rPr>
          <w:sz w:val="24"/>
        </w:rPr>
        <w:t>适用于信息管理部员工，信息系统使用者和危机应对小组。所有涉及人员必须理解，熟悉并遵守本</w:t>
      </w:r>
      <w:r>
        <w:rPr>
          <w:sz w:val="24"/>
        </w:rPr>
        <w:t>SOP</w:t>
      </w:r>
      <w:r>
        <w:rPr>
          <w:sz w:val="24"/>
        </w:rPr>
        <w:t>。信息管理部员工负责灾难恢复中</w:t>
      </w:r>
      <w:r>
        <w:rPr>
          <w:sz w:val="24"/>
        </w:rPr>
        <w:t>IT</w:t>
      </w:r>
      <w:r>
        <w:rPr>
          <w:sz w:val="24"/>
        </w:rPr>
        <w:t>硬件软件的实施，信息系统使用</w:t>
      </w:r>
      <w:r>
        <w:rPr>
          <w:sz w:val="24"/>
        </w:rPr>
        <w:t>者报告灾难的发生和反馈信息系统恢复的情况，危机应对小组全局掌控灾难恢复的发生实施处理过程。</w:t>
      </w:r>
    </w:p>
    <w:p w:rsidR="009F2F94" w:rsidRDefault="009F2F94">
      <w:pPr>
        <w:spacing w:line="360" w:lineRule="auto"/>
        <w:rPr>
          <w:sz w:val="24"/>
        </w:rPr>
      </w:pPr>
    </w:p>
    <w:p w:rsidR="009F2F94" w:rsidRDefault="00D75ADC">
      <w:pPr>
        <w:spacing w:line="360" w:lineRule="auto"/>
        <w:rPr>
          <w:b/>
          <w:bCs/>
          <w:sz w:val="24"/>
        </w:rPr>
      </w:pPr>
      <w:bookmarkStart w:id="3" w:name="_Toc325032932"/>
      <w:bookmarkStart w:id="4" w:name="_Toc325033126"/>
      <w:bookmarkStart w:id="5" w:name="_Toc340822059"/>
      <w:bookmarkEnd w:id="3"/>
      <w:bookmarkEnd w:id="4"/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用语说明</w:t>
      </w:r>
      <w:bookmarkEnd w:id="5"/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信息系统灾难：</w:t>
      </w:r>
      <w:r>
        <w:rPr>
          <w:sz w:val="24"/>
        </w:rPr>
        <w:t xml:space="preserve"> </w:t>
      </w:r>
      <w:r>
        <w:rPr>
          <w:sz w:val="24"/>
        </w:rPr>
        <w:t>指直接或间接导致信息系统失效或损坏的事件，包括地震、水灾等自然灾害，火灾短路等事故，以及病毒或黑客攻击。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危机应对小组：</w:t>
      </w:r>
      <w:r>
        <w:rPr>
          <w:rFonts w:hint="eastAsia"/>
          <w:sz w:val="24"/>
        </w:rPr>
        <w:t xml:space="preserve"> </w:t>
      </w:r>
      <w:r>
        <w:rPr>
          <w:sz w:val="24"/>
        </w:rPr>
        <w:t>发生信息系统灾难时专门组建的小组，负责领导灾难的应对。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灾难管理协调员：负责灾难恢复方案的制定和管理。</w:t>
      </w:r>
    </w:p>
    <w:p w:rsidR="009F2F94" w:rsidRDefault="009F2F94">
      <w:pPr>
        <w:spacing w:line="360" w:lineRule="auto"/>
        <w:ind w:firstLineChars="200" w:firstLine="480"/>
        <w:rPr>
          <w:sz w:val="24"/>
        </w:rPr>
      </w:pPr>
    </w:p>
    <w:p w:rsidR="009F2F94" w:rsidRDefault="00D75ADC">
      <w:pPr>
        <w:spacing w:line="360" w:lineRule="auto"/>
        <w:rPr>
          <w:b/>
          <w:bCs/>
          <w:sz w:val="24"/>
        </w:rPr>
      </w:pPr>
      <w:bookmarkStart w:id="6" w:name="_Toc340822060"/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内容</w:t>
      </w:r>
      <w:bookmarkEnd w:id="6"/>
    </w:p>
    <w:p w:rsidR="009F2F94" w:rsidRDefault="00D75ADC">
      <w:pPr>
        <w:spacing w:line="360" w:lineRule="auto"/>
        <w:rPr>
          <w:b/>
          <w:sz w:val="24"/>
        </w:rPr>
      </w:pPr>
      <w:bookmarkStart w:id="7" w:name="_Toc340822061"/>
      <w:r>
        <w:rPr>
          <w:rFonts w:hint="eastAsia"/>
          <w:b/>
          <w:sz w:val="24"/>
        </w:rPr>
        <w:t>4</w:t>
      </w:r>
      <w:r>
        <w:rPr>
          <w:b/>
          <w:sz w:val="24"/>
        </w:rPr>
        <w:t xml:space="preserve">.1  </w:t>
      </w:r>
      <w:r>
        <w:rPr>
          <w:b/>
          <w:sz w:val="24"/>
        </w:rPr>
        <w:t>文档和备份管理</w:t>
      </w:r>
      <w:bookmarkEnd w:id="7"/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当有灾难和事故情况时，应在第一时间告知机构负责人及信息、人力、财务等部门主管。应优先选择手机联络，其次固定电话，再次电子邮件。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在以下情况发生时，机构负责人或信息管理部主管将宣布信息系统遭受灾难：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信息中心受灾，人员无法进入或操作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sz w:val="24"/>
        </w:rPr>
        <w:t>信息系统瘫痪，无法支撑中心正常运转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sz w:val="24"/>
        </w:rPr>
        <w:t>关键软件，例如</w:t>
      </w:r>
      <w:proofErr w:type="spellStart"/>
      <w:r>
        <w:rPr>
          <w:sz w:val="24"/>
        </w:rPr>
        <w:t>Pristima</w:t>
      </w:r>
      <w:proofErr w:type="spellEnd"/>
      <w:r>
        <w:rPr>
          <w:sz w:val="24"/>
        </w:rPr>
        <w:t>瘫痪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b/>
          <w:sz w:val="24"/>
        </w:rPr>
      </w:pPr>
      <w:bookmarkStart w:id="8" w:name="_Toc340822063"/>
      <w:r>
        <w:rPr>
          <w:rFonts w:hint="eastAsia"/>
          <w:b/>
          <w:sz w:val="24"/>
        </w:rPr>
        <w:t>4</w:t>
      </w:r>
      <w:r>
        <w:rPr>
          <w:b/>
          <w:sz w:val="24"/>
        </w:rPr>
        <w:t xml:space="preserve">.2 </w:t>
      </w:r>
      <w:r>
        <w:rPr>
          <w:b/>
          <w:sz w:val="24"/>
        </w:rPr>
        <w:t>组建危机管理小组</w:t>
      </w:r>
      <w:bookmarkEnd w:id="8"/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在宣布信息系统遭受灾难后，应立即组建危机管理小组。危机管理小组由公司高层管理人员、信息管理部人员、财务人员及人力资源部人员组成，全面负责灾难恢复工</w:t>
      </w:r>
      <w:r>
        <w:rPr>
          <w:sz w:val="24"/>
        </w:rPr>
        <w:t>作，包括损失评估、设备挽救、设备维修更换、系统和数据恢复及异地临时</w:t>
      </w:r>
      <w:r>
        <w:rPr>
          <w:sz w:val="24"/>
        </w:rPr>
        <w:t>IT</w:t>
      </w:r>
      <w:r>
        <w:rPr>
          <w:sz w:val="24"/>
        </w:rPr>
        <w:t>系统的搭建等。具体责任取决于受灾情况。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危机管理小组根据损失评估采取不同的灾难恢复措施。下表列出不同受损情</w:t>
      </w:r>
      <w:r>
        <w:rPr>
          <w:sz w:val="24"/>
        </w:rPr>
        <w:lastRenderedPageBreak/>
        <w:t>况下的恢复措施，参与人员和恢复测试。</w:t>
      </w:r>
    </w:p>
    <w:tbl>
      <w:tblPr>
        <w:tblW w:w="9437" w:type="dxa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1687"/>
        <w:gridCol w:w="1701"/>
        <w:gridCol w:w="1134"/>
        <w:gridCol w:w="3483"/>
      </w:tblGrid>
      <w:tr w:rsidR="009F2F94">
        <w:trPr>
          <w:tblHeader/>
        </w:trPr>
        <w:tc>
          <w:tcPr>
            <w:tcW w:w="14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9F2F94" w:rsidRDefault="00D75AD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措施</w:t>
            </w:r>
          </w:p>
        </w:tc>
        <w:tc>
          <w:tcPr>
            <w:tcW w:w="1687" w:type="dxa"/>
            <w:tcBorders>
              <w:top w:val="single" w:sz="12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9F2F94" w:rsidRDefault="00D75AD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受损情况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9F2F94" w:rsidRDefault="00D75AD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步骤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9F2F94" w:rsidRDefault="00D75AD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人员</w:t>
            </w:r>
          </w:p>
        </w:tc>
        <w:tc>
          <w:tcPr>
            <w:tcW w:w="3483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9F2F94" w:rsidRDefault="00D75AD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恢复测试</w:t>
            </w:r>
          </w:p>
        </w:tc>
      </w:tr>
      <w:tr w:rsidR="009F2F94">
        <w:trPr>
          <w:trHeight w:val="617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镜像恢复</w:t>
            </w:r>
          </w:p>
        </w:tc>
        <w:tc>
          <w:tcPr>
            <w:tcW w:w="1687" w:type="dxa"/>
            <w:vMerge w:val="restar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服务器瘫痪</w:t>
            </w:r>
          </w:p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操作系统瘫痪</w:t>
            </w:r>
          </w:p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主要应用软件瘫痪</w:t>
            </w:r>
          </w:p>
        </w:tc>
        <w:tc>
          <w:tcPr>
            <w:tcW w:w="170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服务器检修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供应商</w:t>
            </w:r>
          </w:p>
        </w:tc>
        <w:tc>
          <w:tcPr>
            <w:tcW w:w="3483" w:type="dxa"/>
            <w:vMerge w:val="restar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对比镜像和恢复系统的差别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检查操作系统和相关应用程序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在恢复系统上重新执行</w:t>
            </w:r>
            <w:r>
              <w:rPr>
                <w:sz w:val="24"/>
              </w:rPr>
              <w:t>PQ</w:t>
            </w:r>
            <w:r>
              <w:rPr>
                <w:sz w:val="24"/>
              </w:rPr>
              <w:t>操作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对比备份数据和恢复数据</w:t>
            </w:r>
          </w:p>
        </w:tc>
      </w:tr>
      <w:tr w:rsidR="009F2F94">
        <w:trPr>
          <w:trHeight w:val="702"/>
        </w:trPr>
        <w:tc>
          <w:tcPr>
            <w:tcW w:w="1432" w:type="dxa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jc w:val="center"/>
              <w:rPr>
                <w:sz w:val="24"/>
              </w:rPr>
            </w:pPr>
          </w:p>
        </w:tc>
        <w:tc>
          <w:tcPr>
            <w:tcW w:w="1687" w:type="dxa"/>
            <w:vMerge/>
            <w:tcBorders>
              <w:top w:val="single" w:sz="4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操作系统恢复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供应商</w:t>
            </w:r>
          </w:p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</w:tr>
      <w:tr w:rsidR="009F2F94">
        <w:trPr>
          <w:trHeight w:val="597"/>
        </w:trPr>
        <w:tc>
          <w:tcPr>
            <w:tcW w:w="1432" w:type="dxa"/>
            <w:vMerge/>
            <w:tcBorders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jc w:val="center"/>
              <w:rPr>
                <w:sz w:val="24"/>
              </w:rPr>
            </w:pPr>
          </w:p>
        </w:tc>
        <w:tc>
          <w:tcPr>
            <w:tcW w:w="1687" w:type="dxa"/>
            <w:vMerge/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软件恢复</w:t>
            </w:r>
          </w:p>
        </w:tc>
        <w:tc>
          <w:tcPr>
            <w:tcW w:w="1134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</w:tr>
      <w:tr w:rsidR="009F2F94">
        <w:trPr>
          <w:trHeight w:val="691"/>
        </w:trPr>
        <w:tc>
          <w:tcPr>
            <w:tcW w:w="1432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jc w:val="center"/>
              <w:rPr>
                <w:sz w:val="24"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数据恢复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</w:tr>
      <w:tr w:rsidR="009F2F94">
        <w:trPr>
          <w:trHeight w:val="844"/>
        </w:trPr>
        <w:tc>
          <w:tcPr>
            <w:tcW w:w="14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重建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服务器损坏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网络设备损坏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服务器检修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供应商</w:t>
            </w:r>
          </w:p>
        </w:tc>
        <w:tc>
          <w:tcPr>
            <w:tcW w:w="3483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在新信息系统环境中重新执行</w:t>
            </w:r>
            <w:r>
              <w:rPr>
                <w:sz w:val="24"/>
              </w:rPr>
              <w:t>PQ</w:t>
            </w:r>
            <w:r>
              <w:rPr>
                <w:sz w:val="24"/>
              </w:rPr>
              <w:t>操作</w:t>
            </w:r>
          </w:p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检查操作系统和相关应用程序的运行状态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在新信息系统环境中重新执行</w:t>
            </w:r>
            <w:r>
              <w:rPr>
                <w:sz w:val="24"/>
              </w:rPr>
              <w:t>IQ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OQ</w:t>
            </w:r>
            <w:r>
              <w:rPr>
                <w:sz w:val="24"/>
              </w:rPr>
              <w:t>操作</w:t>
            </w:r>
          </w:p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对比备份数据和恢复数据</w:t>
            </w:r>
          </w:p>
        </w:tc>
      </w:tr>
      <w:tr w:rsidR="009F2F94">
        <w:trPr>
          <w:trHeight w:val="871"/>
        </w:trPr>
        <w:tc>
          <w:tcPr>
            <w:tcW w:w="1432" w:type="dxa"/>
            <w:vMerge w:val="restart"/>
            <w:tcBorders>
              <w:left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数据恢复</w:t>
            </w:r>
          </w:p>
        </w:tc>
        <w:tc>
          <w:tcPr>
            <w:tcW w:w="1687" w:type="dxa"/>
            <w:vMerge/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网络设备架设</w:t>
            </w:r>
          </w:p>
        </w:tc>
        <w:tc>
          <w:tcPr>
            <w:tcW w:w="1134" w:type="dxa"/>
            <w:vAlign w:val="center"/>
          </w:tcPr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供应商</w:t>
            </w:r>
          </w:p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 w:val="restart"/>
            <w:tcBorders>
              <w:right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恢复数据和所用备份进行比较</w:t>
            </w:r>
          </w:p>
        </w:tc>
      </w:tr>
      <w:tr w:rsidR="009F2F94">
        <w:trPr>
          <w:trHeight w:val="898"/>
        </w:trPr>
        <w:tc>
          <w:tcPr>
            <w:tcW w:w="1432" w:type="dxa"/>
            <w:vMerge/>
            <w:tcBorders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  <w:tc>
          <w:tcPr>
            <w:tcW w:w="1687" w:type="dxa"/>
            <w:vMerge/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操作系统恢复</w:t>
            </w:r>
          </w:p>
        </w:tc>
        <w:tc>
          <w:tcPr>
            <w:tcW w:w="1134" w:type="dxa"/>
            <w:vAlign w:val="center"/>
          </w:tcPr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供应商</w:t>
            </w:r>
          </w:p>
          <w:p w:rsidR="009F2F94" w:rsidRDefault="00D75ADC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</w:tr>
      <w:tr w:rsidR="009F2F94">
        <w:trPr>
          <w:trHeight w:val="685"/>
        </w:trPr>
        <w:tc>
          <w:tcPr>
            <w:tcW w:w="1432" w:type="dxa"/>
            <w:vMerge/>
            <w:tcBorders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  <w:tc>
          <w:tcPr>
            <w:tcW w:w="1687" w:type="dxa"/>
            <w:vMerge/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网络恢复</w:t>
            </w:r>
          </w:p>
        </w:tc>
        <w:tc>
          <w:tcPr>
            <w:tcW w:w="1134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</w:tr>
      <w:tr w:rsidR="009F2F94">
        <w:trPr>
          <w:trHeight w:val="695"/>
        </w:trPr>
        <w:tc>
          <w:tcPr>
            <w:tcW w:w="1432" w:type="dxa"/>
            <w:vMerge/>
            <w:tcBorders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  <w:tc>
          <w:tcPr>
            <w:tcW w:w="1687" w:type="dxa"/>
            <w:vMerge/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软件恢复</w:t>
            </w:r>
          </w:p>
        </w:tc>
        <w:tc>
          <w:tcPr>
            <w:tcW w:w="1134" w:type="dxa"/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</w:tr>
      <w:tr w:rsidR="009F2F94">
        <w:trPr>
          <w:trHeight w:val="682"/>
        </w:trPr>
        <w:tc>
          <w:tcPr>
            <w:tcW w:w="1432" w:type="dxa"/>
            <w:vMerge/>
            <w:tcBorders>
              <w:lef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  <w:tc>
          <w:tcPr>
            <w:tcW w:w="1687" w:type="dxa"/>
            <w:vMerge/>
            <w:tcBorders>
              <w:bottom w:val="single" w:sz="4" w:space="0" w:color="auto"/>
            </w:tcBorders>
            <w:vAlign w:val="center"/>
          </w:tcPr>
          <w:p w:rsidR="009F2F94" w:rsidRDefault="009F2F94">
            <w:pPr>
              <w:spacing w:line="360" w:lineRule="auto"/>
              <w:ind w:firstLineChars="200" w:firstLine="480"/>
              <w:rPr>
                <w:sz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数据恢复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</w:tr>
      <w:tr w:rsidR="009F2F94">
        <w:tc>
          <w:tcPr>
            <w:tcW w:w="143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  <w:tc>
          <w:tcPr>
            <w:tcW w:w="1687" w:type="dxa"/>
            <w:tcBorders>
              <w:bottom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数据损坏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数据恢复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9F2F94" w:rsidRDefault="00D75AD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z w:val="24"/>
              </w:rPr>
              <w:t>人员</w:t>
            </w:r>
          </w:p>
        </w:tc>
        <w:tc>
          <w:tcPr>
            <w:tcW w:w="3483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F2F94" w:rsidRDefault="009F2F94">
            <w:pPr>
              <w:spacing w:line="360" w:lineRule="auto"/>
              <w:rPr>
                <w:sz w:val="24"/>
              </w:rPr>
            </w:pPr>
          </w:p>
        </w:tc>
      </w:tr>
    </w:tbl>
    <w:p w:rsidR="009F2F94" w:rsidRDefault="00D75ADC">
      <w:pPr>
        <w:spacing w:line="360" w:lineRule="auto"/>
        <w:rPr>
          <w:b/>
          <w:sz w:val="24"/>
        </w:rPr>
      </w:pPr>
      <w:bookmarkStart w:id="9" w:name="_Toc340822065"/>
      <w:bookmarkStart w:id="10" w:name="_Toc335122571"/>
      <w:r>
        <w:rPr>
          <w:rFonts w:hint="eastAsia"/>
          <w:b/>
          <w:sz w:val="24"/>
        </w:rPr>
        <w:t>4</w:t>
      </w:r>
      <w:r>
        <w:rPr>
          <w:b/>
          <w:sz w:val="24"/>
        </w:rPr>
        <w:t xml:space="preserve">.3  </w:t>
      </w:r>
      <w:r>
        <w:rPr>
          <w:b/>
          <w:sz w:val="24"/>
        </w:rPr>
        <w:t>网络恢复</w:t>
      </w:r>
      <w:bookmarkEnd w:id="9"/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需要对信息系统网络进行重建时，应遵循以下步骤：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根据信息管理部保存的清单，配置必须的网络连接设备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如需要，</w:t>
      </w:r>
      <w:proofErr w:type="gramStart"/>
      <w:r>
        <w:rPr>
          <w:sz w:val="24"/>
        </w:rPr>
        <w:t>信息管理部需联系</w:t>
      </w:r>
      <w:proofErr w:type="gramEnd"/>
      <w:r>
        <w:rPr>
          <w:sz w:val="24"/>
        </w:rPr>
        <w:t>网络服务供应商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保证物理连接正确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恢复系统和应用程序，进行连接设置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全面测试网络连接和通讯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重建用户权限管理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b/>
          <w:sz w:val="24"/>
        </w:rPr>
      </w:pPr>
      <w:bookmarkStart w:id="11" w:name="_Toc340822066"/>
      <w:r>
        <w:rPr>
          <w:rFonts w:hint="eastAsia"/>
          <w:b/>
          <w:sz w:val="24"/>
        </w:rPr>
        <w:t>4</w:t>
      </w:r>
      <w:r>
        <w:rPr>
          <w:b/>
          <w:sz w:val="24"/>
        </w:rPr>
        <w:t xml:space="preserve">.4 </w:t>
      </w:r>
      <w:r>
        <w:rPr>
          <w:b/>
          <w:sz w:val="24"/>
        </w:rPr>
        <w:t>恢复检查</w:t>
      </w:r>
      <w:bookmarkEnd w:id="11"/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进行灾难恢复后，危机应对小组应进行一系列的检查，并收集使用者的反馈信息。确保网络，服务器和关键软件正常运转，数据并未受损。确认信息系统各方面情况都全面恢复或超过灾前水平后，恢复工作结束。</w:t>
      </w:r>
    </w:p>
    <w:p w:rsidR="009F2F94" w:rsidRDefault="00D75ADC">
      <w:pPr>
        <w:spacing w:line="360" w:lineRule="auto"/>
        <w:rPr>
          <w:b/>
          <w:sz w:val="24"/>
        </w:rPr>
      </w:pPr>
      <w:bookmarkStart w:id="12" w:name="_Toc340822067"/>
      <w:r>
        <w:rPr>
          <w:rFonts w:hint="eastAsia"/>
          <w:b/>
          <w:sz w:val="24"/>
        </w:rPr>
        <w:t>4</w:t>
      </w:r>
      <w:r>
        <w:rPr>
          <w:b/>
          <w:sz w:val="24"/>
        </w:rPr>
        <w:t xml:space="preserve">.5 </w:t>
      </w:r>
      <w:r>
        <w:rPr>
          <w:b/>
          <w:sz w:val="24"/>
        </w:rPr>
        <w:t>灾难恢复后的管理</w:t>
      </w:r>
      <w:bookmarkEnd w:id="10"/>
      <w:bookmarkEnd w:id="12"/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为保证灾难恢复方案与信息系统的实际状况相符，要求</w:t>
      </w:r>
      <w:r>
        <w:rPr>
          <w:rFonts w:hint="eastAsia"/>
          <w:sz w:val="24"/>
        </w:rPr>
        <w:t>有</w:t>
      </w:r>
      <w:r>
        <w:rPr>
          <w:sz w:val="24"/>
        </w:rPr>
        <w:t>灾难管理协调员</w:t>
      </w:r>
      <w:r>
        <w:rPr>
          <w:rFonts w:hint="eastAsia"/>
          <w:sz w:val="24"/>
        </w:rPr>
        <w:t>。</w:t>
      </w:r>
      <w:r>
        <w:rPr>
          <w:sz w:val="24"/>
        </w:rPr>
        <w:t xml:space="preserve">  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在信息系统的重要组件变更后，及时审核修改灾难恢复方案和辅助文件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对变更后的方案进行测试，并评估结果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sz w:val="24"/>
        </w:rPr>
        <w:t>向相关负责人员传达变更后的方案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sz w:val="24"/>
        </w:rPr>
        <w:t>如需要，在方案变更的</w:t>
      </w:r>
      <w:r>
        <w:rPr>
          <w:sz w:val="24"/>
        </w:rPr>
        <w:t>30</w:t>
      </w:r>
      <w:r>
        <w:rPr>
          <w:sz w:val="24"/>
        </w:rPr>
        <w:t>天以内组织培训</w:t>
      </w:r>
      <w:r>
        <w:rPr>
          <w:rFonts w:hint="eastAsia"/>
          <w:sz w:val="24"/>
        </w:rPr>
        <w:t>。</w:t>
      </w:r>
    </w:p>
    <w:p w:rsidR="009F2F94" w:rsidRDefault="00D75AD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sz w:val="24"/>
        </w:rPr>
        <w:t>及时更新灾难恢复方案中所涉及的联系方式</w:t>
      </w:r>
      <w:r>
        <w:rPr>
          <w:rFonts w:hint="eastAsia"/>
          <w:sz w:val="24"/>
        </w:rPr>
        <w:t>。</w:t>
      </w:r>
    </w:p>
    <w:p w:rsidR="009F2F94" w:rsidRDefault="009F2F94">
      <w:pPr>
        <w:spacing w:line="360" w:lineRule="auto"/>
        <w:ind w:firstLineChars="200" w:firstLine="480"/>
        <w:rPr>
          <w:sz w:val="24"/>
        </w:rPr>
      </w:pPr>
    </w:p>
    <w:p w:rsidR="009F2F94" w:rsidRDefault="00D75ADC">
      <w:pPr>
        <w:spacing w:line="360" w:lineRule="auto"/>
        <w:rPr>
          <w:b/>
          <w:bCs/>
          <w:sz w:val="24"/>
        </w:rPr>
      </w:pPr>
      <w:bookmarkStart w:id="13" w:name="_Toc340822068"/>
      <w:r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记录表格</w:t>
      </w: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无。</w:t>
      </w:r>
    </w:p>
    <w:p w:rsidR="009F2F94" w:rsidRDefault="009F2F94">
      <w:pPr>
        <w:spacing w:line="360" w:lineRule="auto"/>
        <w:ind w:firstLineChars="200" w:firstLine="480"/>
        <w:rPr>
          <w:sz w:val="24"/>
        </w:rPr>
      </w:pPr>
    </w:p>
    <w:p w:rsidR="009F2F94" w:rsidRDefault="00D75ADC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6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参考资料</w:t>
      </w:r>
      <w:bookmarkEnd w:id="13"/>
    </w:p>
    <w:p w:rsidR="009F2F94" w:rsidRDefault="00D75ADC">
      <w:pPr>
        <w:spacing w:line="360" w:lineRule="auto"/>
        <w:rPr>
          <w:sz w:val="24"/>
        </w:rPr>
      </w:pPr>
      <w:r>
        <w:rPr>
          <w:sz w:val="24"/>
        </w:rPr>
        <w:t xml:space="preserve">OECD Series on Principles of Good Laboratory Practice and Compliance Monitoring No. 10: GLP Consensus Document. The Application of the Principles of GLP to Computerized Systems. Environment Monograph No. 116; Environment Directorate, OECD, Paris, 1995.    </w:t>
      </w:r>
      <w:r>
        <w:rPr>
          <w:sz w:val="24"/>
        </w:rPr>
        <w:t xml:space="preserve">                                                                                                                                                 </w:t>
      </w:r>
    </w:p>
    <w:p w:rsidR="009F2F94" w:rsidRDefault="009F2F94">
      <w:pPr>
        <w:spacing w:line="360" w:lineRule="auto"/>
        <w:ind w:firstLineChars="200" w:firstLine="480"/>
        <w:rPr>
          <w:sz w:val="24"/>
        </w:rPr>
      </w:pPr>
    </w:p>
    <w:p w:rsidR="009F2F94" w:rsidRDefault="00D75ADC">
      <w:pPr>
        <w:spacing w:line="360" w:lineRule="auto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248920</wp:posOffset>
                </wp:positionV>
                <wp:extent cx="1800225" cy="635"/>
                <wp:effectExtent l="0" t="0" r="9525" b="37465"/>
                <wp:wrapNone/>
                <wp:docPr id="4" name="直线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8436D" id="直线 102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5pt,19.6pt" to="277.2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xKCxwEAAFkDAAAOAAAAZHJzL2Uyb0RvYy54bWysU0tu2zAQ3RfIHQjua31aB4lgOQsHySZN&#10;DSQ9wJikJKIkhyBpSz5LrtFVNz1OrlGS/rRpd0W1IMT5vJn3Zri4mbQiO+G8RNPSalZSIgxDLk3f&#10;0i/Pd++vKPEBDAeFRrR0Lzy9WV68W4y2ETUOqLhwJIIY34y2pUMItikKzwahwc/QChOdHToNIV5d&#10;X3AHY0TXqqjL8rIY0XHrkAnvo/X24KTLjN91goXPXedFIKqlsbeQT5fPTTqL5QKa3oEdJDu2Af/Q&#10;hQZpYtEz1C0EIFsn/4LSkjn02IUZQ11g10kmMofIpir/YPM0gBWZSxTH27NM/v/Bssfd2hHJW/qR&#10;EgM6juj15dvr9x+kKuvrJM9ofROjVmbtEkE2mSf7gOyrJwZXA5he5Daf9zbmVimjeJOSLt7GIpvx&#10;E/IYA9uAWaupczpBRhXIlEeyP49ETIGwaKyuyrKu55Sw6Lv8MM/40JxSrfPhXqAm6aelSpqkFzSw&#10;e/AhtQLNKSSZDd5JpfLMlSFjhL8u52XO8KgkT94U512/WSlHdpDWJn/Hwm/CHG4NP1RR5sg7UT2I&#10;tkG+X7uTHnF+uZ3jrqUF+f2es3+9iOVPAAAA//8DAFBLAwQUAAYACAAAACEAEHE5Sd4AAAAJAQAA&#10;DwAAAGRycy9kb3ducmV2LnhtbEyPwU6DQBCG7ya+w2ZMvNlFCgrI0mgTL72JjfY4ZbdA3J0l7JbC&#10;27s96XFm/nzz/eVmNppNanS9JQGPqwiYosbKnloB+8/3hwyY80gStSUlYFEONtXtTYmFtBf6UFPt&#10;WxYg5AoU0Hk/FJy7plMG3coOisLtZEeDPoxjy+WIlwA3msdR9MQN9hQ+dDiobaean/psAiX9zt52&#10;mO2XRdeHPNl+7SYyQtzfza8vwLya/V8YrvpBHargdLRnko5pAfFzlIeogHUeAwuBNE0SYMfrYg28&#10;Kvn/BtUvAAAA//8DAFBLAQItABQABgAIAAAAIQC2gziS/gAAAOEBAAATAAAAAAAAAAAAAAAAAAAA&#10;AABbQ29udGVudF9UeXBlc10ueG1sUEsBAi0AFAAGAAgAAAAhADj9If/WAAAAlAEAAAsAAAAAAAAA&#10;AAAAAAAALwEAAF9yZWxzLy5yZWxzUEsBAi0AFAAGAAgAAAAhAEMHEoLHAQAAWQMAAA4AAAAAAAAA&#10;AAAAAAAALgIAAGRycy9lMm9Eb2MueG1sUEsBAi0AFAAGAAgAAAAhABBxOUneAAAACQEAAA8AAAAA&#10;AAAAAAAAAAAAIQQAAGRycy9kb3ducmV2LnhtbFBLBQYAAAAABAAEAPMAAAAsBQAAAAA=&#10;" strokeweight="1.5pt"/>
            </w:pict>
          </mc:Fallback>
        </mc:AlternateContent>
      </w:r>
    </w:p>
    <w:sectPr w:rsidR="009F2F94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077" w:right="1418" w:bottom="1077" w:left="1418" w:header="964" w:footer="964" w:gutter="567"/>
      <w:pgNumType w:start="3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5ADC" w:rsidRDefault="00D75ADC">
      <w:r>
        <w:separator/>
      </w:r>
    </w:p>
  </w:endnote>
  <w:endnote w:type="continuationSeparator" w:id="0">
    <w:p w:rsidR="00D75ADC" w:rsidRDefault="00D7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9F2F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e"/>
      <w:pBdr>
        <w:top w:val="single" w:sz="4" w:space="0" w:color="auto"/>
      </w:pBdr>
    </w:pPr>
    <w:r>
      <w:rPr>
        <w:sz w:val="24"/>
        <w:szCs w:val="24"/>
      </w:rPr>
      <w:t>TQXS-SOP-GEN-0</w:t>
    </w:r>
    <w:r>
      <w:rPr>
        <w:rFonts w:hint="eastAsia"/>
        <w:sz w:val="24"/>
        <w:szCs w:val="24"/>
      </w:rPr>
      <w:t>34</w:t>
    </w:r>
    <w:r>
      <w:rPr>
        <w:rFonts w:hint="eastAsia"/>
        <w:sz w:val="24"/>
        <w:szCs w:val="24"/>
      </w:rPr>
      <w:t xml:space="preserve">  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版次：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>.0</w:t>
    </w:r>
    <w:r>
      <w:rPr>
        <w:sz w:val="24"/>
        <w:szCs w:val="24"/>
      </w:rPr>
      <w:t xml:space="preserve">        </w:t>
    </w:r>
    <w:r>
      <w:rPr>
        <w:rFonts w:hint="eastAsia"/>
        <w:sz w:val="24"/>
        <w:szCs w:val="24"/>
      </w:rPr>
      <w:t xml:space="preserve">  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  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页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共</w:t>
    </w:r>
    <w:r>
      <w:rPr>
        <w:rFonts w:hint="eastAsia"/>
        <w:sz w:val="24"/>
        <w:szCs w:val="24"/>
      </w:rPr>
      <w:t>5</w:t>
    </w:r>
    <w:r>
      <w:rPr>
        <w:rFonts w:hint="eastAsia"/>
        <w:sz w:val="24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e"/>
      <w:pBdr>
        <w:top w:val="single" w:sz="4" w:space="0" w:color="auto"/>
      </w:pBdr>
      <w:jc w:val="distribute"/>
    </w:pPr>
    <w:r>
      <w:rPr>
        <w:sz w:val="24"/>
        <w:szCs w:val="24"/>
      </w:rPr>
      <w:t>TQXS-SOP-GEN-0</w:t>
    </w:r>
    <w:r>
      <w:rPr>
        <w:rFonts w:hint="eastAsia"/>
        <w:sz w:val="24"/>
        <w:szCs w:val="24"/>
      </w:rPr>
      <w:t>34</w:t>
    </w:r>
    <w:r>
      <w:rPr>
        <w:rFonts w:hint="eastAsia"/>
        <w:sz w:val="24"/>
        <w:szCs w:val="24"/>
      </w:rPr>
      <w:t xml:space="preserve">  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版次：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>.0</w:t>
    </w:r>
    <w:r>
      <w:rPr>
        <w:sz w:val="24"/>
        <w:szCs w:val="24"/>
      </w:rPr>
      <w:t xml:space="preserve">          </w:t>
    </w:r>
    <w:r>
      <w:rPr>
        <w:rFonts w:hint="eastAsia"/>
        <w:sz w:val="24"/>
        <w:szCs w:val="24"/>
      </w:rPr>
      <w:t xml:space="preserve">  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页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共</w:t>
    </w:r>
    <w:r>
      <w:rPr>
        <w:rFonts w:hint="eastAsia"/>
        <w:sz w:val="24"/>
        <w:szCs w:val="24"/>
      </w:rPr>
      <w:t>5</w:t>
    </w:r>
    <w:r>
      <w:rPr>
        <w:rFonts w:hint="eastAsia"/>
        <w:sz w:val="24"/>
        <w:szCs w:val="24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e"/>
      <w:pBdr>
        <w:top w:val="single" w:sz="4" w:space="1" w:color="auto"/>
      </w:pBdr>
      <w:jc w:val="both"/>
      <w:rPr>
        <w:sz w:val="24"/>
        <w:szCs w:val="24"/>
      </w:rPr>
    </w:pPr>
    <w:r>
      <w:rPr>
        <w:rFonts w:hint="eastAsia"/>
        <w:sz w:val="24"/>
        <w:szCs w:val="24"/>
        <w:lang w:eastAsia="zh-Hans"/>
      </w:rPr>
      <w:t>TQXS-SOP</w:t>
    </w:r>
    <w:r>
      <w:rPr>
        <w:sz w:val="24"/>
        <w:szCs w:val="24"/>
      </w:rPr>
      <w:t>-GEN-0</w:t>
    </w:r>
    <w:r>
      <w:rPr>
        <w:sz w:val="24"/>
        <w:szCs w:val="24"/>
      </w:rPr>
      <w:t xml:space="preserve">34     </w:t>
    </w:r>
    <w:r>
      <w:rPr>
        <w:sz w:val="24"/>
        <w:szCs w:val="24"/>
      </w:rPr>
      <w:t xml:space="preserve">           </w:t>
    </w:r>
    <w:r>
      <w:rPr>
        <w:bCs/>
        <w:snapToGrid w:val="0"/>
        <w:kern w:val="0"/>
        <w:sz w:val="24"/>
        <w:szCs w:val="24"/>
      </w:rPr>
      <w:t>版本</w:t>
    </w:r>
    <w:r>
      <w:rPr>
        <w:bCs/>
        <w:snapToGrid w:val="0"/>
        <w:kern w:val="0"/>
        <w:sz w:val="24"/>
        <w:szCs w:val="24"/>
      </w:rPr>
      <w:t>/</w:t>
    </w:r>
    <w:r>
      <w:rPr>
        <w:sz w:val="24"/>
        <w:szCs w:val="24"/>
      </w:rPr>
      <w:t>版次：</w:t>
    </w:r>
    <w:r>
      <w:rPr>
        <w:sz w:val="24"/>
        <w:szCs w:val="24"/>
      </w:rPr>
      <w:t>1</w:t>
    </w:r>
    <w:r>
      <w:rPr>
        <w:rFonts w:hint="eastAsia"/>
        <w:sz w:val="24"/>
        <w:szCs w:val="24"/>
      </w:rPr>
      <w:t>.0</w:t>
    </w:r>
    <w:r>
      <w:rPr>
        <w:sz w:val="24"/>
        <w:szCs w:val="24"/>
      </w:rPr>
      <w:t xml:space="preserve">         </w:t>
    </w:r>
    <w:r>
      <w:rPr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sz w:val="24"/>
        <w:szCs w:val="24"/>
      </w:rPr>
      <w:t>页</w:t>
    </w:r>
    <w:r>
      <w:rPr>
        <w:sz w:val="24"/>
        <w:szCs w:val="24"/>
      </w:rPr>
      <w:t xml:space="preserve">  </w:t>
    </w:r>
    <w:r>
      <w:rPr>
        <w:sz w:val="24"/>
        <w:szCs w:val="24"/>
      </w:rPr>
      <w:t>共</w:t>
    </w:r>
    <w:r>
      <w:rPr>
        <w:rFonts w:hint="eastAsia"/>
        <w:sz w:val="24"/>
        <w:szCs w:val="24"/>
      </w:rPr>
      <w:t>5</w:t>
    </w:r>
    <w:r>
      <w:rPr>
        <w:sz w:val="24"/>
        <w:szCs w:val="24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e"/>
      <w:pBdr>
        <w:top w:val="single" w:sz="4" w:space="0" w:color="auto"/>
      </w:pBdr>
      <w:jc w:val="distribute"/>
    </w:pPr>
    <w:r>
      <w:rPr>
        <w:sz w:val="24"/>
        <w:szCs w:val="24"/>
      </w:rPr>
      <w:t>TQXS-SOP-GEN-0</w:t>
    </w:r>
    <w:r>
      <w:rPr>
        <w:rFonts w:hint="eastAsia"/>
        <w:sz w:val="24"/>
        <w:szCs w:val="24"/>
      </w:rPr>
      <w:t>34</w:t>
    </w:r>
    <w:r>
      <w:rPr>
        <w:rFonts w:hint="eastAsia"/>
        <w:sz w:val="24"/>
        <w:szCs w:val="24"/>
      </w:rPr>
      <w:t xml:space="preserve">  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版次：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>.0</w:t>
    </w:r>
    <w:r>
      <w:rPr>
        <w:sz w:val="24"/>
        <w:szCs w:val="24"/>
      </w:rPr>
      <w:t xml:space="preserve">          </w:t>
    </w:r>
    <w:r>
      <w:rPr>
        <w:rFonts w:hint="eastAsia"/>
        <w:sz w:val="24"/>
        <w:szCs w:val="24"/>
      </w:rPr>
      <w:t xml:space="preserve">  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第</w:t>
    </w:r>
    <w:r>
      <w:rPr>
        <w:sz w:val="24"/>
        <w:szCs w:val="24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  \* Arabic  \* MERGEFORMAT</w:instrText>
    </w:r>
    <w:r>
      <w:rPr>
        <w:sz w:val="24"/>
        <w:szCs w:val="24"/>
      </w:rPr>
      <w:fldChar w:fldCharType="separate"/>
    </w:r>
    <w:r>
      <w:rPr>
        <w:sz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页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共</w:t>
    </w:r>
    <w:r>
      <w:rPr>
        <w:rFonts w:hint="eastAsia"/>
        <w:sz w:val="24"/>
        <w:szCs w:val="24"/>
      </w:rPr>
      <w:t>5</w:t>
    </w:r>
    <w:r>
      <w:rPr>
        <w:rFonts w:hint="eastAsia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5ADC" w:rsidRDefault="00D75ADC">
      <w:r>
        <w:separator/>
      </w:r>
    </w:p>
  </w:footnote>
  <w:footnote w:type="continuationSeparator" w:id="0">
    <w:p w:rsidR="00D75ADC" w:rsidRDefault="00D75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9F2F9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f0"/>
      <w:pBdr>
        <w:bottom w:val="single" w:sz="6" w:space="6" w:color="auto"/>
      </w:pBdr>
      <w:tabs>
        <w:tab w:val="clear" w:pos="4153"/>
        <w:tab w:val="clear" w:pos="8306"/>
        <w:tab w:val="left" w:pos="2025"/>
      </w:tabs>
      <w:jc w:val="both"/>
    </w:pPr>
    <w:r>
      <w:rPr>
        <w:noProof/>
      </w:rPr>
      <w:drawing>
        <wp:inline distT="0" distB="0" distL="114300" distR="114300">
          <wp:extent cx="1151890" cy="288290"/>
          <wp:effectExtent l="0" t="0" r="10160" b="1651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8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9F2F94">
    <w:pPr>
      <w:pStyle w:val="af0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9F2F94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f0"/>
      <w:pBdr>
        <w:bottom w:val="single" w:sz="4" w:space="1" w:color="auto"/>
      </w:pBdr>
      <w:tabs>
        <w:tab w:val="clear" w:pos="4153"/>
        <w:tab w:val="clear" w:pos="8306"/>
        <w:tab w:val="left" w:pos="2025"/>
      </w:tabs>
      <w:jc w:val="both"/>
    </w:pPr>
    <w:r>
      <w:rPr>
        <w:noProof/>
      </w:rPr>
      <w:drawing>
        <wp:inline distT="0" distB="0" distL="114300" distR="114300">
          <wp:extent cx="1151890" cy="288290"/>
          <wp:effectExtent l="0" t="0" r="10160" b="1651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8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F94" w:rsidRDefault="00D75ADC">
    <w:pPr>
      <w:pStyle w:val="af0"/>
      <w:jc w:val="left"/>
    </w:pPr>
    <w:r>
      <w:rPr>
        <w:noProof/>
      </w:rPr>
      <w:drawing>
        <wp:inline distT="0" distB="0" distL="114300" distR="114300">
          <wp:extent cx="1151890" cy="288290"/>
          <wp:effectExtent l="0" t="0" r="10160" b="1651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8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863091"/>
    <w:multiLevelType w:val="multilevel"/>
    <w:tmpl w:val="60863091"/>
    <w:lvl w:ilvl="0">
      <w:start w:val="4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eastAsia"/>
        <w:sz w:val="24"/>
        <w:szCs w:val="24"/>
      </w:rPr>
    </w:lvl>
    <w:lvl w:ilvl="1">
      <w:start w:val="2"/>
      <w:numFmt w:val="decimal"/>
      <w:pStyle w:val="1"/>
      <w:lvlText w:val="%1.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1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6DD97F48"/>
    <w:multiLevelType w:val="multilevel"/>
    <w:tmpl w:val="6DD97F48"/>
    <w:lvl w:ilvl="0">
      <w:start w:val="1"/>
      <w:numFmt w:val="upperRoman"/>
      <w:lvlText w:val="第 %1 条"/>
      <w:lvlJc w:val="left"/>
      <w:pPr>
        <w:tabs>
          <w:tab w:val="left" w:pos="144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Y2YmI5ODJhNmRkZWUyNTBhOGM1YmZkNDE0MjlmZTcifQ=="/>
  </w:docVars>
  <w:rsids>
    <w:rsidRoot w:val="00E61E96"/>
    <w:rsid w:val="00020374"/>
    <w:rsid w:val="00031C6E"/>
    <w:rsid w:val="0005087B"/>
    <w:rsid w:val="00076F15"/>
    <w:rsid w:val="000A3230"/>
    <w:rsid w:val="000E01FA"/>
    <w:rsid w:val="000F576B"/>
    <w:rsid w:val="00105BDC"/>
    <w:rsid w:val="00111EAF"/>
    <w:rsid w:val="001841AE"/>
    <w:rsid w:val="00186ED5"/>
    <w:rsid w:val="001E0C41"/>
    <w:rsid w:val="001E76A5"/>
    <w:rsid w:val="00225BAC"/>
    <w:rsid w:val="002423A6"/>
    <w:rsid w:val="00244D6B"/>
    <w:rsid w:val="002570CD"/>
    <w:rsid w:val="00264366"/>
    <w:rsid w:val="002774B3"/>
    <w:rsid w:val="002778DA"/>
    <w:rsid w:val="002B47D9"/>
    <w:rsid w:val="002E2006"/>
    <w:rsid w:val="00330314"/>
    <w:rsid w:val="00340FFF"/>
    <w:rsid w:val="00343756"/>
    <w:rsid w:val="003449C7"/>
    <w:rsid w:val="003469D2"/>
    <w:rsid w:val="00370E33"/>
    <w:rsid w:val="003F75F4"/>
    <w:rsid w:val="00426D45"/>
    <w:rsid w:val="00464BDE"/>
    <w:rsid w:val="004772F0"/>
    <w:rsid w:val="004C2089"/>
    <w:rsid w:val="00556625"/>
    <w:rsid w:val="005604D6"/>
    <w:rsid w:val="00561D0E"/>
    <w:rsid w:val="00574AAC"/>
    <w:rsid w:val="005B6CF5"/>
    <w:rsid w:val="005E1E33"/>
    <w:rsid w:val="0060026B"/>
    <w:rsid w:val="00612401"/>
    <w:rsid w:val="0061350D"/>
    <w:rsid w:val="00654810"/>
    <w:rsid w:val="00655245"/>
    <w:rsid w:val="006654AE"/>
    <w:rsid w:val="00666D2B"/>
    <w:rsid w:val="006A546A"/>
    <w:rsid w:val="006B6946"/>
    <w:rsid w:val="006D3AE8"/>
    <w:rsid w:val="007144F1"/>
    <w:rsid w:val="007267B7"/>
    <w:rsid w:val="0073327C"/>
    <w:rsid w:val="00757E03"/>
    <w:rsid w:val="0076596D"/>
    <w:rsid w:val="007978EC"/>
    <w:rsid w:val="007A59B7"/>
    <w:rsid w:val="007B28FF"/>
    <w:rsid w:val="007D7977"/>
    <w:rsid w:val="007F74D4"/>
    <w:rsid w:val="0080300D"/>
    <w:rsid w:val="00843BEB"/>
    <w:rsid w:val="008818B4"/>
    <w:rsid w:val="008F142A"/>
    <w:rsid w:val="00907C80"/>
    <w:rsid w:val="009215B3"/>
    <w:rsid w:val="00927660"/>
    <w:rsid w:val="00960DAF"/>
    <w:rsid w:val="009756AA"/>
    <w:rsid w:val="009F2F94"/>
    <w:rsid w:val="00A319AC"/>
    <w:rsid w:val="00A35C46"/>
    <w:rsid w:val="00AA7B26"/>
    <w:rsid w:val="00AC500D"/>
    <w:rsid w:val="00AE000B"/>
    <w:rsid w:val="00AE6966"/>
    <w:rsid w:val="00AF0437"/>
    <w:rsid w:val="00B36C32"/>
    <w:rsid w:val="00B55C39"/>
    <w:rsid w:val="00BA0F40"/>
    <w:rsid w:val="00BE5D6B"/>
    <w:rsid w:val="00C07770"/>
    <w:rsid w:val="00C8625B"/>
    <w:rsid w:val="00C92BB1"/>
    <w:rsid w:val="00C94C32"/>
    <w:rsid w:val="00CC3FD3"/>
    <w:rsid w:val="00D75ADC"/>
    <w:rsid w:val="00DB4ACC"/>
    <w:rsid w:val="00E00E02"/>
    <w:rsid w:val="00E11E9A"/>
    <w:rsid w:val="00E35CF9"/>
    <w:rsid w:val="00E365FF"/>
    <w:rsid w:val="00E61E96"/>
    <w:rsid w:val="00E70C80"/>
    <w:rsid w:val="00E74980"/>
    <w:rsid w:val="00E84698"/>
    <w:rsid w:val="00E93436"/>
    <w:rsid w:val="00E95607"/>
    <w:rsid w:val="00EB6090"/>
    <w:rsid w:val="00ED201F"/>
    <w:rsid w:val="00EF0545"/>
    <w:rsid w:val="00F2010F"/>
    <w:rsid w:val="00F22912"/>
    <w:rsid w:val="00F6349C"/>
    <w:rsid w:val="00F90FB4"/>
    <w:rsid w:val="00F927C3"/>
    <w:rsid w:val="00F9332C"/>
    <w:rsid w:val="00FB3C4C"/>
    <w:rsid w:val="00FC305B"/>
    <w:rsid w:val="09613449"/>
    <w:rsid w:val="0EA4435B"/>
    <w:rsid w:val="22BC6CCF"/>
    <w:rsid w:val="246C1F23"/>
    <w:rsid w:val="357527BC"/>
    <w:rsid w:val="3901404B"/>
    <w:rsid w:val="3AC5D6B1"/>
    <w:rsid w:val="3E7C2E50"/>
    <w:rsid w:val="43DD095D"/>
    <w:rsid w:val="45E159E4"/>
    <w:rsid w:val="5540062D"/>
    <w:rsid w:val="58AC2AE6"/>
    <w:rsid w:val="5EEF2478"/>
    <w:rsid w:val="6BCE3108"/>
    <w:rsid w:val="7FD6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docId w15:val="{25C5D4E5-6CE4-4DD4-AE7A-84BFC65B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unhideWhenUsed="1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6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numPr>
        <w:ilvl w:val="1"/>
        <w:numId w:val="1"/>
      </w:numPr>
      <w:tabs>
        <w:tab w:val="clear" w:pos="720"/>
        <w:tab w:val="left" w:pos="1440"/>
      </w:tabs>
      <w:outlineLvl w:val="1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rFonts w:eastAsia="仿宋_GB2312"/>
      <w:spacing w:val="24"/>
      <w:sz w:val="28"/>
      <w:szCs w:val="20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4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 Indent"/>
    <w:basedOn w:val="a"/>
    <w:qFormat/>
    <w:pPr>
      <w:spacing w:line="360" w:lineRule="auto"/>
      <w:ind w:firstLineChars="196" w:firstLine="470"/>
    </w:pPr>
    <w:rPr>
      <w:rFonts w:ascii="宋体" w:hAnsi="宋体"/>
      <w:sz w:val="24"/>
    </w:r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a9"/>
    <w:qFormat/>
    <w:rPr>
      <w:rFonts w:ascii="宋体" w:hAnsi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a">
    <w:name w:val="Date"/>
    <w:basedOn w:val="a"/>
    <w:next w:val="a"/>
    <w:link w:val="ab"/>
    <w:qFormat/>
    <w:pPr>
      <w:ind w:leftChars="2500" w:left="100"/>
    </w:pPr>
    <w:rPr>
      <w:rFonts w:ascii="Calibri" w:hAnsi="Calibri"/>
      <w:szCs w:val="22"/>
    </w:rPr>
  </w:style>
  <w:style w:type="paragraph" w:styleId="21">
    <w:name w:val="Body Text Indent 2"/>
    <w:basedOn w:val="a"/>
    <w:link w:val="22"/>
    <w:uiPriority w:val="99"/>
    <w:unhideWhenUsed/>
    <w:qFormat/>
    <w:pPr>
      <w:spacing w:after="120" w:line="480" w:lineRule="auto"/>
      <w:ind w:leftChars="200" w:left="420"/>
    </w:pPr>
  </w:style>
  <w:style w:type="paragraph" w:styleId="ac">
    <w:name w:val="Balloon Text"/>
    <w:basedOn w:val="a"/>
    <w:link w:val="ad"/>
    <w:qFormat/>
    <w:rPr>
      <w:rFonts w:ascii="Calibri" w:hAnsi="Calibri"/>
      <w:sz w:val="18"/>
      <w:szCs w:val="18"/>
    </w:rPr>
  </w:style>
  <w:style w:type="paragraph" w:styleId="ae">
    <w:name w:val="footer"/>
    <w:basedOn w:val="a"/>
    <w:link w:val="af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pPr>
      <w:tabs>
        <w:tab w:val="right" w:leader="dot" w:pos="8302"/>
      </w:tabs>
      <w:spacing w:before="120" w:after="120"/>
      <w:ind w:leftChars="300" w:left="630" w:rightChars="1000" w:right="2100"/>
      <w:jc w:val="center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"/>
    <w:next w:val="a"/>
    <w:qFormat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af2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3">
    <w:name w:val="annotation subject"/>
    <w:basedOn w:val="a5"/>
    <w:next w:val="a5"/>
    <w:link w:val="af4"/>
    <w:qFormat/>
  </w:style>
  <w:style w:type="character" w:styleId="af5">
    <w:name w:val="page number"/>
    <w:basedOn w:val="a1"/>
    <w:qFormat/>
  </w:style>
  <w:style w:type="character" w:styleId="af6">
    <w:name w:val="Hyperlink"/>
    <w:qFormat/>
    <w:rPr>
      <w:color w:val="000000"/>
      <w:u w:val="none"/>
    </w:rPr>
  </w:style>
  <w:style w:type="character" w:styleId="af7">
    <w:name w:val="annotation reference"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ar">
    <w:name w:val="Char"/>
    <w:basedOn w:val="a"/>
    <w:qFormat/>
    <w:pPr>
      <w:snapToGrid w:val="0"/>
      <w:spacing w:line="360" w:lineRule="auto"/>
    </w:pPr>
    <w:rPr>
      <w:rFonts w:ascii="宋体" w:hAnsi="宋体"/>
      <w:sz w:val="24"/>
    </w:rPr>
  </w:style>
  <w:style w:type="paragraph" w:customStyle="1" w:styleId="12">
    <w:name w:val="正文缩进1"/>
    <w:basedOn w:val="a"/>
    <w:qFormat/>
    <w:pPr>
      <w:ind w:firstLine="420"/>
    </w:pPr>
    <w:rPr>
      <w:rFonts w:eastAsia="仿宋_GB2312"/>
      <w:spacing w:val="24"/>
      <w:sz w:val="28"/>
      <w:szCs w:val="20"/>
    </w:rPr>
  </w:style>
  <w:style w:type="paragraph" w:customStyle="1" w:styleId="af8">
    <w:name w:val="È¡ÀÊ¡ÎÄ¡À¾"/>
    <w:basedOn w:val="a"/>
    <w:qFormat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">
    <w:name w:val="样式1"/>
    <w:basedOn w:val="a"/>
    <w:qFormat/>
    <w:pPr>
      <w:numPr>
        <w:ilvl w:val="1"/>
        <w:numId w:val="2"/>
      </w:numPr>
    </w:pPr>
    <w:rPr>
      <w:b/>
      <w:sz w:val="24"/>
    </w:rPr>
  </w:style>
  <w:style w:type="paragraph" w:customStyle="1" w:styleId="13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10">
    <w:name w:val="列出段落11"/>
    <w:basedOn w:val="a"/>
    <w:uiPriority w:val="34"/>
    <w:qFormat/>
    <w:pPr>
      <w:ind w:firstLineChars="200" w:firstLine="420"/>
    </w:pPr>
  </w:style>
  <w:style w:type="paragraph" w:customStyle="1" w:styleId="font2">
    <w:name w:val="font2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14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f1">
    <w:name w:val="页眉 字符"/>
    <w:link w:val="af0"/>
    <w:qFormat/>
    <w:rPr>
      <w:kern w:val="2"/>
      <w:sz w:val="18"/>
      <w:szCs w:val="18"/>
    </w:rPr>
  </w:style>
  <w:style w:type="character" w:customStyle="1" w:styleId="ab">
    <w:name w:val="日期 字符"/>
    <w:link w:val="aa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22">
    <w:name w:val="正文文本缩进 2 字符"/>
    <w:link w:val="21"/>
    <w:uiPriority w:val="99"/>
    <w:semiHidden/>
    <w:qFormat/>
    <w:rPr>
      <w:kern w:val="2"/>
      <w:sz w:val="21"/>
      <w:szCs w:val="24"/>
    </w:rPr>
  </w:style>
  <w:style w:type="character" w:customStyle="1" w:styleId="af">
    <w:name w:val="页脚 字符"/>
    <w:link w:val="ae"/>
    <w:qFormat/>
    <w:rPr>
      <w:kern w:val="2"/>
      <w:sz w:val="18"/>
      <w:szCs w:val="18"/>
    </w:rPr>
  </w:style>
  <w:style w:type="character" w:customStyle="1" w:styleId="20">
    <w:name w:val="标题 2 字符"/>
    <w:link w:val="2"/>
    <w:qFormat/>
    <w:rPr>
      <w:b/>
    </w:rPr>
  </w:style>
  <w:style w:type="character" w:customStyle="1" w:styleId="af4">
    <w:name w:val="批注主题 字符"/>
    <w:link w:val="af3"/>
    <w:qFormat/>
    <w:rPr>
      <w:kern w:val="2"/>
      <w:sz w:val="21"/>
      <w:szCs w:val="24"/>
    </w:rPr>
  </w:style>
  <w:style w:type="character" w:customStyle="1" w:styleId="a9">
    <w:name w:val="纯文本 字符"/>
    <w:link w:val="a8"/>
    <w:qFormat/>
    <w:rPr>
      <w:rFonts w:ascii="宋体" w:hAnsi="Courier New" w:cs="宋体"/>
      <w:kern w:val="2"/>
      <w:sz w:val="21"/>
      <w:szCs w:val="21"/>
    </w:rPr>
  </w:style>
  <w:style w:type="character" w:customStyle="1" w:styleId="11">
    <w:name w:val="标题 1 字符"/>
    <w:link w:val="10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ad">
    <w:name w:val="批注框文本 字符"/>
    <w:link w:val="ac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1790</Characters>
  <Application>Microsoft Office Word</Application>
  <DocSecurity>0</DocSecurity>
  <Lines>14</Lines>
  <Paragraphs>4</Paragraphs>
  <ScaleCrop>false</ScaleCrop>
  <Company>Hewlett-Packard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M/CTI</dc:title>
  <dc:creator>Leoliu</dc:creator>
  <cp:lastModifiedBy>cc</cp:lastModifiedBy>
  <cp:revision>4</cp:revision>
  <cp:lastPrinted>2022-09-29T03:30:00Z</cp:lastPrinted>
  <dcterms:created xsi:type="dcterms:W3CDTF">2022-01-19T16:21:00Z</dcterms:created>
  <dcterms:modified xsi:type="dcterms:W3CDTF">2025-08-29T02:01:00Z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066C33D633CD48558AE1F994B9D58167</vt:lpwstr>
  </property>
</Properties>
</file>