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Research</w:t>
      </w:r>
    </w:p>
    <w:p>
      <w:r>
        <w:rPr>
          <w:i/>
          <w:sz w:val="24"/>
        </w:rPr>
        <w:t>Evidence Behind Each Design Iteration — DECO3500 Team 3</w:t>
      </w:r>
    </w:p>
    <w:p>
      <w:r>
        <w:rPr>
          <w:b w:val="0"/>
          <w:i w:val="0"/>
        </w:rPr>
        <w:t>This document maps four highly relevant papers to each of the three design iteration stages described in Design_Iteration_Process.docx. For each paper: what it found, the insight the team drew from it, and its implication for a specific decision in the current project. Read stage-by-stage, the sequence is intended to be logically coherent — each stage's papers justify why the team moved from the previous solution to the next.</w:t>
      </w:r>
    </w:p>
    <w:p>
      <w:pPr>
        <w:pStyle w:val="Heading1"/>
      </w:pPr>
      <w:r>
        <w:t>Stage 1 — Research &amp; Reframing: Why We Rejected a “Blocker”</w:t>
      </w:r>
    </w:p>
    <w:p>
      <w:pPr>
        <w:spacing w:before="200"/>
      </w:pPr>
      <w:r>
        <w:rPr>
          <w:b/>
        </w:rPr>
        <w:t>Ryan, R. M., Rigby, C. S., &amp; Przybylski, A. (2006). The motivational pull of video games: A self-determination theory approach. Motivation and Emotion, 30(4), 347–363.</w:t>
      </w:r>
    </w:p>
    <w:p>
      <w:r>
        <w:rPr>
          <w:b/>
        </w:rPr>
        <w:t xml:space="preserve">Summary: </w:t>
      </w:r>
      <w:r>
        <w:t>Using Self-Determination Theory (SDT), the study found that perceived in-game autonomy and competence predict enjoyment, continued play, and short-term well-being changes — play is driven by genuine psychological need satisfaction, not simply compulsion.</w:t>
      </w:r>
    </w:p>
    <w:p>
      <w:r>
        <w:rPr>
          <w:b/>
        </w:rPr>
        <w:t xml:space="preserve">Insight: </w:t>
      </w:r>
      <w:r>
        <w:t>Gaming itself is not inherently harmful; it satisfies real autonomy, competence and relatedness needs. This directly supports Story 1 and Story 5's finding that identical play time can reflect a healthy, chosen source of satisfaction.</w:t>
      </w:r>
    </w:p>
    <w:p>
      <w:r>
        <w:rPr>
          <w:b/>
        </w:rPr>
        <w:t xml:space="preserve">Implication for the project: </w:t>
      </w:r>
      <w:r>
        <w:t>Justified the team's first key decision — not to treat gaming as a problem to be minimised — and to design around preserving player autonomy rather than removing choice through restriction.</w:t>
      </w:r>
    </w:p>
    <w:p>
      <w:pPr>
        <w:spacing w:before="200"/>
      </w:pPr>
      <w:r>
        <w:rPr>
          <w:b/>
        </w:rPr>
        <w:t>Kardefelt-Winther, D. (2014). A conceptual and methodological critique of internet addiction research: Towards a model of compensatory internet use. Computers in Human Behavior, 31, 351–354.</w:t>
      </w:r>
    </w:p>
    <w:p>
      <w:r>
        <w:rPr>
          <w:b/>
        </w:rPr>
        <w:t xml:space="preserve">Summary: </w:t>
      </w:r>
      <w:r>
        <w:t>Proposes that much “excessive” internet/gaming use is compensatory — a coping response to unmet offline psychosocial needs — rather than a primary addiction in its own right.</w:t>
      </w:r>
    </w:p>
    <w:p>
      <w:r>
        <w:rPr>
          <w:b/>
        </w:rPr>
        <w:t xml:space="preserve">Insight: </w:t>
      </w:r>
      <w:r>
        <w:t>Matches Story 5 precisely: the same high play time can be autonomous interest investment for one participant and compensation for low achievement/confidence for another. The behaviour cannot be judged without the underlying reason.</w:t>
      </w:r>
    </w:p>
    <w:p>
      <w:r>
        <w:rPr>
          <w:b/>
        </w:rPr>
        <w:t xml:space="preserve">Implication for the project: </w:t>
      </w:r>
      <w:r>
        <w:t>Motivated a design that helps surface why a player is choosing to play right now (task-priority comparison), rather than one that only measures or caps how long they play.</w:t>
      </w:r>
    </w:p>
    <w:p>
      <w:pPr>
        <w:spacing w:before="200"/>
      </w:pPr>
      <w:r>
        <w:rPr>
          <w:b/>
        </w:rPr>
        <w:t>Billieux, J., Schimmenti, A., Khazaal, Y., Maurage, P., &amp; Heeren, A. (2015). Are we overpathologizing everyday life? A tenable blueprint for behavioral addiction research. Journal of Behavioral Addictions, 4(3), 119–123.</w:t>
      </w:r>
    </w:p>
    <w:p>
      <w:r>
        <w:rPr>
          <w:b/>
        </w:rPr>
        <w:t xml:space="preserve">Summary: </w:t>
      </w:r>
      <w:r>
        <w:t>Argues that behavioural addiction research often mislabels normal high engagement as pathology through atheoretical, symptom-count screening instruments.</w:t>
      </w:r>
    </w:p>
    <w:p>
      <w:r>
        <w:rPr>
          <w:b/>
        </w:rPr>
        <w:t xml:space="preserve">Insight: </w:t>
      </w:r>
      <w:r>
        <w:t>Validated the team's discomfort with a deficit/addiction framing of participants who were simply enthusiastic, high-engagement players rather than clinically impaired.</w:t>
      </w:r>
    </w:p>
    <w:p>
      <w:r>
        <w:rPr>
          <w:b/>
        </w:rPr>
        <w:t xml:space="preserve">Implication for the project: </w:t>
      </w:r>
      <w:r>
        <w:t>Reinforced the decision to reject a restriction/blocking tool (which assumes pathology) in favour of a supportive, prioritisation-based framing that respects everyday high engagement as normal.</w:t>
      </w:r>
    </w:p>
    <w:p>
      <w:pPr>
        <w:spacing w:before="200"/>
      </w:pPr>
      <w:r>
        <w:rPr>
          <w:b/>
        </w:rPr>
        <w:t>Przybylski, A. K., Weinstein, N., &amp; Murayama, K. (2017). Internet gaming disorder: Investigating the clinical relevance of a new phenomenon. American Journal of Psychiatry, 174(3), 230–236.</w:t>
      </w:r>
    </w:p>
    <w:p>
      <w:r>
        <w:rPr>
          <w:b/>
        </w:rPr>
        <w:t xml:space="preserve">Summary: </w:t>
      </w:r>
      <w:r>
        <w:t>A large-scale study found that proposed Internet Gaming Disorder criteria correlated strongly with game engagement but only weakly and inconsistently with real-world physical, social and mental health outcomes — games appeared meaningfully less addictive than gambling.</w:t>
      </w:r>
    </w:p>
    <w:p>
      <w:r>
        <w:rPr>
          <w:b/>
        </w:rPr>
        <w:t xml:space="preserve">Insight: </w:t>
      </w:r>
      <w:r>
        <w:t>Reduces the likelihood that the team's target users are clinically addicted; the more common issue is everyday mis-prioritisation in the moment, not disorder.</w:t>
      </w:r>
    </w:p>
    <w:p>
      <w:r>
        <w:rPr>
          <w:b/>
        </w:rPr>
        <w:t xml:space="preserve">Implication for the project: </w:t>
      </w:r>
      <w:r>
        <w:t>Legitimised scoping the product toward everyday time-prioritisation support rather than a clinical-intensity intervention, keeping the design proportionate to the actual problem observed in interviews.</w:t>
      </w:r>
    </w:p>
    <w:p>
      <w:pPr>
        <w:pStyle w:val="Heading1"/>
      </w:pPr>
      <w:r>
        <w:t>Stage 2 — Ideation: From Competitive Gamification to Ambient Social Awareness</w:t>
      </w:r>
    </w:p>
    <w:p>
      <w:pPr>
        <w:spacing w:before="200"/>
      </w:pPr>
      <w:r>
        <w:rPr>
          <w:b/>
        </w:rPr>
        <w:t>Deterding, S., Dixon, D., Khaled, R., &amp; Nacke, L. (2011). From game design elements to gamefulness: Defining “gamification”. Proceedings of the 15th International Academic MindTrek Conference, 9–15.</w:t>
      </w:r>
    </w:p>
    <w:p>
      <w:r>
        <w:rPr>
          <w:b/>
        </w:rPr>
        <w:t xml:space="preserve">Summary: </w:t>
      </w:r>
      <w:r>
        <w:t>Defines gamification as the use of game design elements in non-game contexts, and distinguishes it from related concepts such as serious games and playful design.</w:t>
      </w:r>
    </w:p>
    <w:p>
      <w:r>
        <w:rPr>
          <w:b/>
        </w:rPr>
        <w:t xml:space="preserve">Insight: </w:t>
      </w:r>
      <w:r>
        <w:t>Gave the team precise vocabulary to name and later critique the initial MOBA-ranking brainstorm and Solution 1's RPG framing as a textbook gamification approach — borrowing game elements (roles, battles, rankings) wholesale.</w:t>
      </w:r>
    </w:p>
    <w:p>
      <w:r>
        <w:rPr>
          <w:b/>
        </w:rPr>
        <w:t xml:space="preserve">Implication for the project: </w:t>
      </w:r>
      <w:r>
        <w:t>Enabled a structured review of Solution 1, revealing it leaned on surface game elements (points, battles) rather than the deeper motivational mechanisms identified in Stage 1.</w:t>
      </w:r>
    </w:p>
    <w:p>
      <w:pPr>
        <w:spacing w:before="200"/>
      </w:pPr>
      <w:r>
        <w:rPr>
          <w:b/>
        </w:rPr>
        <w:t>Sailer, M., Hense, J. U., Mayr, S. K., &amp; Mandl, H. (2017). How gamification motivates: An experimental study of the effects of specific game design elements on psychological need satisfaction. Computers in Human Behavior, 69, 371–380.</w:t>
      </w:r>
    </w:p>
    <w:p>
      <w:r>
        <w:rPr>
          <w:b/>
        </w:rPr>
        <w:t xml:space="preserve">Summary: </w:t>
      </w:r>
      <w:r>
        <w:t>Experimentally shows that different game elements satisfy different psychological needs unevenly — badges and performance graphs support competence, while leaderboard-style competitive elements can undermine autonomy for some users.</w:t>
      </w:r>
    </w:p>
    <w:p>
      <w:r>
        <w:rPr>
          <w:b/>
        </w:rPr>
        <w:t xml:space="preserve">Insight: </w:t>
      </w:r>
      <w:r>
        <w:t>Explains, mechanistically, why Solution 1's “defeat the dragon” win/lose framing risked undermining the autonomy that Stage 1 identified as essential — competitive elements are not universally motivating.</w:t>
      </w:r>
    </w:p>
    <w:p>
      <w:r>
        <w:rPr>
          <w:b/>
        </w:rPr>
        <w:t xml:space="preserve">Implication for the project: </w:t>
      </w:r>
      <w:r>
        <w:t>Directly justified pivoting away from competitive/win-lose mechanics toward design elements that support relatedness and awareness instead, shaping Solution 2.</w:t>
      </w:r>
    </w:p>
    <w:p>
      <w:pPr>
        <w:spacing w:before="200"/>
      </w:pPr>
      <w:r>
        <w:rPr>
          <w:b/>
        </w:rPr>
        <w:t>Dourish, P., &amp; Bellotti, V. (1992). Awareness and coordination in shared workspaces. Proceedings of CSCW '92, 107–114.</w:t>
      </w:r>
    </w:p>
    <w:p>
      <w:r>
        <w:rPr>
          <w:b/>
        </w:rPr>
        <w:t xml:space="preserve">Summary: </w:t>
      </w:r>
      <w:r>
        <w:t>Introduces “awareness” in CSCW: passively perceiving others' activity in a shared space supports loose coordination without requiring direct communication or comparison.</w:t>
      </w:r>
    </w:p>
    <w:p>
      <w:r>
        <w:rPr>
          <w:b/>
        </w:rPr>
        <w:t xml:space="preserve">Insight: </w:t>
      </w:r>
      <w:r>
        <w:t>Provided the theoretical grounding for Solution 2's “Shared Rhythm” panel — simply seeing others' timelines can build social awareness without demanding interaction, ranking, or comparison.</w:t>
      </w:r>
    </w:p>
    <w:p>
      <w:r>
        <w:rPr>
          <w:b/>
        </w:rPr>
        <w:t xml:space="preserve">Implication for the project: </w:t>
      </w:r>
      <w:r>
        <w:t>Directly shaped Solution 2's explicit “different rhythms, shared awareness — companionship, not competition” framing, and carried forward into the multi-tower display of Solution 3.</w:t>
      </w:r>
    </w:p>
    <w:p>
      <w:pPr>
        <w:spacing w:before="200"/>
      </w:pPr>
      <w:r>
        <w:rPr>
          <w:b/>
        </w:rPr>
        <w:t>Ishii, H., &amp; Ullmer, B. (1997). Tangible bits: Towards seamless interfaces between people, bits and atoms. Proceedings of CHI '97, 234–241.</w:t>
      </w:r>
    </w:p>
    <w:p>
      <w:r>
        <w:rPr>
          <w:b/>
        </w:rPr>
        <w:t xml:space="preserve">Summary: </w:t>
      </w:r>
      <w:r>
        <w:t>Proposes Tangible User Interfaces (TUIs): coupling digital information to graspable physical objects, and using ambient media (light, sound, movement) to represent information at the periphery of attention.</w:t>
      </w:r>
    </w:p>
    <w:p>
      <w:r>
        <w:rPr>
          <w:b/>
        </w:rPr>
        <w:t xml:space="preserve">Insight: </w:t>
      </w:r>
      <w:r>
        <w:t>Gave the team a design language for turning an abstract concept — a daily schedule — into something physically manipulable, rather than a screen-based planner or app.</w:t>
      </w:r>
    </w:p>
    <w:p>
      <w:r>
        <w:rPr>
          <w:b/>
        </w:rPr>
        <w:t xml:space="preserve">Implication for the project: </w:t>
      </w:r>
      <w:r>
        <w:t>Directly motivated the shift from a purely gamified device (Solution 1) to a block-based tangible artefact (Solution 2), and carried through into the physical, flip-to-start tokens of Solution 3.</w:t>
      </w:r>
    </w:p>
    <w:p>
      <w:pPr>
        <w:pStyle w:val="Heading1"/>
      </w:pPr>
      <w:r>
        <w:t>Stage 3 — Convergence: Justifying the Current Prototype</w:t>
      </w:r>
    </w:p>
    <w:p>
      <w:pPr>
        <w:spacing w:before="200"/>
      </w:pPr>
      <w:r>
        <w:rPr>
          <w:b/>
        </w:rPr>
        <w:t>Pousman, Z., &amp; Stasko, J. (2006). A taxonomy of ambient information systems: Four patterns of design. Proceedings of AVI 2006, 67–74.</w:t>
      </w:r>
    </w:p>
    <w:p>
      <w:r>
        <w:rPr>
          <w:b/>
        </w:rPr>
        <w:t xml:space="preserve">Summary: </w:t>
      </w:r>
      <w:r>
        <w:t>Provides a design vocabulary for ambient information systems — including abstract, symbolic representation of data intended to be glanced at rather than read in detail.</w:t>
      </w:r>
    </w:p>
    <w:p>
      <w:r>
        <w:rPr>
          <w:b/>
        </w:rPr>
        <w:t xml:space="preserve">Insight: </w:t>
      </w:r>
      <w:r>
        <w:t>The Time Sand Tower's colour- and shape-coded accumulation of sand is a textbook ambient display pattern, not a literal data dashboard — it communicates a day's shape at a glance rather than exact figures.</w:t>
      </w:r>
    </w:p>
    <w:p>
      <w:r>
        <w:rPr>
          <w:b/>
        </w:rPr>
        <w:t xml:space="preserve">Implication for the project: </w:t>
      </w:r>
      <w:r>
        <w:t>Validated designing the Sand Tower as an ambient, glanceable artefact instead of a numeric time-tracking screen, keeping it low-pressure and consistent with Stage 1's autonomy-preserving intent.</w:t>
      </w:r>
    </w:p>
    <w:p>
      <w:pPr>
        <w:spacing w:before="200"/>
      </w:pPr>
      <w:r>
        <w:rPr>
          <w:b/>
        </w:rPr>
        <w:t>Consolvo, S., McDonald, D. W., Toscos, T., Chen, M. Y., Froehlich, J., Harrison, B., Klasnja, P., LaMarca, A., LeGrand, L., Libby, R., Smith, I., &amp; Landay, J. A. (2008). Activity sensing in the wild: A field trial of UbiFit Garden. Proceedings of CHI 2008, 1797–1806.</w:t>
      </w:r>
    </w:p>
    <w:p>
      <w:r>
        <w:rPr>
          <w:b/>
        </w:rPr>
        <w:t xml:space="preserve">Summary: </w:t>
      </w:r>
      <w:r>
        <w:t>UbiFit Garden used an ambient, gently gamified mobile display — a garden that blooms with physical activity — to motivate behaviour change without explicit numeric tracking, scores, or shaming.</w:t>
      </w:r>
    </w:p>
    <w:p>
      <w:r>
        <w:rPr>
          <w:b/>
        </w:rPr>
        <w:t xml:space="preserve">Insight: </w:t>
      </w:r>
      <w:r>
        <w:t>Demonstrates that ambient, aesthetic feedback sustains motivation respectfully, in contrast to Solution 1's explicit win/lose battle mechanic.</w:t>
      </w:r>
    </w:p>
    <w:p>
      <w:r>
        <w:rPr>
          <w:b/>
        </w:rPr>
        <w:t xml:space="preserve">Implication for the project: </w:t>
      </w:r>
      <w:r>
        <w:t>Directly informed making the Sand Tower an aesthetic, hourglass-like artefact rather than a leaderboard or streak counter, consistent with the Stage 2 pivot away from competitive framing.</w:t>
      </w:r>
    </w:p>
    <w:p>
      <w:pPr>
        <w:spacing w:before="200"/>
      </w:pPr>
      <w:r>
        <w:rPr>
          <w:b/>
        </w:rPr>
        <w:t>Gollwitzer, P. M. (1999). Implementation intentions: Strong effects of simple plans. American Psychologist, 54(7), 493–503.</w:t>
      </w:r>
    </w:p>
    <w:p>
      <w:r>
        <w:rPr>
          <w:b/>
        </w:rPr>
        <w:t xml:space="preserve">Summary: </w:t>
      </w:r>
      <w:r>
        <w:t>Shows that pre-committing to concrete “if situation X, then response Y” plans (implementation intentions) substantially improves follow-through compared to vague goals or willpower alone.</w:t>
      </w:r>
    </w:p>
    <w:p>
      <w:r>
        <w:rPr>
          <w:b/>
        </w:rPr>
        <w:t xml:space="preserve">Insight: </w:t>
      </w:r>
      <w:r>
        <w:t>Explains why the Time Token's flip-to-start action works as a behaviour-change mechanism: it is a concrete, situational commitment (“flip = I am now doing X”), not an abstract resolution to “play less.”</w:t>
      </w:r>
    </w:p>
    <w:p>
      <w:r>
        <w:rPr>
          <w:b/>
        </w:rPr>
        <w:t xml:space="preserve">Implication for the project: </w:t>
      </w:r>
      <w:r>
        <w:t>Grounded the token's simple physical flip-to-commit interaction as the core mechanism for the moment-of-choice prioritisation identified as the design opportunity in Stage 1.</w:t>
      </w:r>
    </w:p>
    <w:p>
      <w:pPr>
        <w:spacing w:before="200"/>
      </w:pPr>
      <w:r>
        <w:rPr>
          <w:b/>
        </w:rPr>
        <w:t>Lin, J. J., Mamykina, L., Lindtner, S., Delajoux, G., &amp; Strub, H. B. (2006). Fish'n'Steps: Encouraging physical activity with an interactive computer game. Proceedings of UbiComp 2006, 261–278.</w:t>
      </w:r>
    </w:p>
    <w:p>
      <w:r>
        <w:rPr>
          <w:b/>
        </w:rPr>
        <w:t xml:space="preserve">Summary: </w:t>
      </w:r>
      <w:r>
        <w:t>Linking step count to a growing virtual fish, shared among players, sustained engagement over a 14-week trial and created cooperative (and mildly competitive) social motivation, though enthusiasm faded once new routines were established.</w:t>
      </w:r>
    </w:p>
    <w:p>
      <w:r>
        <w:rPr>
          <w:b/>
        </w:rPr>
        <w:t xml:space="preserve">Insight: </w:t>
      </w:r>
      <w:r>
        <w:t>Confirms a shared, ambient visual representation (their fish; the team's sand tower) can sustain behaviour change, but also warns that purely comparative shared displays carry a competitive risk if not carefully framed, and that novelty fade is a realistic long-term limitation.</w:t>
      </w:r>
    </w:p>
    <w:p>
      <w:r>
        <w:rPr>
          <w:b/>
        </w:rPr>
        <w:t xml:space="preserve">Implication for the project: </w:t>
      </w:r>
      <w:r>
        <w:t>Reinforced keeping the Sand Tower's multi-tower, end-of-day comparison framed as companionship (per Dourish &amp; Bellotti, Stage 2) rather than ranking, and flagged novelty fade as a limitation to watch for in user evaluation.</w:t>
      </w:r>
    </w:p>
    <w:p>
      <w:pPr>
        <w:pStyle w:val="Heading1"/>
      </w:pPr>
      <w:r>
        <w:t>Summary</w:t>
      </w:r>
    </w:p>
    <w:p>
      <w:r>
        <w:rPr>
          <w:b w:val="0"/>
          <w:i w:val="0"/>
        </w:rPr>
        <w:t>Across all three stages, the literature consistently points in one direction: gaming behaviour should not be judged or restricted by time alone (Stage 1), motivation is best sustained through autonomy-preserving and ambient — not competitive — design elements (Stage 2), and concrete, situational commitment devices combined with ambient, aesthetic feedback are what make behaviour-change prototypes both effective and buildable (Stage 3). This is the throughline connecting the initial interviews to the current Time Token + Time Sand Tower prototype.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