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BA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-283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黄冈市高三年级9月语文试题</w:t>
      </w:r>
    </w:p>
    <w:p w14:paraId="5B452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-283"/>
        <w:jc w:val="center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参考答案</w:t>
      </w:r>
    </w:p>
    <w:p w14:paraId="3848EDEF">
      <w:pP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1.B</w:t>
      </w:r>
    </w:p>
    <w:p w14:paraId="14652EB4">
      <w:pP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【解析】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A项强加因果，且文中说“很多东西，单从文献是看不出来的”未否定通过古籍文献获取历史信息。</w:t>
      </w:r>
    </w:p>
    <w:p w14:paraId="535B3E13">
      <w:pPr>
        <w:rPr>
          <w:rFonts w:hint="default" w:ascii="宋体" w:hAnsi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C项错误，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王时伟解释“阴阳相济”时，仅提及“前朝区”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是重要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仪式的场所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“内廷区”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皇室的生活区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仅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在功能属性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划分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未将“阴阳”符号具体对应到“皇帝”与“后妃”的性别上</w:t>
      </w:r>
      <w:r>
        <w:rPr>
          <w:rFonts w:hint="default" w:ascii="宋体" w:hAnsi="宋体" w:cs="宋体"/>
          <w:color w:val="000000"/>
          <w:sz w:val="24"/>
          <w:szCs w:val="24"/>
        </w:rPr>
        <w:t>。</w:t>
      </w:r>
    </w:p>
    <w:p w14:paraId="272A4402">
      <w:pPr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D项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错误，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王时伟明确指出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“故宫是中国历史文化的一个缩影，故宫也是中国古代建筑理念的核心表达。”他强调的是故宫作为文化理念载体的核心价值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并未具体到“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规模宏大”“装饰奢华”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选项将“规模宏大”“装饰奢华”等表象特征作为核心价值，彻底掩盖了故宫作为中华文化精神符号的本质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属于以偏概全，并且文本并没有出现这两种信息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17DD8720">
      <w:pP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D</w:t>
      </w:r>
    </w:p>
    <w:p w14:paraId="34F7CB71">
      <w:pPr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【解析】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D项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归属特性错误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，“包容性”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体现在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吸收融合外来元素，最具代表性的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圆明园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选项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将“和平性”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所体现的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对外交流影响的例子错误地归为“包容性”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7263A36B">
      <w:pP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C</w:t>
      </w:r>
    </w:p>
    <w:p w14:paraId="48396ED9">
      <w:pPr>
        <w:rPr>
          <w:rFonts w:hint="default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【解析】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A项错误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文本中记者并未对“修复原则”进行反复追问或质询。该问题只出现一次，专家进行了相对完整的回答</w:t>
      </w:r>
      <w:r>
        <w:rPr>
          <w:rFonts w:hint="default" w:ascii="宋体" w:hAnsi="宋体" w:cs="宋体"/>
          <w:color w:val="000000"/>
          <w:sz w:val="24"/>
          <w:szCs w:val="24"/>
        </w:rPr>
        <w:t>，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也没有“促使专家详尽阐述传统与科学的矛盾”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。B项错误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采访整体风格理性、学术性强。文化意义、五大特性体现、故宫理念、修复原则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等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问题均侧重学理探讨和事实阐述，未涉及古建筑损毁的紧迫性描述或情感煽动。D项错误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“对比设问”只在第一个问题和最后一个问题中有所体现。中间两个核心问题并未采用对比手法</w:t>
      </w:r>
      <w:r>
        <w:rPr>
          <w:rFonts w:hint="default" w:ascii="宋体" w:hAnsi="宋体" w:cs="宋体"/>
          <w:color w:val="000000"/>
          <w:sz w:val="24"/>
          <w:szCs w:val="24"/>
        </w:rPr>
        <w:t>，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说法绝对</w:t>
      </w:r>
      <w:r>
        <w:rPr>
          <w:rFonts w:hint="default" w:ascii="宋体" w:hAnsi="宋体" w:cs="宋体"/>
          <w:color w:val="000000"/>
          <w:sz w:val="24"/>
          <w:szCs w:val="24"/>
        </w:rPr>
        <w:t>，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且关于提问目的的表述有误</w:t>
      </w:r>
      <w:r>
        <w:rPr>
          <w:rFonts w:hint="default" w:ascii="宋体" w:hAnsi="宋体" w:cs="宋体"/>
          <w:color w:val="000000"/>
          <w:sz w:val="24"/>
          <w:szCs w:val="24"/>
        </w:rPr>
        <w:t>。</w:t>
      </w:r>
    </w:p>
    <w:p w14:paraId="0A6CB68C">
      <w:pPr>
        <w:rPr>
          <w:rFonts w:hint="default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①必须坚持“不改变文物原状”原则，以传统工艺和材料为核心基础，确保修复的真实性与历史信息延续。</w:t>
      </w:r>
    </w:p>
    <w:p w14:paraId="3A82ABFB">
      <w:pP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②运用科学手段分析、评估传统工艺与材料的特性、效果及潜在缺陷，为理解传统和审慎改良提供依据。</w:t>
      </w:r>
    </w:p>
    <w:p w14:paraId="60B967B3">
      <w:pPr>
        <w:ind w:firstLine="482" w:firstLineChars="200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评分说明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：答出“坚持传统工艺、材料”或“不改变文物原状”即得</w:t>
      </w:r>
      <w:r>
        <w:rPr>
          <w:rFonts w:hint="default" w:ascii="宋体" w:hAnsi="宋体" w:cs="宋体"/>
          <w:color w:val="000000"/>
          <w:sz w:val="24"/>
          <w:szCs w:val="24"/>
          <w:lang w:eastAsia="zh-CN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分。答出“科技分析缺陷”或“科学指导改良”即得</w:t>
      </w:r>
      <w:r>
        <w:rPr>
          <w:rFonts w:hint="default" w:ascii="宋体" w:hAnsi="宋体" w:cs="宋体"/>
          <w:color w:val="000000"/>
          <w:sz w:val="24"/>
          <w:szCs w:val="24"/>
          <w:lang w:eastAsia="zh-CN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分。</w:t>
      </w:r>
    </w:p>
    <w:p w14:paraId="165AADDF">
      <w:pPr>
        <w:rPr>
          <w:rFonts w:hint="default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①礼制规范：讲堂居中，东西厢的藏书、祭祀功能分明，体现儒家空间秩序；左藏书右祭祀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彰显“尊师重道”的观念。</w:t>
      </w:r>
    </w:p>
    <w:p w14:paraId="50916D1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②天人合一：碑亭依山而建，借自然山景；引活水成潭，实现建筑与自然融合。</w:t>
      </w:r>
    </w:p>
    <w:p w14:paraId="690E79B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③阴阳相济：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前院习武场体现的动为阳，后院读书区体现的的静为阴，功能互补；刚健的武场与儒雅的书斋空间共生。</w:t>
      </w:r>
    </w:p>
    <w:p w14:paraId="5903C087">
      <w:pPr>
        <w:numPr>
          <w:ilvl w:val="0"/>
          <w:numId w:val="0"/>
        </w:numPr>
        <w:ind w:leftChars="0" w:firstLine="482" w:firstLineChars="200"/>
        <w:rPr>
          <w:rFonts w:hint="default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评分说明：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答出一点给2分；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概括</w:t>
      </w:r>
      <w:r>
        <w:rPr>
          <w:rFonts w:hint="default" w:ascii="宋体" w:hAnsi="宋体" w:cs="宋体"/>
          <w:color w:val="000000"/>
          <w:sz w:val="24"/>
          <w:szCs w:val="24"/>
        </w:rPr>
        <w:t>1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分</w:t>
      </w:r>
      <w:r>
        <w:rPr>
          <w:rFonts w:hint="default" w:ascii="宋体" w:hAnsi="宋体" w:cs="宋体"/>
          <w:color w:val="000000"/>
          <w:sz w:val="24"/>
          <w:szCs w:val="24"/>
        </w:rPr>
        <w:t>，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分析</w:t>
      </w:r>
      <w:r>
        <w:rPr>
          <w:rFonts w:hint="default" w:ascii="宋体" w:hAnsi="宋体" w:cs="宋体"/>
          <w:color w:val="000000"/>
          <w:sz w:val="24"/>
          <w:szCs w:val="24"/>
        </w:rPr>
        <w:t>（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可简化表述</w:t>
      </w:r>
      <w:r>
        <w:rPr>
          <w:rFonts w:hint="default" w:ascii="宋体" w:hAnsi="宋体" w:cs="宋体"/>
          <w:color w:val="000000"/>
          <w:sz w:val="24"/>
          <w:szCs w:val="24"/>
        </w:rPr>
        <w:t>）1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分</w:t>
      </w:r>
      <w:r>
        <w:rPr>
          <w:rFonts w:hint="default" w:ascii="宋体" w:hAnsi="宋体" w:cs="宋体"/>
          <w:color w:val="000000"/>
          <w:sz w:val="24"/>
          <w:szCs w:val="24"/>
        </w:rPr>
        <w:t>。</w:t>
      </w:r>
    </w:p>
    <w:p w14:paraId="2BED6141">
      <w:pP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6.C</w:t>
      </w:r>
    </w:p>
    <w:p w14:paraId="09435AA3">
      <w:pPr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【解析】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C项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对赵三言语情感的理解有偏差。赵三说“我是个老亡国奴”表达了亡国之痛和屈辱感，“老了”、“不中用”体现了对自身衰老无力直接抗敌的悲愤与遗憾，“你们还年青，你们去救国吧”是对年轻一代的深切期望和托付，“生是中国人，死是中国鬼”则是最强烈的民族气节和身份认同的宣言。整个宣誓的核心是悲愤、不甘、托付，并非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是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“对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日本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侵略者的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无奈与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恐惧”。</w:t>
      </w:r>
    </w:p>
    <w:p w14:paraId="79359678">
      <w:pPr>
        <w:rPr>
          <w:rFonts w:hint="default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C</w:t>
      </w:r>
    </w:p>
    <w:p w14:paraId="1B61DEF8">
      <w:pPr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【解析】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选项聚焦于瑞宣的言行、心理、特质。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C项，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瑞宣选择留下并非因为“软弱”，而是在无法两全的极端困境中，基于对家庭现实责任的深刻认知和担当。他内心充满痛苦挣扎，以“尽孝”的方式坚守责任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且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支持弟弟出走，这体现的是特定时代下知识分子的艰难抉择和另一种形式的担当，而非“软弱”。</w:t>
      </w:r>
    </w:p>
    <w:p w14:paraId="53BF7EA8">
      <w:pPr>
        <w:numPr>
          <w:ilvl w:val="0"/>
          <w:numId w:val="0"/>
        </w:numPr>
        <w:rPr>
          <w:rFonts w:hint="default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8.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①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运用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通感：将听觉的“哭声”转化为触觉的“刺心”和视觉的“方锥”（1分），以身体痛感具象化悲愤，强化感染力（1分）。</w:t>
      </w:r>
    </w:p>
    <w:p w14:paraId="4A82AF38">
      <w:pPr>
        <w:numPr>
          <w:ilvl w:val="0"/>
          <w:numId w:val="0"/>
        </w:numP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②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运用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夸张：“蓝天欲坠”以夸张手法写天空仿佛要坠落（1分），用天象异变放大悲痛，凸显集体哀恸的惊天动地之势。（1分）。</w:t>
      </w:r>
    </w:p>
    <w:p w14:paraId="139A54B5">
      <w:pPr>
        <w:numPr>
          <w:ilvl w:val="0"/>
          <w:numId w:val="0"/>
        </w:numPr>
        <w:ind w:firstLine="482" w:firstLineChars="200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评分说明：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指明两处修辞及构成各1分，结合语境分析效果各1分。</w:t>
      </w:r>
    </w:p>
    <w:p w14:paraId="0824EEE6">
      <w:pPr>
        <w:spacing w:line="240" w:lineRule="auto"/>
        <w:jc w:val="both"/>
        <w:textAlignment w:val="center"/>
        <w:rPr>
          <w:rFonts w:hint="default" w:ascii="宋体" w:hAnsi="宋体" w:eastAsia="宋体" w:cs="宋体"/>
          <w:color w:val="000000"/>
          <w:sz w:val="24"/>
          <w:szCs w:val="24"/>
          <w:lang w:val="en-US"/>
        </w:rPr>
      </w:pPr>
      <w:r>
        <w:rPr>
          <w:rFonts w:hint="default" w:ascii="宋体" w:hAnsi="宋体" w:eastAsia="宋体" w:cs="宋体"/>
          <w:b/>
          <w:bCs/>
          <w:color w:val="000000"/>
          <w:sz w:val="24"/>
          <w:szCs w:val="24"/>
          <w:lang w:eastAsia="zh-CN"/>
        </w:rPr>
        <w:t>9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①</w:t>
      </w:r>
      <w:r>
        <w:rPr>
          <w:rFonts w:hint="default" w:ascii="宋体" w:hAnsi="宋体" w:eastAsia="宋体" w:cs="宋体"/>
          <w:color w:val="000000"/>
          <w:sz w:val="24"/>
          <w:szCs w:val="24"/>
          <w:lang w:val="en-US"/>
        </w:rPr>
        <w:t>瑞宣：反复“出去进来”的焦灼无措，对坦克声“心仿佛全聋了”的麻木，“尽孝留守”的自我说服，陷入鲁迅所言的“沉默”；赵三：发出“生是中国人，死是中国鬼”的呐喊，带领大伙儿跪地盟誓，对枪明志，体现了“沉默中的爆发”。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②</w:t>
      </w:r>
      <w:r>
        <w:rPr>
          <w:rFonts w:hint="default" w:ascii="宋体" w:hAnsi="宋体" w:eastAsia="宋体" w:cs="宋体"/>
          <w:color w:val="000000"/>
          <w:sz w:val="24"/>
          <w:szCs w:val="24"/>
          <w:lang w:val="en-US"/>
        </w:rPr>
        <w:t>瑞宣是间接抗日；赵三是坚定抗日。两种心理既有差异性，又有互补性，共同展现了抗战时民族心理的复杂性。</w:t>
      </w:r>
    </w:p>
    <w:p w14:paraId="31B06376">
      <w:pPr>
        <w:spacing w:line="240" w:lineRule="auto"/>
        <w:ind w:firstLine="482" w:firstLineChars="200"/>
        <w:jc w:val="both"/>
        <w:textAlignment w:val="center"/>
        <w:rPr>
          <w:rFonts w:hint="default" w:ascii="宋体" w:hAnsi="宋体" w:eastAsia="宋体" w:cs="宋体"/>
          <w:color w:val="00000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/>
        </w:rPr>
        <w:t>评分说明</w:t>
      </w:r>
      <w:r>
        <w:rPr>
          <w:rFonts w:hint="default" w:ascii="宋体" w:hAnsi="宋体" w:eastAsia="宋体" w:cs="宋体"/>
          <w:b/>
          <w:bCs/>
          <w:color w:val="000000"/>
          <w:sz w:val="24"/>
          <w:szCs w:val="24"/>
        </w:rPr>
        <w:t>：</w:t>
      </w:r>
      <w:r>
        <w:rPr>
          <w:rFonts w:hint="default" w:ascii="宋体" w:hAnsi="宋体" w:eastAsia="宋体" w:cs="宋体"/>
          <w:color w:val="000000"/>
          <w:sz w:val="24"/>
          <w:szCs w:val="24"/>
          <w:lang w:val="en-US"/>
        </w:rPr>
        <w:t>各自表现占2分，意义2分。言之成理，意思接近即可。</w:t>
      </w:r>
    </w:p>
    <w:p w14:paraId="0A2572D6">
      <w:pPr>
        <w:spacing w:line="240" w:lineRule="auto"/>
        <w:jc w:val="both"/>
        <w:textAlignment w:val="center"/>
        <w:rPr>
          <w:rFonts w:hint="default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10.BD</w:t>
      </w:r>
      <w:r>
        <w:rPr>
          <w:rFonts w:hint="eastAsia" w:ascii="宋体" w:hAnsi="宋体" w:cs="宋体"/>
          <w:b/>
          <w:bCs/>
          <w:color w:val="000000"/>
          <w:sz w:val="24"/>
          <w:szCs w:val="24"/>
          <w:lang w:val="en-US" w:eastAsia="zh-CN"/>
        </w:rPr>
        <w:t>F</w:t>
      </w:r>
    </w:p>
    <w:p w14:paraId="7CBF5CA0">
      <w:pPr>
        <w:spacing w:line="240" w:lineRule="auto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【解析】上相印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尽散其所有，独怀重宝行次乎陶，天下称陶朱公。</w:t>
      </w:r>
    </w:p>
    <w:p w14:paraId="32296FEA">
      <w:pPr>
        <w:spacing w:line="240" w:lineRule="auto"/>
        <w:ind w:firstLine="480" w:firstLineChars="200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“上”在此处是“呈上、上交、交出”的意思，此句省略了主语“范蠡”；“所有”是“所+动词”结构不能分开；“独怀重宝”后可断可不断，考虑其他地方已有三处必须断开 ，此处可不断。“独怀重宝”表伴随状态；画线句中的“天下”要翻译为“天下人”，是不同的主语，其前需要断开。</w:t>
      </w:r>
    </w:p>
    <w:p w14:paraId="47CE3A23">
      <w:pPr>
        <w:spacing w:line="24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11.C</w:t>
      </w:r>
    </w:p>
    <w:p w14:paraId="4E85594B">
      <w:pPr>
        <w:spacing w:line="240" w:lineRule="auto"/>
        <w:jc w:val="left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【解析】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C项，“蠡之智其有决于此乎”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中的“其”，表推测，可译为“恐怕是……吧”“可能是……吧”；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“其声呜呜然”中的“其”为代词，指洞箫。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。两个“其”意义和用法都不一样。</w:t>
      </w:r>
    </w:p>
    <w:p w14:paraId="3FED379E">
      <w:pPr>
        <w:spacing w:line="24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12.A</w:t>
      </w:r>
    </w:p>
    <w:p w14:paraId="399C570A">
      <w:pPr>
        <w:spacing w:line="240" w:lineRule="auto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【解析】范蠡认为越王长着长脖子，不可共富贵；计然认为越王长着鸟一样的尖嘴，不可共富贵。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A项张冠李戴。</w:t>
      </w:r>
    </w:p>
    <w:p w14:paraId="0883D808">
      <w:pPr>
        <w:numPr>
          <w:ilvl w:val="0"/>
          <w:numId w:val="0"/>
        </w:numPr>
        <w:spacing w:line="240" w:lineRule="auto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default" w:ascii="宋体" w:hAnsi="宋体" w:cs="宋体"/>
          <w:b/>
          <w:bCs/>
          <w:color w:val="000000"/>
          <w:sz w:val="24"/>
          <w:szCs w:val="24"/>
          <w:lang w:eastAsia="zh-CN"/>
        </w:rPr>
        <w:t>13</w:t>
      </w:r>
      <w:r>
        <w:rPr>
          <w:rFonts w:hint="eastAsia" w:ascii="宋体" w:hAnsi="宋体" w:cs="宋体"/>
          <w:b/>
          <w:bCs/>
          <w:color w:val="000000"/>
          <w:sz w:val="24"/>
          <w:szCs w:val="24"/>
          <w:lang w:val="en-US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）范蠡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辅佐越王勾践，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深入地谋划隐秘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地献策的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情形持续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了十二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年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直到吴国灭亡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大大地洗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刷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越国的耻辱</w:t>
      </w:r>
      <w:r>
        <w:rPr>
          <w:rFonts w:hint="default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43493366">
      <w:pPr>
        <w:numPr>
          <w:ilvl w:val="0"/>
          <w:numId w:val="1"/>
        </w:numPr>
        <w:spacing w:line="240" w:lineRule="auto"/>
        <w:jc w:val="both"/>
        <w:textAlignment w:val="center"/>
        <w:rPr>
          <w:rFonts w:hint="eastAsia" w:ascii="宋体" w:hAnsi="宋体" w:cs="宋体"/>
          <w:color w:val="00000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如果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你听我的话，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我和你分割土地</w:t>
      </w:r>
      <w:r>
        <w:rPr>
          <w:rFonts w:hint="default" w:ascii="宋体" w:hAnsi="宋体" w:cs="宋体"/>
          <w:color w:val="000000"/>
          <w:sz w:val="24"/>
          <w:szCs w:val="24"/>
        </w:rPr>
        <w:t>；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如果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不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听我的话，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你将会自身被处死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妻子儿女也会被杀掉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。</w:t>
      </w:r>
    </w:p>
    <w:p w14:paraId="2D8F137B">
      <w:pPr>
        <w:spacing w:line="240" w:lineRule="auto"/>
        <w:ind w:firstLine="480" w:firstLineChars="200"/>
        <w:jc w:val="both"/>
        <w:textAlignment w:val="center"/>
        <w:rPr>
          <w:rFonts w:hint="default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【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解析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】（1）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相</w:t>
      </w:r>
      <w:r>
        <w:rPr>
          <w:rFonts w:hint="default" w:ascii="宋体" w:hAnsi="宋体" w:cs="宋体"/>
          <w:color w:val="000000"/>
          <w:sz w:val="24"/>
          <w:szCs w:val="24"/>
        </w:rPr>
        <w:t>，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辅佐</w:t>
      </w:r>
      <w:r>
        <w:rPr>
          <w:rFonts w:hint="default" w:ascii="宋体" w:hAnsi="宋体" w:cs="宋体"/>
          <w:color w:val="000000"/>
          <w:sz w:val="24"/>
          <w:szCs w:val="24"/>
        </w:rPr>
        <w:t>；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谋</w:t>
      </w:r>
      <w:r>
        <w:rPr>
          <w:rFonts w:hint="default" w:ascii="宋体" w:hAnsi="宋体" w:cs="宋体"/>
          <w:color w:val="000000"/>
          <w:sz w:val="24"/>
          <w:szCs w:val="24"/>
        </w:rPr>
        <w:t>：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谋划</w:t>
      </w:r>
      <w:r>
        <w:rPr>
          <w:rFonts w:hint="default" w:ascii="宋体" w:hAnsi="宋体" w:cs="宋体"/>
          <w:color w:val="000000"/>
          <w:sz w:val="24"/>
          <w:szCs w:val="24"/>
        </w:rPr>
        <w:t>；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策</w:t>
      </w:r>
      <w:r>
        <w:rPr>
          <w:rFonts w:hint="default" w:ascii="宋体" w:hAnsi="宋体" w:cs="宋体"/>
          <w:color w:val="000000"/>
          <w:sz w:val="24"/>
          <w:szCs w:val="24"/>
        </w:rPr>
        <w:t>：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献策</w:t>
      </w:r>
      <w:r>
        <w:rPr>
          <w:rFonts w:hint="default" w:ascii="宋体" w:hAnsi="宋体" w:cs="宋体"/>
          <w:color w:val="000000"/>
          <w:sz w:val="24"/>
          <w:szCs w:val="24"/>
        </w:rPr>
        <w:t>；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迄</w:t>
      </w:r>
      <w:r>
        <w:rPr>
          <w:rFonts w:hint="default" w:ascii="宋体" w:hAnsi="宋体" w:cs="宋体"/>
          <w:color w:val="000000"/>
          <w:sz w:val="24"/>
          <w:szCs w:val="24"/>
        </w:rPr>
        <w:t>：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直到</w:t>
      </w:r>
      <w:r>
        <w:rPr>
          <w:rFonts w:hint="default" w:ascii="宋体" w:hAnsi="宋体" w:cs="宋体"/>
          <w:color w:val="000000"/>
          <w:sz w:val="24"/>
          <w:szCs w:val="24"/>
        </w:rPr>
        <w:t>，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每字</w:t>
      </w:r>
      <w:r>
        <w:rPr>
          <w:rFonts w:hint="default" w:ascii="宋体" w:hAnsi="宋体" w:cs="宋体"/>
          <w:color w:val="000000"/>
          <w:sz w:val="24"/>
          <w:szCs w:val="24"/>
        </w:rPr>
        <w:t>1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分</w:t>
      </w:r>
      <w:r>
        <w:rPr>
          <w:rFonts w:hint="default" w:ascii="宋体" w:hAnsi="宋体" w:cs="宋体"/>
          <w:color w:val="000000"/>
          <w:sz w:val="24"/>
          <w:szCs w:val="24"/>
        </w:rPr>
        <w:t>。</w:t>
      </w:r>
    </w:p>
    <w:p w14:paraId="0B320FD9">
      <w:pPr>
        <w:spacing w:line="240" w:lineRule="auto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2）假设语气1分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；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妻子</w:t>
      </w:r>
      <w:r>
        <w:rPr>
          <w:rFonts w:hint="default" w:ascii="宋体" w:hAnsi="宋体" w:cs="宋体"/>
          <w:color w:val="000000"/>
          <w:sz w:val="24"/>
          <w:szCs w:val="24"/>
        </w:rPr>
        <w:t>：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妻子儿女</w:t>
      </w:r>
      <w:r>
        <w:rPr>
          <w:rFonts w:hint="default" w:ascii="宋体" w:hAnsi="宋体" w:cs="宋体"/>
          <w:color w:val="000000"/>
          <w:sz w:val="24"/>
          <w:szCs w:val="24"/>
        </w:rPr>
        <w:t>1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分</w:t>
      </w:r>
      <w:r>
        <w:rPr>
          <w:rFonts w:hint="default" w:ascii="宋体" w:hAnsi="宋体" w:cs="宋体"/>
          <w:color w:val="000000"/>
          <w:sz w:val="24"/>
          <w:szCs w:val="24"/>
        </w:rPr>
        <w:t>；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为</w:t>
      </w:r>
      <w:r>
        <w:rPr>
          <w:rFonts w:hint="default" w:ascii="宋体" w:hAnsi="宋体" w:cs="宋体"/>
          <w:color w:val="000000"/>
          <w:sz w:val="24"/>
          <w:szCs w:val="24"/>
        </w:rPr>
        <w:t>：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表被动</w:t>
      </w:r>
      <w:r>
        <w:rPr>
          <w:rFonts w:hint="default" w:ascii="宋体" w:hAnsi="宋体" w:cs="宋体"/>
          <w:color w:val="000000"/>
          <w:sz w:val="24"/>
          <w:szCs w:val="24"/>
        </w:rPr>
        <w:t>1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分</w:t>
      </w:r>
      <w:r>
        <w:rPr>
          <w:rFonts w:hint="default" w:ascii="宋体" w:hAnsi="宋体" w:cs="宋体"/>
          <w:color w:val="000000"/>
          <w:sz w:val="24"/>
          <w:szCs w:val="24"/>
        </w:rPr>
        <w:t>；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句意</w:t>
      </w:r>
      <w:r>
        <w:rPr>
          <w:rFonts w:hint="default" w:ascii="宋体" w:hAnsi="宋体" w:cs="宋体"/>
          <w:color w:val="000000"/>
          <w:sz w:val="24"/>
          <w:szCs w:val="24"/>
        </w:rPr>
        <w:t>1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分</w:t>
      </w:r>
      <w:r>
        <w:rPr>
          <w:rFonts w:hint="default" w:ascii="宋体" w:hAnsi="宋体" w:cs="宋体"/>
          <w:color w:val="000000"/>
          <w:sz w:val="24"/>
          <w:szCs w:val="24"/>
        </w:rPr>
        <w:t>。（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若有考生将“分国”译为“分掌国政</w:t>
      </w:r>
      <w:r>
        <w:rPr>
          <w:rFonts w:hint="default" w:ascii="宋体" w:hAnsi="宋体" w:cs="宋体"/>
          <w:color w:val="000000"/>
          <w:sz w:val="24"/>
          <w:szCs w:val="24"/>
        </w:rPr>
        <w:t>、</w:t>
      </w:r>
      <w:r>
        <w:rPr>
          <w:rFonts w:hint="eastAsia" w:ascii="宋体" w:hAnsi="宋体" w:cs="宋体"/>
          <w:color w:val="000000"/>
          <w:sz w:val="24"/>
          <w:szCs w:val="24"/>
          <w:lang w:val="en-US"/>
        </w:rPr>
        <w:t>国权”亦可</w:t>
      </w:r>
      <w:r>
        <w:rPr>
          <w:rFonts w:hint="default" w:ascii="宋体" w:hAnsi="宋体" w:cs="宋体"/>
          <w:color w:val="000000"/>
          <w:sz w:val="24"/>
          <w:szCs w:val="24"/>
        </w:rPr>
        <w:t>）</w:t>
      </w:r>
    </w:p>
    <w:p w14:paraId="088862E8">
      <w:pPr>
        <w:numPr>
          <w:ilvl w:val="0"/>
          <w:numId w:val="0"/>
        </w:numPr>
        <w:spacing w:line="240" w:lineRule="auto"/>
        <w:ind w:leftChars="0"/>
        <w:jc w:val="both"/>
        <w:textAlignment w:val="center"/>
        <w:rPr>
          <w:rFonts w:hint="default" w:ascii="宋体" w:hAnsi="宋体" w:cs="宋体"/>
          <w:color w:val="000000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bCs/>
          <w:color w:val="000000"/>
          <w:sz w:val="24"/>
          <w:szCs w:val="24"/>
          <w:lang w:eastAsia="zh-CN"/>
        </w:rPr>
        <w:t>14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范蠡</w:t>
      </w:r>
      <w:r>
        <w:rPr>
          <w:rFonts w:hint="default" w:ascii="宋体" w:hAnsi="宋体" w:eastAsia="宋体" w:cs="宋体"/>
          <w:color w:val="00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（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）他自己认为勾践长着长脖子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不可同乐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；（2）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计然之劝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计然也认为勾践长着鸟喙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不能和他共享好处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；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他也想借补会稽之罚而脱身。</w:t>
      </w:r>
    </w:p>
    <w:p w14:paraId="5F78C362">
      <w:pPr>
        <w:numPr>
          <w:ilvl w:val="0"/>
          <w:numId w:val="0"/>
        </w:numPr>
        <w:spacing w:line="240" w:lineRule="auto"/>
        <w:ind w:leftChars="0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陈恭公：（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）侄子之劝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侄子借图委婉规劝。（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）自己深知降职不被重用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失去了朝廷与君王的信任。</w:t>
      </w:r>
    </w:p>
    <w:p w14:paraId="3CF40FCE">
      <w:pPr>
        <w:numPr>
          <w:ilvl w:val="0"/>
          <w:numId w:val="0"/>
        </w:numPr>
        <w:spacing w:line="240" w:lineRule="auto"/>
        <w:ind w:firstLine="482" w:firstLineChars="200"/>
        <w:jc w:val="both"/>
        <w:textAlignment w:val="center"/>
        <w:rPr>
          <w:rFonts w:hint="default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/>
        </w:rPr>
        <w:t>评分说明</w:t>
      </w:r>
      <w:r>
        <w:rPr>
          <w:rFonts w:hint="default" w:ascii="宋体" w:hAnsi="宋体" w:eastAsia="宋体" w:cs="宋体"/>
          <w:b/>
          <w:bCs/>
          <w:color w:val="000000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答对一点给</w:t>
      </w:r>
      <w:r>
        <w:rPr>
          <w:rFonts w:hint="default" w:ascii="宋体" w:hAnsi="宋体" w:eastAsia="宋体" w:cs="宋体"/>
          <w:color w:val="000000"/>
          <w:sz w:val="24"/>
          <w:szCs w:val="24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/>
        </w:rPr>
        <w:t>分</w:t>
      </w:r>
      <w:r>
        <w:rPr>
          <w:rFonts w:hint="default" w:ascii="宋体" w:hAnsi="宋体" w:cs="宋体"/>
          <w:color w:val="000000"/>
          <w:sz w:val="24"/>
          <w:szCs w:val="24"/>
        </w:rPr>
        <w:t>。</w:t>
      </w:r>
    </w:p>
    <w:p w14:paraId="528AF3A2">
      <w:pPr>
        <w:spacing w:line="240" w:lineRule="auto"/>
        <w:ind w:firstLine="480" w:firstLineChars="200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【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译文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】</w:t>
      </w:r>
    </w:p>
    <w:p w14:paraId="4D25D039">
      <w:pPr>
        <w:spacing w:line="240" w:lineRule="auto"/>
        <w:ind w:firstLine="482" w:firstLineChars="200"/>
        <w:jc w:val="both"/>
        <w:textAlignment w:val="center"/>
        <w:rPr>
          <w:rFonts w:hint="eastAsia" w:ascii="楷体" w:hAnsi="楷体" w:eastAsia="楷体" w:cs="楷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00"/>
          <w:sz w:val="24"/>
          <w:szCs w:val="24"/>
          <w:lang w:val="en-US" w:eastAsia="zh-CN"/>
        </w:rPr>
        <w:t>材料一：</w:t>
      </w:r>
    </w:p>
    <w:p w14:paraId="48453F4A">
      <w:pPr>
        <w:spacing w:line="240" w:lineRule="auto"/>
        <w:ind w:firstLine="480" w:firstLineChars="200"/>
        <w:jc w:val="both"/>
        <w:textAlignment w:val="center"/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范蠡的事不也很奇特吗？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他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辅佐越王勾践，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深入地谋划隐秘地献策的情形持续了十二年</w:t>
      </w:r>
      <w:r>
        <w:rPr>
          <w:rFonts w:hint="default" w:ascii="楷体" w:hAnsi="楷体" w:eastAsia="楷体" w:cs="楷体"/>
          <w:color w:val="000000"/>
          <w:sz w:val="24"/>
          <w:szCs w:val="24"/>
          <w:lang w:val="en-US"/>
        </w:rPr>
        <w:t>，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直至吴国灭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亡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，大大地洗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刷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越国的耻辱，勾践授范蠡上将军的官职。范蠡当天就上书勾践辞职，驾扁舟泛五湖而去，悄然无声，又乘海船到齐国，化名为“鸱夷子皮”，父子经营商业获利数十万。齐国国君听说这件事，就邀请他任国相。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 w:eastAsia="zh-CN"/>
        </w:rPr>
        <w:t>不久就上交相印，把自己所有获利分发给别人，只带着贵重的宝贝旅行到达陶。（致富后），天下的人称他为“陶朱公”。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啊，真是明智啊！唐朝王绩的诗句“范蠡何智哉！单舟戒轻装”，与我的话合拍。范蠡住在齐国的时候，用书信告诫越国大夫文种说：“（俗话说），‘当凶猛的鸟被打尽的时候，良弓就被收藏起来了；狡兔被猎杀殆尽后，猎狗就会被烹煮掉。’越王长脖子，可以和他共患难，不可和他共享欢乐。你应该尽快考虑这个问题。”哎，这不是范蠡的话，而是计然的话呀！当初，有一个叫计然的人，在海边游历，自称是渔父（以打鱼为职业的人）。范蠡请教他说：“先生是一个有隐藏的道德的人，希望你让越国能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长久地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杀牲取血以祭祀社稷。”计然说：“越王勾践长着鸟嘴一样的嘴巴，不能和他同享利益。”范蠡的智慧，可能有取决于他的这些思想吧？</w:t>
      </w:r>
    </w:p>
    <w:p w14:paraId="646B1F03">
      <w:pPr>
        <w:spacing w:line="240" w:lineRule="auto"/>
        <w:ind w:firstLine="480" w:firstLineChars="200"/>
        <w:jc w:val="both"/>
        <w:textAlignment w:val="center"/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《范子》这本书有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十二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卷，书里的内容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常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用尽阴阳的变化，穷尽代天理民的顺序和岁时节候的次序的微妙。其中有些话非常好，例如</w:t>
      </w:r>
      <w:r>
        <w:rPr>
          <w:rFonts w:hint="default" w:ascii="楷体" w:hAnsi="楷体" w:eastAsia="楷体" w:cs="楷体"/>
          <w:color w:val="000000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“圣人的变化就像水一样，随着外在条件变化而变化。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”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 w:eastAsia="zh-CN"/>
        </w:rPr>
        <w:t>范蠡能够等待适当的时机再行动，发现事物发展中的微妙征兆就立即采取行动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/>
        </w:rPr>
        <w:t>的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 w:eastAsia="zh-CN"/>
        </w:rPr>
        <w:t>原因，也可能出自计然这些思想吧？</w:t>
      </w:r>
    </w:p>
    <w:p w14:paraId="0D7C3F76">
      <w:pPr>
        <w:spacing w:line="240" w:lineRule="auto"/>
        <w:ind w:firstLine="480" w:firstLineChars="200"/>
        <w:jc w:val="both"/>
        <w:textAlignment w:val="center"/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计然是濮上人，姓章，名文子，他的祖先是晋国公子。</w:t>
      </w:r>
    </w:p>
    <w:p w14:paraId="17D5BD2A">
      <w:pPr>
        <w:spacing w:line="240" w:lineRule="auto"/>
        <w:ind w:firstLine="482" w:firstLineChars="200"/>
        <w:jc w:val="both"/>
        <w:textAlignment w:val="center"/>
        <w:rPr>
          <w:rFonts w:hint="eastAsia" w:ascii="楷体" w:hAnsi="楷体" w:eastAsia="楷体" w:cs="楷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00"/>
          <w:sz w:val="24"/>
          <w:szCs w:val="24"/>
          <w:lang w:val="en-US" w:eastAsia="zh-CN"/>
        </w:rPr>
        <w:t>材料二：</w:t>
      </w:r>
    </w:p>
    <w:p w14:paraId="02269745">
      <w:pPr>
        <w:numPr>
          <w:ilvl w:val="0"/>
          <w:numId w:val="0"/>
        </w:numPr>
        <w:spacing w:line="240" w:lineRule="auto"/>
        <w:ind w:firstLine="480" w:firstLineChars="200"/>
        <w:jc w:val="both"/>
        <w:textAlignment w:val="center"/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越王灭吴返回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到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五湖时，范蠡向越王告辞说：“君王努力治国吧，我不回越国了。”越王惊奇地问：“我不明白你这样说是为了什么？”范蠡答道：“我听说，做臣子的，君王忧虑，臣子就要为他操劳；君王受辱，臣子就要为他去死。过去君王困守会稽受到兵败之辱时，我所以没有去死，为的是报仇。如今仇已报，请让我补受在会稽时就应该受到的惩罚。”越王说：“如果有不原谅你的过失，不称赞你的美德的人，我将让他在越国不得善终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 w:eastAsia="zh-CN"/>
        </w:rPr>
        <w:t>。如果你听我的话，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/>
        </w:rPr>
        <w:t>我和你分割土地</w:t>
      </w:r>
      <w:r>
        <w:rPr>
          <w:rFonts w:hint="default" w:ascii="楷体" w:hAnsi="楷体" w:eastAsia="楷体" w:cs="楷体"/>
          <w:color w:val="000000"/>
          <w:sz w:val="24"/>
          <w:szCs w:val="24"/>
          <w:u w:val="none"/>
          <w:lang w:val="en-US"/>
        </w:rPr>
        <w:t>；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 w:eastAsia="zh-CN"/>
        </w:rPr>
        <w:t>如果你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/>
        </w:rPr>
        <w:t>不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 w:eastAsia="zh-CN"/>
        </w:rPr>
        <w:t>听我的话，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/>
        </w:rPr>
        <w:t>你将会自身被处死</w:t>
      </w:r>
      <w:r>
        <w:rPr>
          <w:rFonts w:hint="default" w:ascii="楷体" w:hAnsi="楷体" w:eastAsia="楷体" w:cs="楷体"/>
          <w:color w:val="000000"/>
          <w:sz w:val="24"/>
          <w:szCs w:val="24"/>
          <w:u w:val="none"/>
          <w:lang w:val="en-US"/>
        </w:rPr>
        <w:t>，</w:t>
      </w:r>
      <w:r>
        <w:rPr>
          <w:rFonts w:hint="eastAsia" w:ascii="楷体" w:hAnsi="楷体" w:eastAsia="楷体" w:cs="楷体"/>
          <w:color w:val="000000"/>
          <w:sz w:val="24"/>
          <w:szCs w:val="24"/>
          <w:u w:val="none"/>
          <w:lang w:val="en-US"/>
        </w:rPr>
        <w:t>妻子儿女也会被杀掉</w:t>
      </w:r>
      <w:r>
        <w:rPr>
          <w:rFonts w:hint="default" w:ascii="楷体" w:hAnsi="楷体" w:eastAsia="楷体" w:cs="楷体"/>
          <w:color w:val="000000"/>
          <w:sz w:val="24"/>
          <w:szCs w:val="24"/>
          <w:u w:val="none"/>
          <w:lang w:val="en-US"/>
        </w:rPr>
        <w:t>。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范蠡回答说：“我听到您的命令了。您可以执行您的法令，我按照我的意志行动。”于是就乘着小船泛游于五湖之上，没有人知道他最后的去向。</w:t>
      </w:r>
    </w:p>
    <w:p w14:paraId="3795634F">
      <w:pPr>
        <w:spacing w:line="240" w:lineRule="auto"/>
        <w:ind w:firstLine="420"/>
        <w:jc w:val="both"/>
        <w:textAlignment w:val="center"/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越王命令工匠用上等的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铜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制成范蠡的像，每天礼拜它，命令大夫们每十天也要礼拜一次，同时把会稽山四周三百里土地划为范蠡的封土，说</w:t>
      </w:r>
      <w:r>
        <w:rPr>
          <w:rFonts w:hint="default" w:ascii="楷体" w:hAnsi="楷体" w:eastAsia="楷体" w:cs="楷体"/>
          <w:color w:val="000000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color w:val="000000"/>
          <w:sz w:val="24"/>
          <w:szCs w:val="24"/>
        </w:rPr>
        <w:t>“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后代子孙，有敢侵占范蠡这块封土的，让他在越国不得善终，天地神灵，四方的官长都可以为我的话作证。”</w:t>
      </w:r>
    </w:p>
    <w:p w14:paraId="36BF4E28">
      <w:pPr>
        <w:spacing w:line="240" w:lineRule="auto"/>
        <w:ind w:firstLine="420"/>
        <w:jc w:val="both"/>
        <w:textAlignment w:val="center"/>
        <w:rPr>
          <w:rFonts w:hint="eastAsia" w:ascii="楷体" w:hAnsi="楷体" w:eastAsia="楷体" w:cs="楷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00"/>
          <w:sz w:val="24"/>
          <w:szCs w:val="24"/>
          <w:lang w:val="en-US" w:eastAsia="zh-CN"/>
        </w:rPr>
        <w:t>材料三：</w:t>
      </w:r>
    </w:p>
    <w:p w14:paraId="5546A5B6">
      <w:pPr>
        <w:spacing w:line="240" w:lineRule="auto"/>
        <w:ind w:firstLine="420"/>
        <w:jc w:val="both"/>
        <w:textAlignment w:val="center"/>
        <w:rPr>
          <w:rFonts w:hint="default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陈执中（谥号“恭”）第二次被免除宰相职务，出任亳州地方官，时年69岁。碰上生日，亲族纷纷献《老人星图》祝寿，只有他的侄子献《范蠡游五湖图》，并附上赞文：“陶朱公多么贤良啊！他使越国成就霸业平定了吴国。成就名声后退隐，以扁舟泛游五湖。”陈执中看后非常高兴，当日就给皇帝上表辞官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上交符节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。第二年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/>
        </w:rPr>
        <w:t>又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多次上表请求辞官，于是被授以司徒的荣誉官衔而退休。</w:t>
      </w:r>
    </w:p>
    <w:p w14:paraId="5CD2491B">
      <w:pPr>
        <w:spacing w:line="240" w:lineRule="auto"/>
        <w:jc w:val="both"/>
        <w:textAlignment w:val="center"/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15.D</w:t>
      </w:r>
    </w:p>
    <w:p w14:paraId="242C630D">
      <w:pPr>
        <w:spacing w:line="240" w:lineRule="auto"/>
        <w:jc w:val="both"/>
        <w:textAlignment w:val="center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【解析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】从“醉来犹似丁年日”这句来看，是词人醉后表现出的雄心与刚成年时没什么区别，这是烈士暮年的写照，而不是胡须像成年时一样。“光阴未肯成虚掷”应该连接下句，说自己不肯虚度光阴，一直对国家寄予希望，充满深情。不是交代胡须疏黑的原因。</w:t>
      </w:r>
    </w:p>
    <w:p w14:paraId="56DCEF05">
      <w:pPr>
        <w:numPr>
          <w:ilvl w:val="0"/>
          <w:numId w:val="0"/>
        </w:numPr>
        <w:spacing w:line="240" w:lineRule="auto"/>
        <w:ind w:leftChars="0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z w:val="24"/>
          <w:szCs w:val="24"/>
          <w:lang w:eastAsia="zh-CN"/>
        </w:rPr>
        <w:t>16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/>
        </w:rPr>
        <w:t>.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①借典抒情(或答“用典”)。借“望帝春心托杜鹃”之典，委婉含蓄地抒写了词人如望帝般感时伤乱但始终心系家国的心境。②以哀景衬乐情。对比鲜明，反差强烈，在悲啼中见春色，凸显出词人于漂泊中对生活希望的坚守，情感表达深沉。</w:t>
      </w:r>
    </w:p>
    <w:p w14:paraId="59B24D03">
      <w:pPr>
        <w:numPr>
          <w:ilvl w:val="0"/>
          <w:numId w:val="0"/>
        </w:numPr>
        <w:spacing w:line="240" w:lineRule="auto"/>
        <w:ind w:leftChars="0" w:firstLine="482" w:firstLineChars="200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/>
        </w:rPr>
        <w:t>评分说明</w:t>
      </w:r>
      <w:r>
        <w:rPr>
          <w:rFonts w:hint="default" w:ascii="宋体" w:hAnsi="宋体" w:eastAsia="宋体" w:cs="宋体"/>
          <w:b/>
          <w:bCs/>
          <w:color w:val="000000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其他答案言之有理亦可得分，如考生答“对比”手法，分析“对国家、民族的希望”“不愿虚度光阴，对理想抱负的坚持”等，可酌情给分。两个要点各占3分，答满两点即可。</w:t>
      </w:r>
    </w:p>
    <w:p w14:paraId="024EDB1A">
      <w:pPr>
        <w:spacing w:line="240" w:lineRule="auto"/>
        <w:jc w:val="both"/>
        <w:textAlignment w:val="center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【解析】读懂这两句词，需要知人论世，联系全篇，从“醉来犹似丁年日。光阴未肯成虚掷”两句可见词人对国家没有完全失望，他自己还在努力。联系典故，理解“蜀魄”是词人自己的写照，别人只听到悲啼，词人看到了春天和希望。</w:t>
      </w:r>
    </w:p>
    <w:p w14:paraId="4EFB5F97">
      <w:pPr>
        <w:spacing w:line="240" w:lineRule="auto"/>
        <w:rPr>
          <w:rFonts w:hint="eastAsia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17.</w:t>
      </w:r>
      <w:r>
        <w:rPr>
          <w:rFonts w:hint="eastAsia"/>
          <w:sz w:val="24"/>
          <w:szCs w:val="24"/>
        </w:rPr>
        <w:t>（1）山川相缪，郁乎苍苍。</w:t>
      </w:r>
    </w:p>
    <w:p w14:paraId="6D2D5DE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（2）参差十万人家</w:t>
      </w:r>
      <w:r>
        <w:rPr>
          <w:rFonts w:hint="default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重湖</w:t>
      </w:r>
      <w:r>
        <w:rPr>
          <w:rFonts w:hint="eastAsia"/>
          <w:sz w:val="24"/>
          <w:szCs w:val="24"/>
          <w:lang w:val="en-US" w:eastAsia="zh-CN"/>
        </w:rPr>
        <w:t>叠</w:t>
      </w:r>
      <w:r>
        <w:rPr>
          <w:rFonts w:hint="eastAsia"/>
          <w:sz w:val="24"/>
          <w:szCs w:val="24"/>
        </w:rPr>
        <w:drawing>
          <wp:inline distT="0" distB="0" distL="0" distR="0">
            <wp:extent cx="140335" cy="139065"/>
            <wp:effectExtent l="0" t="0" r="12065" b="13334"/>
            <wp:docPr id="1026" name="图片 2" descr="4541358d36c0676bd1cd59e1189cdc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 descr="4541358d36c0676bd1cd59e1189cdc8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清嘉。</w:t>
      </w:r>
    </w:p>
    <w:p w14:paraId="1EF0EAA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eastAsia" w:eastAsia="宋体" w:cs="宋体"/>
          <w:sz w:val="24"/>
          <w:szCs w:val="24"/>
          <w:lang w:val="en-US" w:eastAsia="zh-CN"/>
        </w:rPr>
        <w:t>①</w:t>
      </w:r>
      <w:r>
        <w:rPr>
          <w:rFonts w:hint="eastAsia"/>
          <w:sz w:val="24"/>
          <w:szCs w:val="24"/>
          <w:lang w:val="en-US" w:eastAsia="zh-CN"/>
        </w:rPr>
        <w:t>玉露凋伤枫树林，巫山巫峡气萧森</w:t>
      </w:r>
    </w:p>
    <w:p w14:paraId="71F2A49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②停车坐爱枫林晚，霜叶红于二月花</w:t>
      </w:r>
    </w:p>
    <w:p w14:paraId="5A98444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③晓来谁染霜林醉？总是离人泪</w:t>
      </w:r>
    </w:p>
    <w:p w14:paraId="2D18BDB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④孤舟微月对枫林，分付鸣筝与客心</w:t>
      </w:r>
    </w:p>
    <w:p w14:paraId="239ACB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⑤月落乌啼霜满天，江枫渔火对愁眠</w:t>
      </w:r>
    </w:p>
    <w:p w14:paraId="6ED407F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⑥山远天高烟水寒，相思枫叶丹</w:t>
      </w:r>
    </w:p>
    <w:p w14:paraId="64AD4A43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【解析】（1）（2）中容易出错的字词有“</w:t>
      </w:r>
      <w:r>
        <w:rPr>
          <w:rFonts w:hint="eastAsia"/>
          <w:sz w:val="24"/>
          <w:szCs w:val="24"/>
        </w:rPr>
        <w:t>相缪</w:t>
      </w:r>
      <w:r>
        <w:rPr>
          <w:rFonts w:hint="eastAsia"/>
          <w:sz w:val="24"/>
          <w:szCs w:val="24"/>
          <w:lang w:val="en-US" w:eastAsia="zh-CN"/>
        </w:rPr>
        <w:t>”、“</w:t>
      </w:r>
      <w:r>
        <w:rPr>
          <w:rFonts w:hint="eastAsia"/>
          <w:sz w:val="24"/>
          <w:szCs w:val="24"/>
        </w:rPr>
        <w:t>郁</w:t>
      </w:r>
      <w:r>
        <w:rPr>
          <w:rFonts w:hint="eastAsia"/>
          <w:sz w:val="24"/>
          <w:szCs w:val="24"/>
          <w:lang w:val="en-US" w:eastAsia="zh-CN"/>
        </w:rPr>
        <w:t>”、“</w:t>
      </w:r>
      <w:r>
        <w:rPr>
          <w:rFonts w:hint="eastAsia"/>
          <w:sz w:val="24"/>
          <w:szCs w:val="24"/>
        </w:rPr>
        <w:t>叠</w:t>
      </w:r>
      <w:r>
        <w:rPr>
          <w:rFonts w:hint="eastAsia"/>
          <w:sz w:val="24"/>
          <w:szCs w:val="24"/>
        </w:rPr>
        <w:drawing>
          <wp:inline distT="0" distB="0" distL="0" distR="0">
            <wp:extent cx="140335" cy="139065"/>
            <wp:effectExtent l="0" t="0" r="12065" b="13334"/>
            <wp:docPr id="1027" name="图片 3" descr="4541358d36c0676bd1cd59e1189cdc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3" descr="4541358d36c0676bd1cd59e1189cdc8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”、“</w:t>
      </w:r>
      <w:r>
        <w:rPr>
          <w:rFonts w:hint="eastAsia"/>
          <w:sz w:val="24"/>
          <w:szCs w:val="24"/>
        </w:rPr>
        <w:t>清嘉</w:t>
      </w:r>
      <w:r>
        <w:rPr>
          <w:rFonts w:hint="eastAsia"/>
          <w:sz w:val="24"/>
          <w:szCs w:val="24"/>
          <w:lang w:val="en-US" w:eastAsia="zh-CN"/>
        </w:rPr>
        <w:t>”；第（3）题是开放性试题，按题意，答案必须是古代诗人的诗句，并且诗句必须以枫林枫叶表情达意。</w:t>
      </w:r>
    </w:p>
    <w:p w14:paraId="37FFB4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-283" w:right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18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③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句修改为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bidi="ar-SA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展开了一场对视觉记忆的独特书写</w:t>
      </w:r>
    </w:p>
    <w:p w14:paraId="76BBCB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-283" w:right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⑤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句修改为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bidi="ar-SA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使读者仿佛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bidi="ar-SA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好像亲眼看见了一位坐在八仙椅上</w:t>
      </w:r>
    </w:p>
    <w:p w14:paraId="70B714E1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19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C</w:t>
      </w:r>
    </w:p>
    <w:p w14:paraId="03225D99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【解析】句首“动态细节的捕捉”话题转换突然，添加“这种对”更强调丰子恺在《我的母亲》一文中书写的特点，与上文衔接更紧密，故排除B项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“近乎影视特写镜头的表现力”只是强调状态，此处添加“获得了”更强调“这种对动态细节的捕捉，使纸面上的形象跃然而出”的结果，故排除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D项。</w:t>
      </w:r>
    </w:p>
    <w:p w14:paraId="73E41B91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20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A</w:t>
      </w:r>
    </w:p>
    <w:p w14:paraId="28F5F1C0">
      <w:pPr>
        <w:numPr>
          <w:ilvl w:val="0"/>
          <w:numId w:val="0"/>
        </w:numPr>
        <w:spacing w:line="240" w:lineRule="auto"/>
        <w:ind w:leftChars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【解析】络绎不绝：专指行人、车马、船只等来往频繁，含有“繁盛”的意思。此处应用“纷至沓来”，形容人或事物接连不断地到来。可见一斑：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比喻见到事物的一少部分也能推知事物的整体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 w:eastAsia="zh-CN"/>
        </w:rPr>
        <w:t>一以贯之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：用一个根本性的事理贯通事情的始末或全部的道理。独一无二：指没有相同的或没有可以相比的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。</w:t>
      </w:r>
    </w:p>
    <w:p w14:paraId="18E6E0CF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bidi="ar-SA"/>
        </w:rPr>
        <w:t>21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.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“烦”修改为“繁”</w:t>
      </w:r>
    </w:p>
    <w:p w14:paraId="42DC88E5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“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串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”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修改为“穿”</w:t>
      </w:r>
    </w:p>
    <w:p w14:paraId="66C8E557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“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诵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”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修改为“颂”</w:t>
      </w:r>
    </w:p>
    <w:p w14:paraId="3EC3F12F">
      <w:pPr>
        <w:numPr>
          <w:ilvl w:val="0"/>
          <w:numId w:val="0"/>
        </w:numPr>
        <w:spacing w:line="240" w:lineRule="auto"/>
        <w:ind w:leftChars="0" w:firstLine="254" w:firstLineChars="100"/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</w:pP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 xml:space="preserve"> 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评分说明</w:t>
      </w:r>
      <w:r>
        <w:rPr>
          <w:rFonts w:hint="default" w:ascii="宋体" w:hAnsi="宋体" w:cs="宋体"/>
          <w:b/>
          <w:bCs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：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改对一处给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1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分</w:t>
      </w:r>
    </w:p>
    <w:p w14:paraId="7A9DF59C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bidi="ar-SA"/>
        </w:rPr>
        <w:t>22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.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bidi="ar-SA"/>
        </w:rPr>
        <w:t>（1）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画面内容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bidi="ar-SA"/>
        </w:rPr>
        <w:t>：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一位端坐的母亲在细心地给孩子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削瓜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/>
        </w:rPr>
        <w:t>孩子站在左边欢喜</w:t>
      </w: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lang w:val="en-US"/>
        </w:rPr>
        <w:t>地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/>
        </w:rPr>
        <w:t>给母亲打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扇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。（1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/>
        </w:rPr>
        <w:t>分</w:t>
      </w:r>
      <w:r>
        <w:rPr>
          <w:rFonts w:hint="default" w:ascii="宋体" w:hAnsi="宋体" w:eastAsia="宋体" w:cs="宋体"/>
          <w:b w:val="0"/>
          <w:bCs w:val="0"/>
          <w:color w:val="00000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/>
        </w:rPr>
        <w:t>图上方题有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 w:eastAsia="zh-CN"/>
        </w:rPr>
        <w:t>“你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 w:eastAsia="zh-CN"/>
        </w:rPr>
        <w:t>我削瓜，我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 w:eastAsia="zh-CN"/>
        </w:rPr>
        <w:t>你打扇”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的文字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。（1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分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）</w:t>
      </w:r>
    </w:p>
    <w:p w14:paraId="3E5D22A6">
      <w:pPr>
        <w:numPr>
          <w:ilvl w:val="0"/>
          <w:numId w:val="0"/>
        </w:numPr>
        <w:spacing w:line="240" w:lineRule="auto"/>
        <w:ind w:leftChars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（2）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意蕴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画面温馨和谐，情感纯真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无私。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（1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分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eastAsia="zh-CN" w:bidi="ar-SA"/>
        </w:rPr>
        <w:t>妈妈似乎在享受着削瓜的乐趣和儿子的懂事、乖巧，打扇者则仿佛在享受着为妈妈服务的满足感。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（2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分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）</w:t>
      </w:r>
    </w:p>
    <w:p w14:paraId="6A414F1D"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画面内容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2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分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意蕴总写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1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分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分析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2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分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表述相近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</w:rPr>
        <w:t>、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val="en-US"/>
        </w:rPr>
        <w:t>言之有理即可给分</w:t>
      </w:r>
      <w:r>
        <w:rPr>
          <w:rFonts w:hint="default" w:ascii="宋体" w:hAnsi="宋体" w:cs="宋体"/>
          <w:i w:val="0"/>
          <w:iCs w:val="0"/>
          <w:caps w:val="0"/>
          <w:color w:val="000000"/>
          <w:spacing w:val="7"/>
          <w:sz w:val="24"/>
          <w:szCs w:val="24"/>
          <w:shd w:val="clear" w:color="auto" w:fill="FFFFFF"/>
          <w:lang w:eastAsia="zh-CN"/>
        </w:rPr>
        <w:t>）</w:t>
      </w:r>
    </w:p>
    <w:p w14:paraId="34A19CC8">
      <w:pPr>
        <w:numPr>
          <w:ilvl w:val="0"/>
          <w:numId w:val="0"/>
        </w:numPr>
        <w:spacing w:line="240" w:lineRule="auto"/>
        <w:rPr>
          <w:rFonts w:hint="default" w:ascii="楷体" w:hAnsi="楷体" w:eastAsia="楷体" w:cs="楷体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eastAsia="zh-CN" w:bidi="ar-SA"/>
        </w:rPr>
        <w:t>23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kern w:val="0"/>
          <w:sz w:val="24"/>
          <w:szCs w:val="24"/>
          <w:shd w:val="clear" w:color="auto" w:fill="FFFFFF"/>
          <w:lang w:val="en-US" w:bidi="ar-SA"/>
        </w:rPr>
        <w:t>.</w:t>
      </w:r>
      <w:r>
        <w:rPr>
          <w:rFonts w:hint="eastAsia" w:ascii="楷体" w:hAnsi="楷体" w:eastAsia="楷体" w:cs="楷体"/>
          <w:color w:val="000000"/>
          <w:sz w:val="24"/>
          <w:szCs w:val="24"/>
          <w:lang w:val="en-US" w:eastAsia="zh-CN"/>
        </w:rPr>
        <w:t>作文</w:t>
      </w:r>
    </w:p>
    <w:p w14:paraId="25E03470">
      <w:pPr>
        <w:numPr>
          <w:ilvl w:val="0"/>
          <w:numId w:val="0"/>
        </w:numPr>
        <w:spacing w:line="240" w:lineRule="auto"/>
        <w:ind w:firstLine="482" w:firstLineChars="200"/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一、审题指导</w:t>
      </w:r>
    </w:p>
    <w:p w14:paraId="2F271F85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1.针对“数字化时代中，经典文字与爆款短视频影像在唤起情感共鸣方面孰强孰弱”的争论，表达自己的“思考和感悟”。</w:t>
      </w:r>
    </w:p>
    <w:p w14:paraId="6FF158F1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2.核心概念：</w:t>
      </w: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lang w:val="en-US"/>
        </w:rPr>
        <w:t>“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经典文字”、“爆款短视频”</w:t>
      </w:r>
    </w:p>
    <w:p w14:paraId="0751E4B0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经典文字：强调经过时间沉淀、具有深厚文化内涵、艺术价值或思想深度的文本（如文学名著、传世诗词、哲学篇章等）。</w:t>
      </w:r>
    </w:p>
    <w:p w14:paraId="1386A846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爆款短视频：强调在短时间内获得巨大流量、广泛传播、引发强烈社会反响的短视频作品（如感人故事、社会热点、创意表达等）。</w:t>
      </w:r>
    </w:p>
    <w:p w14:paraId="253DA244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议题：哪一种媒介形式更能“触动心弦”、“唤起内心深处的共鸣”或具有更巨大的“情感力量”。</w:t>
      </w:r>
    </w:p>
    <w:p w14:paraId="39BB56CD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时代背景：数字化时代（信息爆炸、碎片化阅读、注意力稀缺、算法推荐、流量至上）。</w:t>
      </w:r>
    </w:p>
    <w:p w14:paraId="2189AF23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3.观点呈现：</w:t>
      </w:r>
    </w:p>
    <w:p w14:paraId="70134389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观点一：经典文字更能触动心弦，唤起内心深处的共鸣。</w:t>
      </w:r>
    </w:p>
    <w:p w14:paraId="1C62537B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观点二：爆款短视频爆发出的情感力量更为巨大。</w:t>
      </w:r>
    </w:p>
    <w:p w14:paraId="348964CC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4.写作要求：</w:t>
      </w:r>
    </w:p>
    <w:p w14:paraId="3E189518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选准角度：必须围绕“经典文字”与“爆款短视频”在情感共鸣或者情感力量上的比较展开。可以侧重一方，可以辩证分析二者关系，也可以从更深层（如共鸣的本质、时代影响）切入。在选定角度下，提炼出清晰、深刻、有见地的中心论点。</w:t>
      </w:r>
    </w:p>
    <w:p w14:paraId="2B32E592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5.审题难点与关键：</w:t>
      </w:r>
    </w:p>
    <w:p w14:paraId="12707648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避免泛泛而谈“文字”与“短视频”，必须紧扣“经典”文字与“爆款”短视频这两个特定范畴。探讨它们在情感层面（触动心弦、唤起共鸣、情感力量）的效能差异及其原因。要体现对“数字化时代”这一特定语境下媒介生态、受众心理的思考。立意需有深度，超越简单的“谁更好”的表层判断。</w:t>
      </w:r>
    </w:p>
    <w:p w14:paraId="60D7DF80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二、写作指导</w:t>
      </w:r>
    </w:p>
    <w:p w14:paraId="0E352A93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立意方向建议：</w:t>
      </w:r>
    </w:p>
    <w:p w14:paraId="58703C84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经典文字的深度共鸣：经典文字如陈年佳酿，以其思想深度、人性洞察、语言艺术和时空穿透力，在个体心灵的静默对话中引发持久而深邃的情感共鸣，这是喧嚣流量时代不可或缺的精神锚点。经典的永恒性、语言的抽象性激发想象与反思、深度阅读带来的内化过程、经典所承载的人类共通情感与智慧。</w:t>
      </w:r>
    </w:p>
    <w:p w14:paraId="41BED2BE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爆款短视频的情感冲击：爆款短视频凭借视听奇观、即时共情、算法加持与群体共振，在数字化洪流中瞬间点燃海量受众的情感烈焰，展现出无与伦比的传播广度与情感动员力。视听元素的直接冲击力、叙事的浓缩与情绪张力、算法的精准推送放大效应、社交媒体的裂变传播、对当下社会情绪的敏锐捕捉与放大。</w:t>
      </w:r>
    </w:p>
    <w:p w14:paraId="49517420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二元互补：经典文字是深埋地下的精神矿脉，滋养心灵底蕴；爆款短视频是地表奔涌的情感河流，映照时代情绪。在数字时代，二者并非相互取代，而是在数字时代情感版图上不可或缺的互补力量，共同塑造着我们的共情能力。二者满足不同层次或场景的情感需求（深度沉淀、即时宣泄；个体内省、群体共鸣；永恒价值、当下关切）；爆款短视频可成为经典传播的“引桥”，经典可为爆款提供深度源泉。</w:t>
      </w:r>
    </w:p>
    <w:p w14:paraId="7004CD59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不可否认的是爆款短视频的“情感力量”巨大却易逝，其算法逻辑与碎片特性可能侵蚀深度共鸣的土壤；在流量狂欢中，守护经典文字的深度阅读，是抵抗情感浅薄化、维系精神深度的关键。快节奏与碎片化对深度思考的冲击、算法茧房对情感多样性的限制、流量导向对内容深度的消解、经典阅读对培养持久共情能力的重要性。</w:t>
      </w:r>
    </w:p>
    <w:p w14:paraId="6298145C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真正深刻的共鸣源于理解、反思与内化。经典文字以其抽象性主动“邀请”读者参与创造，达成灵魂共振；爆款短视频虽能强力“感染”情绪，但被动接收易流于表层。媒介特性决定了其通向深度共鸣的路径差异。分析“触动心弦”与“深度共鸣”的层次差异（感官刺激或情绪感染、思想认同或价值共鸣、生命体验的连接）；不同媒介触发情感的心理机制（被动接受、主动建构）。</w:t>
      </w:r>
    </w:p>
    <w:p w14:paraId="78E73982">
      <w:pPr>
        <w:numPr>
          <w:ilvl w:val="0"/>
          <w:numId w:val="0"/>
        </w:numPr>
        <w:spacing w:line="240" w:lineRule="auto"/>
        <w:ind w:firstLine="480" w:firstLineChars="20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bookmarkStart w:id="0" w:name="_GoBack"/>
      <w:bookmarkEnd w:id="0"/>
    </w:p>
    <w:p w14:paraId="2F895E8A">
      <w:pPr>
        <w:numPr>
          <w:ilvl w:val="0"/>
          <w:numId w:val="0"/>
        </w:numPr>
        <w:spacing w:line="240" w:lineRule="auto"/>
        <w:ind w:firstLine="480" w:firstLineChars="200"/>
        <w:rPr>
          <w:rFonts w:hint="default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  <w:t>本题审题关键在于精准把握“经典文字”与“爆款短视频”这对特定比较对象及其在“情感共鸣、情感力量”上的核心议题，并置于“数字化时代”背景下思考。立意需有深度和新意，论证要结合典型实例，展现思辨性，结构清晰严谨，语言准确有力。最终指向对媒介本质、情感体验与时代精神状况的深刻洞察。</w:t>
      </w:r>
    </w:p>
    <w:p w14:paraId="2346D075">
      <w:pPr>
        <w:numPr>
          <w:ilvl w:val="0"/>
          <w:numId w:val="0"/>
        </w:numPr>
        <w:spacing w:line="240" w:lineRule="auto"/>
        <w:rPr>
          <w:rFonts w:hint="default" w:ascii="宋体" w:hAnsi="宋体" w:eastAsia="宋体" w:cs="宋体"/>
          <w:b w:val="0"/>
          <w:bCs w:val="0"/>
          <w:color w:val="000000"/>
          <w:sz w:val="24"/>
          <w:szCs w:val="24"/>
          <w:lang w:val="en-US" w:eastAsia="zh-CN"/>
        </w:rPr>
      </w:pPr>
    </w:p>
    <w:p w14:paraId="3F78617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right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6"/>
          <w:sz w:val="24"/>
          <w:szCs w:val="24"/>
        </w:rPr>
        <w:t>具体评分细则参考202</w:t>
      </w:r>
      <w:r>
        <w:rPr>
          <w:rFonts w:hint="default" w:cs="宋体"/>
          <w:b/>
          <w:bCs/>
          <w:spacing w:val="-6"/>
          <w:sz w:val="24"/>
          <w:szCs w:val="24"/>
        </w:rPr>
        <w:t>5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</w:rPr>
        <w:t>年高考全国新课标I卷的作文评分标准</w:t>
      </w:r>
    </w:p>
    <w:tbl>
      <w:tblPr>
        <w:tblStyle w:val="5"/>
        <w:tblpPr w:leftFromText="180" w:rightFromText="180" w:vertAnchor="text" w:horzAnchor="page" w:tblpXSpec="center" w:tblpY="292"/>
        <w:tblOverlap w:val="never"/>
        <w:tblW w:w="5016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726"/>
        <w:gridCol w:w="1431"/>
        <w:gridCol w:w="1776"/>
        <w:gridCol w:w="1863"/>
        <w:gridCol w:w="2000"/>
      </w:tblGrid>
      <w:tr w14:paraId="65F4B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  <w:jc w:val="center"/>
        </w:trPr>
        <w:tc>
          <w:tcPr>
            <w:tcW w:w="328" w:type="pct"/>
            <w:vAlign w:val="center"/>
          </w:tcPr>
          <w:p w14:paraId="38BBAE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435" w:type="pct"/>
            <w:vAlign w:val="center"/>
          </w:tcPr>
          <w:p w14:paraId="7E403B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57" w:type="pct"/>
            <w:vAlign w:val="center"/>
          </w:tcPr>
          <w:p w14:paraId="1D524C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一等</w:t>
            </w:r>
          </w:p>
          <w:p w14:paraId="470C11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(20～16)</w:t>
            </w:r>
          </w:p>
        </w:tc>
        <w:tc>
          <w:tcPr>
            <w:tcW w:w="1064" w:type="pct"/>
            <w:vAlign w:val="center"/>
          </w:tcPr>
          <w:p w14:paraId="2F5624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二等</w:t>
            </w:r>
          </w:p>
          <w:p w14:paraId="35C413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(15～11)</w:t>
            </w:r>
          </w:p>
        </w:tc>
        <w:tc>
          <w:tcPr>
            <w:tcW w:w="1116" w:type="pct"/>
            <w:vAlign w:val="center"/>
          </w:tcPr>
          <w:p w14:paraId="5C3703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三等</w:t>
            </w:r>
          </w:p>
          <w:p w14:paraId="7CE819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(10～6)</w:t>
            </w:r>
          </w:p>
        </w:tc>
        <w:tc>
          <w:tcPr>
            <w:tcW w:w="1198" w:type="pct"/>
            <w:vAlign w:val="center"/>
          </w:tcPr>
          <w:p w14:paraId="68E0F9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四等</w:t>
            </w:r>
          </w:p>
          <w:p w14:paraId="59EEE3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(5～0)</w:t>
            </w:r>
          </w:p>
        </w:tc>
      </w:tr>
      <w:tr w14:paraId="47673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7" w:hRule="atLeast"/>
          <w:jc w:val="center"/>
        </w:trPr>
        <w:tc>
          <w:tcPr>
            <w:tcW w:w="328" w:type="pct"/>
            <w:vMerge w:val="restart"/>
            <w:tcBorders>
              <w:bottom w:val="nil"/>
            </w:tcBorders>
            <w:vAlign w:val="center"/>
          </w:tcPr>
          <w:p w14:paraId="6573A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基础等级</w:t>
            </w:r>
          </w:p>
        </w:tc>
        <w:tc>
          <w:tcPr>
            <w:tcW w:w="435" w:type="pct"/>
            <w:vAlign w:val="center"/>
          </w:tcPr>
          <w:p w14:paraId="742C6A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7764E8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2CD3D2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00D1C4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</w:t>
            </w:r>
          </w:p>
          <w:p w14:paraId="4F0F3F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20分</w:t>
            </w:r>
          </w:p>
        </w:tc>
        <w:tc>
          <w:tcPr>
            <w:tcW w:w="857" w:type="pct"/>
            <w:vAlign w:val="center"/>
          </w:tcPr>
          <w:p w14:paraId="744D17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符合题意</w:t>
            </w:r>
          </w:p>
          <w:p w14:paraId="637B81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中心突出</w:t>
            </w:r>
          </w:p>
          <w:p w14:paraId="37B342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内容充实</w:t>
            </w:r>
          </w:p>
          <w:p w14:paraId="691938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思想健康</w:t>
            </w:r>
          </w:p>
          <w:p w14:paraId="5F2361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感情真挚</w:t>
            </w:r>
          </w:p>
        </w:tc>
        <w:tc>
          <w:tcPr>
            <w:tcW w:w="1064" w:type="pct"/>
            <w:vAlign w:val="center"/>
          </w:tcPr>
          <w:p w14:paraId="4BFC70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符合题意</w:t>
            </w:r>
          </w:p>
          <w:p w14:paraId="0CA585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中心明确</w:t>
            </w:r>
          </w:p>
          <w:p w14:paraId="7DBC62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内容较充实</w:t>
            </w:r>
          </w:p>
          <w:p w14:paraId="2A855F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思想健康</w:t>
            </w:r>
          </w:p>
          <w:p w14:paraId="76F822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感情真实</w:t>
            </w:r>
          </w:p>
        </w:tc>
        <w:tc>
          <w:tcPr>
            <w:tcW w:w="1116" w:type="pct"/>
            <w:vAlign w:val="center"/>
          </w:tcPr>
          <w:p w14:paraId="343714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基本符合题意</w:t>
            </w:r>
          </w:p>
          <w:p w14:paraId="3EF720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中心基本明确</w:t>
            </w:r>
          </w:p>
          <w:p w14:paraId="55B968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内容单薄</w:t>
            </w:r>
          </w:p>
          <w:p w14:paraId="4E57DF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思想基本健康</w:t>
            </w:r>
          </w:p>
          <w:p w14:paraId="61E782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感情基本真实</w:t>
            </w:r>
          </w:p>
        </w:tc>
        <w:tc>
          <w:tcPr>
            <w:tcW w:w="1198" w:type="pct"/>
            <w:vAlign w:val="center"/>
          </w:tcPr>
          <w:p w14:paraId="381468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偏离题意</w:t>
            </w:r>
          </w:p>
          <w:p w14:paraId="23717A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中心不明确</w:t>
            </w:r>
          </w:p>
          <w:p w14:paraId="570BD9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内容不当</w:t>
            </w:r>
          </w:p>
          <w:p w14:paraId="7B645A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思想不健康</w:t>
            </w:r>
          </w:p>
          <w:p w14:paraId="3E3063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感情虚假</w:t>
            </w:r>
          </w:p>
        </w:tc>
      </w:tr>
      <w:tr w14:paraId="16025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7" w:hRule="atLeast"/>
          <w:jc w:val="center"/>
        </w:trPr>
        <w:tc>
          <w:tcPr>
            <w:tcW w:w="328" w:type="pct"/>
            <w:vMerge w:val="continue"/>
            <w:tcBorders>
              <w:top w:val="nil"/>
            </w:tcBorders>
            <w:vAlign w:val="center"/>
          </w:tcPr>
          <w:p w14:paraId="65B9AD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435" w:type="pct"/>
            <w:vAlign w:val="center"/>
          </w:tcPr>
          <w:p w14:paraId="53CE95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1BB2F0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17C05A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表达20分</w:t>
            </w:r>
          </w:p>
        </w:tc>
        <w:tc>
          <w:tcPr>
            <w:tcW w:w="857" w:type="pct"/>
            <w:vAlign w:val="center"/>
          </w:tcPr>
          <w:p w14:paraId="43E0A0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符合文体</w:t>
            </w:r>
          </w:p>
          <w:p w14:paraId="3A78F0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要求</w:t>
            </w:r>
          </w:p>
          <w:p w14:paraId="0017E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结构严谨</w:t>
            </w:r>
          </w:p>
          <w:p w14:paraId="49AB7E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语言流畅</w:t>
            </w:r>
          </w:p>
          <w:p w14:paraId="5CF250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字迹工整</w:t>
            </w:r>
          </w:p>
        </w:tc>
        <w:tc>
          <w:tcPr>
            <w:tcW w:w="1064" w:type="pct"/>
            <w:vAlign w:val="center"/>
          </w:tcPr>
          <w:p w14:paraId="10DC9B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2C6CB3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符合文体要求</w:t>
            </w:r>
          </w:p>
          <w:p w14:paraId="71CCC5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结构完整</w:t>
            </w:r>
          </w:p>
          <w:p w14:paraId="74EE62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语言通顺</w:t>
            </w:r>
          </w:p>
          <w:p w14:paraId="01359A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字迹清楚</w:t>
            </w:r>
          </w:p>
        </w:tc>
        <w:tc>
          <w:tcPr>
            <w:tcW w:w="1116" w:type="pct"/>
            <w:vAlign w:val="center"/>
          </w:tcPr>
          <w:p w14:paraId="0BAF73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028A55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基本符合文体要求结构基本完整</w:t>
            </w:r>
          </w:p>
          <w:p w14:paraId="44D459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语言基本通顺</w:t>
            </w:r>
          </w:p>
          <w:p w14:paraId="085371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字迹基本清楚</w:t>
            </w:r>
          </w:p>
        </w:tc>
        <w:tc>
          <w:tcPr>
            <w:tcW w:w="1198" w:type="pct"/>
            <w:vAlign w:val="center"/>
          </w:tcPr>
          <w:p w14:paraId="74A548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26CBF4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不符合文体要求</w:t>
            </w:r>
          </w:p>
          <w:p w14:paraId="6E4982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结构混乱</w:t>
            </w:r>
          </w:p>
          <w:p w14:paraId="2DBCC1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语言不通顺，语病多</w:t>
            </w:r>
          </w:p>
          <w:p w14:paraId="307037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字迹潦草难辨</w:t>
            </w:r>
          </w:p>
        </w:tc>
      </w:tr>
      <w:tr w14:paraId="68CCD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2" w:hRule="atLeast"/>
          <w:jc w:val="center"/>
        </w:trPr>
        <w:tc>
          <w:tcPr>
            <w:tcW w:w="328" w:type="pct"/>
            <w:vAlign w:val="center"/>
          </w:tcPr>
          <w:p w14:paraId="3635E7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44D257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7DA3AD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发展</w:t>
            </w:r>
          </w:p>
          <w:p w14:paraId="231B6E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等级</w:t>
            </w:r>
          </w:p>
        </w:tc>
        <w:tc>
          <w:tcPr>
            <w:tcW w:w="435" w:type="pct"/>
            <w:vAlign w:val="center"/>
          </w:tcPr>
          <w:p w14:paraId="2FB98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07F4B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  <w:p w14:paraId="53BC46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特征20分</w:t>
            </w:r>
          </w:p>
        </w:tc>
        <w:tc>
          <w:tcPr>
            <w:tcW w:w="857" w:type="pct"/>
            <w:vAlign w:val="center"/>
          </w:tcPr>
          <w:p w14:paraId="11F170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深刻</w:t>
            </w:r>
          </w:p>
          <w:p w14:paraId="0468E7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丰富</w:t>
            </w:r>
          </w:p>
          <w:p w14:paraId="04080C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有文采</w:t>
            </w:r>
          </w:p>
          <w:p w14:paraId="1A120F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有创意</w:t>
            </w:r>
          </w:p>
        </w:tc>
        <w:tc>
          <w:tcPr>
            <w:tcW w:w="1064" w:type="pct"/>
            <w:vAlign w:val="center"/>
          </w:tcPr>
          <w:p w14:paraId="749690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较深刻</w:t>
            </w:r>
          </w:p>
          <w:p w14:paraId="1DDF6D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较丰富</w:t>
            </w:r>
          </w:p>
          <w:p w14:paraId="0BAE53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较有文采</w:t>
            </w:r>
          </w:p>
          <w:p w14:paraId="523351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较有创意</w:t>
            </w:r>
          </w:p>
        </w:tc>
        <w:tc>
          <w:tcPr>
            <w:tcW w:w="1116" w:type="pct"/>
            <w:vAlign w:val="center"/>
          </w:tcPr>
          <w:p w14:paraId="5A022B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略显深刻</w:t>
            </w:r>
          </w:p>
          <w:p w14:paraId="6943DF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略显丰富</w:t>
            </w:r>
          </w:p>
          <w:p w14:paraId="2CCF1A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略有文采</w:t>
            </w:r>
          </w:p>
          <w:p w14:paraId="6D4295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略有创意</w:t>
            </w:r>
          </w:p>
        </w:tc>
        <w:tc>
          <w:tcPr>
            <w:tcW w:w="1198" w:type="pct"/>
            <w:vAlign w:val="center"/>
          </w:tcPr>
          <w:p w14:paraId="5515FA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个别语句有深意</w:t>
            </w:r>
          </w:p>
          <w:p w14:paraId="29FF0D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个别内容较好</w:t>
            </w:r>
          </w:p>
          <w:p w14:paraId="35BF78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个别语句较精彩</w:t>
            </w:r>
          </w:p>
          <w:p w14:paraId="059CB5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个别地方有新意</w:t>
            </w:r>
          </w:p>
        </w:tc>
      </w:tr>
    </w:tbl>
    <w:p w14:paraId="78381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【补充说明】</w:t>
      </w:r>
    </w:p>
    <w:p w14:paraId="5DCEB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①缺题目扣2分；不足字数，每少50字扣1分；每3个错别字扣1分，重复的不计；标点错误多的，酌情扣分。</w:t>
      </w:r>
    </w:p>
    <w:p w14:paraId="3B994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②抄袭的文章，“基础等级”在四等之内评分；“发展等级”不给分。</w:t>
      </w:r>
    </w:p>
    <w:p w14:paraId="2F2A6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关于字数：600字以上的文章，按评分标准评分，扣字数分(少50个字扣1分);600-400字区间作文，不超过20分，不再扣字数分；200-400字的文章，不超过10分，不再扣字数分；200字以下的文章，不超过5分，不再扣字数分；只写一两句话的，给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～</w:t>
      </w:r>
      <w:r>
        <w:rPr>
          <w:rFonts w:hint="eastAsia" w:ascii="宋体" w:hAnsi="宋体" w:eastAsia="宋体" w:cs="宋体"/>
          <w:sz w:val="24"/>
          <w:szCs w:val="24"/>
        </w:rPr>
        <w:t>2分；只写标题的给1分；完全空白的，评0分。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Bold">
    <w:altName w:val="Times New Roman"/>
    <w:panose1 w:val="020206030500040203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8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6604</Words>
  <Characters>6702</Characters>
  <Paragraphs>193</Paragraphs>
  <TotalTime>17</TotalTime>
  <ScaleCrop>false</ScaleCrop>
  <LinksUpToDate>false</LinksUpToDate>
  <CharactersWithSpaces>6705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2025-08-24T00:48:00Z</dcterms:created>
  <dc:creator>ouloul_</dc:creator>
  <cp:lastModifiedBy>ccccr</cp:lastModifiedBy>
  <cp:lastPrinted>2025-09-18T00:37:19Z</cp:lastPrinted>
  <dcterms:modified xsi:type="dcterms:W3CDTF">2025-09-18T00:38:07Z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A4F645957035414E9F2CF953826C9629_13</vt:lpwstr>
  </property>
  <property fmtid="{D5CDD505-2E9C-101B-9397-08002B2CF9AE}" pid="4" name="KSOTemplateDocerSaveRecord">
    <vt:lpwstr>eyJoZGlkIjoiYjUxZjQzMDNiNDhjODI2OWQ0ZWZmYWQ2NjRiNWFlOGIiLCJ1c2VySWQiOiIzOTU5ODY2MjEifQ==</vt:lpwstr>
  </property>
</Properties>
</file>