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8A64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19055C25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1358610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_说明.docx</w:t>
            </w:r>
          </w:p>
        </w:tc>
      </w:tr>
      <w:tr w14:paraId="101CC0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640970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F13475A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D-12_项目源代码仓库</w:t>
            </w:r>
          </w:p>
        </w:tc>
      </w:tr>
      <w:tr w14:paraId="55A55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0528C6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2018AC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跨模块测试目录</w:t>
            </w:r>
          </w:p>
        </w:tc>
      </w:tr>
      <w:tr w14:paraId="47FAB2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02FB13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3CAFEA9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蓝舒芬</w:t>
            </w:r>
          </w:p>
        </w:tc>
      </w:tr>
      <w:tr w14:paraId="7D3F7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0F1F06B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E4C2C71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 xml:space="preserve"> </w:t>
            </w:r>
            <w:bookmarkStart w:id="0" w:name="_GoBack"/>
            <w:bookmarkEnd w:id="0"/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16</w:t>
            </w:r>
          </w:p>
        </w:tc>
      </w:tr>
    </w:tbl>
    <w:p w14:paraId="295446B3"/>
    <w:p w14:paraId="5B4E95D7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p w14:paraId="7F46877D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建议：integration/  e2e/  perf/</w:t>
      </w:r>
    </w:p>
    <w:p w14:paraId="2E6670FE">
      <w:pPr>
        <w:spacing w:after="40" w:line="348" w:lineRule="auto"/>
        <w:ind w:left="340"/>
      </w:pPr>
      <w:r>
        <w:rPr>
          <w:rFonts w:ascii="微软雅黑" w:hAnsi="微软雅黑" w:eastAsia="微软雅黑"/>
          <w:b/>
          <w:color w:val="1A7A3D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2B2B2B"/>
          <w:sz w:val="21"/>
        </w:rPr>
        <w:t>工具：Pytest / Jest / Playwright / k6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1BAE43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3A204444">
            <w:pPr>
              <w:numPr>
                <w:ilvl w:val="0"/>
                <w:numId w:val="7"/>
              </w:numPr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测试组织方式</w:t>
            </w:r>
          </w:p>
          <w:p w14:paraId="612E128D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项目测试代码分布在两个位置，遵循测试金字塔策略：</w:t>
            </w:r>
          </w:p>
          <w:p w14:paraId="52E408CE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backend/src/test/ —— 单元测试（约占 70%），与源代码同位置存放，由 Maven Surefire 在编译时自动运行</w:t>
            </w:r>
          </w:p>
          <w:p w14:paraId="2408F0DE">
            <w:pPr>
              <w:pStyle w:val="167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tests/ —— 跨模块测试（约占 30%），独立于后端源代码，承载负载测试以及未来的集成测试、端到端测试和安全测试</w:t>
            </w:r>
          </w:p>
          <w:p w14:paraId="4F7E47F0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单元测试</w:t>
            </w:r>
          </w:p>
          <w:p w14:paraId="7AFFA385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位置： backend/src/test/java/cn/edu/bjfu/nekocafe/</w:t>
            </w:r>
          </w:p>
          <w:p w14:paraId="5006E08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统计数据：</w:t>
            </w:r>
          </w:p>
          <w:p w14:paraId="05428E53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测试类：18 个（17 个 ServiceImpl 测试 + 1 个应用启动验证）</w:t>
            </w:r>
          </w:p>
          <w:p w14:paraId="7ADA4B4B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@Test 方法：86 个</w:t>
            </w:r>
          </w:p>
          <w:p w14:paraId="48900FA8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测试代码：约 2410 行</w:t>
            </w:r>
          </w:p>
          <w:p w14:paraId="1B03259E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技术栈：JUnit 5 + Mockito + Spring Boot Test（MockMvc）</w:t>
            </w:r>
          </w:p>
          <w:p w14:paraId="21BE1AD9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运行方式：</w:t>
            </w:r>
          </w:p>
          <w:p w14:paraId="416292F3">
            <w:pPr>
              <w:numPr>
                <w:numId w:val="0"/>
              </w:numPr>
              <w:bidi w:val="0"/>
              <w:ind w:firstLine="48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cd backend &amp;&amp; mvn test</w:t>
            </w:r>
          </w:p>
          <w:p w14:paraId="45F7FC14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已覆盖模块列表：</w:t>
            </w:r>
          </w:p>
          <w:p w14:paraId="7139F1EC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测试类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对应 Service / 职责</w:t>
            </w:r>
          </w:p>
          <w:p w14:paraId="2950D1A5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AuthServiceImplTest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认证 —— 注册/登录/验证码（Redis）</w:t>
            </w:r>
          </w:p>
          <w:p w14:paraId="5241FBCB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UserServiceImplTest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用户管理 —— 实名认证、会员等级与积分</w:t>
            </w:r>
          </w:p>
          <w:p w14:paraId="38B35F0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OrderServiceImplTest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订单管理 —— 创建/取消/支付回调</w:t>
            </w:r>
          </w:p>
          <w:p w14:paraId="71DC6BF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ReservationServiceImplTest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预约 —— 时段选择与防超卖</w:t>
            </w:r>
          </w:p>
          <w:p w14:paraId="083AAC8E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TableServiceImplTest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桌台管理 —— 状态流转 空闲→已预约→已入座→清洁中</w:t>
            </w:r>
          </w:p>
          <w:p w14:paraId="167FBA16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MenuServiceImplTest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菜单管理 —— 分类与上架/下架</w:t>
            </w:r>
          </w:p>
          <w:p w14:paraId="490E42BC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CatServiceImplTest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猫猫档案 —— 分页查询与筛选</w:t>
            </w:r>
          </w:p>
          <w:p w14:paraId="4F1F96B3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StoreServiceImplTest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门店管理 —— 门店信息与图片</w:t>
            </w:r>
          </w:p>
          <w:p w14:paraId="1486BD12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StaffServiceImplTest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员工工作台 —— 接单/派单/进度处理/退款审核</w:t>
            </w:r>
          </w:p>
          <w:p w14:paraId="3896D44F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QueueServiceImplTest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排队管理 —— 等待中→已叫号→已知晓/已过号</w:t>
            </w:r>
          </w:p>
          <w:p w14:paraId="06D930A0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NotificationServiceImplTest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消息通知 —— 广播与个人消息</w:t>
            </w:r>
          </w:p>
          <w:p w14:paraId="12BF14A9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ReviewServiceImplTest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评价管理 —— 评分 + JSONB 标签 + 商家回复</w:t>
            </w:r>
          </w:p>
          <w:p w14:paraId="04AD79A0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CouponServiceImplTest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优惠券 —— 领取/核销/过期</w:t>
            </w:r>
          </w:p>
          <w:p w14:paraId="75209242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DashboardServiceImplTest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数据看板 —— 营收/翻台率/复购率图表</w:t>
            </w:r>
          </w:p>
          <w:p w14:paraId="645BB1CB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HqServiceImplTest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总部运营 —— 多门店数据对比</w:t>
            </w:r>
          </w:p>
          <w:p w14:paraId="68AC66F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ManagerServiceImplTest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店长工作台 —— 门店配置与员工排班</w:t>
            </w:r>
          </w:p>
          <w:p w14:paraId="6F22A9F0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RecommendServiceImplTest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智能推荐 —— 猫咪与菜单个性化推荐</w:t>
            </w:r>
          </w:p>
          <w:p w14:paraId="3E2C647F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NekocafeApplicationTests</w:t>
            </w:r>
            <w:r>
              <w:rPr>
                <w:rFonts w:hint="default"/>
                <w:lang w:val="en-US" w:eastAsia="zh-CN"/>
              </w:rPr>
              <w:tab/>
            </w:r>
            <w:r>
              <w:rPr>
                <w:rFonts w:hint="default"/>
                <w:lang w:val="en-US" w:eastAsia="zh-CN"/>
              </w:rPr>
              <w:t>Spring Boot 上下文启动验证（冒烟测试）</w:t>
            </w:r>
          </w:p>
          <w:p w14:paraId="2A440AC5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负载测试</w:t>
            </w:r>
          </w:p>
          <w:p w14:paraId="45252BA9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位置： tests/loadtest/k6-reservation.js</w:t>
            </w:r>
          </w:p>
          <w:p w14:paraId="2071C88F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工具： Grafana k6（开源负载测试工具，JavaScript 驱动）</w:t>
            </w:r>
          </w:p>
          <w:p w14:paraId="2223A255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场景： 模拟 1000 个并发用户在高峰时段同时发起预约，验证防超卖机制及 API 性能。</w:t>
            </w:r>
          </w:p>
          <w:p w14:paraId="3A62568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施压策略：</w:t>
            </w:r>
          </w:p>
          <w:p w14:paraId="2687BD19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执行器：ramping-vus（渐进式虚拟用户递增）</w:t>
            </w:r>
          </w:p>
          <w:p w14:paraId="78768B98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阶段：20 秒爬升至 1000 VU → 60 秒稳态保持 → 10 秒降至 0</w:t>
            </w:r>
          </w:p>
          <w:p w14:paraId="5C364530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总时长：约 90 秒</w:t>
            </w:r>
          </w:p>
          <w:p w14:paraId="75767FB1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阈值门限（运行后直接判定 PASS/FAIL）：</w:t>
            </w:r>
          </w:p>
          <w:p w14:paraId="5C70A15E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预约接口 P95 延迟 &lt; 350ms</w:t>
            </w:r>
          </w:p>
          <w:p w14:paraId="00F84D5F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服务端真实错误率 &lt; 1%（HTTP 状态码非 200 或 code=500）</w:t>
            </w:r>
          </w:p>
          <w:p w14:paraId="43ADC995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预约成功率 &gt; 90%（防超卖测试时设为 0）</w:t>
            </w:r>
          </w:p>
          <w:p w14:paraId="56FE45C7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HTTP 传输层失败率 &lt; 5%</w:t>
            </w:r>
          </w:p>
          <w:p w14:paraId="1B572614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关键特性：</w:t>
            </w:r>
          </w:p>
          <w:p w14:paraId="6C84B5B5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防超卖模式：FIXED_SLOT=true + TABLE_COUNT=1，所有 VU 同时抢同一桌台，验证仅 1 人成功</w:t>
            </w:r>
          </w:p>
          <w:p w14:paraId="656207F4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前置检查（setup）：主测试前发送探测请求，若 token 过期或服务不可达则立即中止，避免误报通过</w:t>
            </w:r>
          </w:p>
          <w:p w14:paraId="5A1E77B4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业务感知：服务端统一返回 HTTP 200 + body.code，脚本区分真实成功（code=0）、业务拒绝（名额已满）和真实失败（code=500）</w:t>
            </w:r>
          </w:p>
          <w:p w14:paraId="12980675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运行方式：</w:t>
            </w:r>
          </w:p>
          <w:p w14:paraId="396863C1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k6 run -e BASE_URL=http://localhost:8081 -e TOKEN=&lt;JWT&gt; tests/loadtest/k6-reservation.js</w:t>
            </w:r>
          </w:p>
          <w:p w14:paraId="7F31599E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防超卖验证：</w:t>
            </w:r>
          </w:p>
          <w:p w14:paraId="0EBA1EBF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k6 run -e BASE_URL=... -e TOKEN=... -e TABLE_COUNT=1 -e FIXED_SLOT=true -e SUCCESS_RATE_MIN=0 tests/loadtest/k6-reservation.js</w:t>
            </w:r>
          </w:p>
          <w:p w14:paraId="2E415A26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实测结果（本地 Docker Compose，1000 VU）：</w:t>
            </w:r>
          </w:p>
          <w:p w14:paraId="00D06A49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平均响应时间：约 76ms</w:t>
            </w:r>
          </w:p>
          <w:p w14:paraId="233ED1EE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P95 响应时间：约 367ms</w:t>
            </w:r>
          </w:p>
          <w:p w14:paraId="2C20F599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每秒事务数（TPS）：约 230.6</w:t>
            </w:r>
          </w:p>
          <w:p w14:paraId="3A320881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错误率：&lt; 1%（全部阈值通过）</w:t>
            </w:r>
          </w:p>
          <w:p w14:paraId="1C5A2B08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代码覆盖率</w:t>
            </w:r>
          </w:p>
          <w:p w14:paraId="045095D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工具： JaCoCo 0.8.11（通过 Maven Surefire 插件自动集成）</w:t>
            </w:r>
          </w:p>
          <w:p w14:paraId="3831BA66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报告位置： backend/target/site/jacoco/index.html（mvn test 后自动生成）</w:t>
            </w:r>
          </w:p>
          <w:p w14:paraId="49060966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当前指标：</w:t>
            </w:r>
          </w:p>
          <w:p w14:paraId="18A0EB5B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指令覆盖率：73%</w:t>
            </w:r>
          </w:p>
          <w:p w14:paraId="2BF123DC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分支覆盖率：45%</w:t>
            </w:r>
          </w:p>
          <w:p w14:paraId="47BC3FB3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行覆盖率：约 70%</w:t>
            </w:r>
          </w:p>
          <w:p w14:paraId="2DA3319C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方法覆盖率：约 75%</w:t>
            </w:r>
          </w:p>
          <w:p w14:paraId="4425824A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覆盖分布： 主要集中在 service.impl 包（全部 17 个实现类均被覆盖）。Controller 层和 Config 层通过 MockMvc 间接覆盖。分支覆盖率偏低主要原因是异常路径和边界条件覆盖不足，在课程项目阶段可以接受。</w:t>
            </w:r>
          </w:p>
          <w:p w14:paraId="2AB954CB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测试环境</w:t>
            </w:r>
          </w:p>
          <w:tbl>
            <w:tblPr>
              <w:tblStyle w:val="33"/>
              <w:tblW w:w="9530" w:type="dxa"/>
              <w:jc w:val="center"/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4"/>
              <w:gridCol w:w="3392"/>
              <w:gridCol w:w="2572"/>
              <w:gridCol w:w="2132"/>
            </w:tblGrid>
            <w:tr w14:paraId="3071170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631279D0">
                  <w:pPr>
                    <w:spacing w:before="40" w:after="40"/>
                    <w:jc w:val="center"/>
                    <w:rPr>
                      <w:rFonts w:hint="default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服务名称</w:t>
                  </w:r>
                </w:p>
              </w:tc>
              <w:tc>
                <w:tcPr>
                  <w:tcW w:w="3392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7F895D7F">
                  <w:pPr>
                    <w:spacing w:before="40" w:after="40"/>
                    <w:jc w:val="center"/>
                    <w:rPr>
                      <w:rFonts w:hint="eastAsia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镜像</w:t>
                  </w:r>
                </w:p>
              </w:tc>
              <w:tc>
                <w:tcPr>
                  <w:tcW w:w="2572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75CEA3E7">
                  <w:pPr>
                    <w:spacing w:before="40" w:after="40"/>
                    <w:jc w:val="center"/>
                    <w:rPr>
                      <w:rFonts w:hint="default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端口映射</w:t>
                  </w:r>
                </w:p>
              </w:tc>
              <w:tc>
                <w:tcPr>
                  <w:tcW w:w="2132" w:type="dxa"/>
                  <w:tcBorders>
                    <w:top w:val="single" w:color="1A7A3D" w:sz="4" w:space="0"/>
                    <w:left w:val="single" w:color="1A7A3D" w:sz="4" w:space="0"/>
                    <w:bottom w:val="single" w:color="1A7A3D" w:sz="4" w:space="0"/>
                    <w:right w:val="single" w:color="1A7A3D" w:sz="4" w:space="0"/>
                  </w:tcBorders>
                  <w:shd w:val="clear" w:color="auto" w:fill="1A7A3D"/>
                  <w:vAlign w:val="center"/>
                </w:tcPr>
                <w:p w14:paraId="6A2F936F">
                  <w:pPr>
                    <w:spacing w:before="40" w:after="40"/>
                    <w:jc w:val="center"/>
                    <w:rPr>
                      <w:rFonts w:hint="eastAsia" w:eastAsia="微软雅黑"/>
                      <w:lang w:val="en-US" w:eastAsia="zh-CN"/>
                    </w:rPr>
                  </w:pPr>
                  <w:r>
                    <w:rPr>
                      <w:rFonts w:hint="eastAsia" w:eastAsia="微软雅黑"/>
                      <w:b/>
                      <w:color w:val="FFFFFF"/>
                      <w:sz w:val="20"/>
                      <w:lang w:val="en-US" w:eastAsia="zh-CN"/>
                    </w:rPr>
                    <w:t>说明</w:t>
                  </w:r>
                </w:p>
              </w:tc>
            </w:tr>
            <w:tr w14:paraId="1FD6715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07A24FE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单元测试（dev）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5588FC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H2 内存数据库（无持久化，每次运行重置）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37EB89B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Service/Controller 层快速验证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4AA13C2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shd w:val="clear" w:fill="EBEEF2"/>
                      <w:lang w:val="en-US" w:eastAsia="zh-CN" w:bidi="ar"/>
                    </w:rPr>
                    <w:t>mvn test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（自动）</w:t>
                  </w:r>
                </w:p>
              </w:tc>
            </w:tr>
            <w:tr w14:paraId="2B6A92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5AC91E4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压力测试（staging）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2164286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本地 Docker Compose（PostgreSQL + Redis + RabbitMQ）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34AD8A9D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k6 并发预约性能基线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3F0CBC6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手动启动后 </w:t>
                  </w:r>
                  <w:r>
                    <w:rPr>
                      <w:rStyle w:val="137"/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shd w:val="clear" w:fill="EBEEF2"/>
                      <w:lang w:val="en-US" w:eastAsia="zh-CN" w:bidi="ar"/>
                    </w:rPr>
                    <w:t>k6 run</w:t>
                  </w:r>
                </w:p>
              </w:tc>
            </w:tr>
            <w:tr w14:paraId="4869848D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4D32B727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CI 环境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1EFAD2C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GitHub Actions 内置 H2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7EAC516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PR 门禁：编译 + 单元测试通过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FFFFF"/>
                  <w:vAlign w:val="center"/>
                </w:tcPr>
                <w:p w14:paraId="1A255BC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Style w:val="137"/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shd w:val="clear" w:fill="EBEEF2"/>
                      <w:lang w:val="en-US" w:eastAsia="zh-CN" w:bidi="ar"/>
                    </w:rPr>
                    <w:t>push main</w:t>
                  </w: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（自动触发）</w:t>
                  </w:r>
                </w:p>
              </w:tc>
            </w:tr>
            <w:tr w14:paraId="69316F54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434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2B23EBB8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  <w:lang w:val="en-US" w:eastAsia="zh-CN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生产环境（prod）</w:t>
                  </w:r>
                </w:p>
              </w:tc>
              <w:tc>
                <w:tcPr>
                  <w:tcW w:w="339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7B063A64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腾讯云 PostgreSQL + Redis（远程）</w:t>
                  </w:r>
                </w:p>
              </w:tc>
              <w:tc>
                <w:tcPr>
                  <w:tcW w:w="257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5E1DE73E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不直接进行压力测试；仅健康检查</w:t>
                  </w:r>
                </w:p>
              </w:tc>
              <w:tc>
                <w:tcPr>
                  <w:tcW w:w="2132" w:type="dxa"/>
                  <w:tcBorders>
                    <w:top w:val="single" w:color="D0D7D0" w:sz="4" w:space="0"/>
                    <w:left w:val="single" w:color="D0D7D0" w:sz="4" w:space="0"/>
                    <w:bottom w:val="single" w:color="D0D7D0" w:sz="4" w:space="0"/>
                    <w:right w:val="single" w:color="D0D7D0" w:sz="4" w:space="0"/>
                  </w:tcBorders>
                  <w:shd w:val="clear" w:color="auto" w:fill="F2F8F4"/>
                  <w:vAlign w:val="center"/>
                </w:tcPr>
                <w:p w14:paraId="599565AF">
                  <w:pPr>
                    <w:keepNext w:val="0"/>
                    <w:keepLines w:val="0"/>
                    <w:widowControl/>
                    <w:suppressLineNumbers w:val="0"/>
                    <w:spacing w:line="250" w:lineRule="atLeast"/>
                    <w:jc w:val="left"/>
                    <w:rPr>
                      <w:rFonts w:hint="eastAsia" w:ascii="微软雅黑" w:hAnsi="微软雅黑" w:eastAsia="微软雅黑" w:cs="微软雅黑"/>
                      <w:sz w:val="21"/>
                      <w:szCs w:val="21"/>
                    </w:rPr>
                  </w:pPr>
                  <w:r>
                    <w:rPr>
                      <w:rFonts w:hint="eastAsia" w:ascii="微软雅黑" w:hAnsi="微软雅黑" w:eastAsia="微软雅黑" w:cs="微软雅黑"/>
                      <w:i w:val="0"/>
                      <w:iCs w:val="0"/>
                      <w:caps w:val="0"/>
                      <w:color w:val="0F1115"/>
                      <w:spacing w:val="0"/>
                      <w:kern w:val="0"/>
                      <w:sz w:val="21"/>
                      <w:szCs w:val="21"/>
                      <w:lang w:val="en-US" w:eastAsia="zh-CN" w:bidi="ar"/>
                    </w:rPr>
                    <w:t>N/A</w:t>
                  </w:r>
                </w:p>
              </w:tc>
            </w:tr>
          </w:tbl>
          <w:p w14:paraId="5A448192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</w:p>
          <w:p w14:paraId="25CA7B2C">
            <w:pPr>
              <w:numPr>
                <w:ilvl w:val="0"/>
                <w:numId w:val="7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扩展方向</w:t>
            </w:r>
          </w:p>
          <w:p w14:paraId="281F3FAD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本目录可参照 D-06 模板章节扩展以下测试类型：</w:t>
            </w:r>
          </w:p>
          <w:p w14:paraId="5019C1BF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1. 集成测试</w:t>
            </w:r>
          </w:p>
          <w:p w14:paraId="7139432A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integration/ —— 使用 Spring Boot Test + TestRestTemplate，验证多模块协作（如 预约→订单→支付 全链路）</w:t>
            </w:r>
          </w:p>
          <w:p w14:paraId="1B0F31BB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可使用 Testcontainers 拉起真实的 PostgreSQL/Redis 容器，替代 H2 以消除数据库方言差异</w:t>
            </w:r>
          </w:p>
          <w:p w14:paraId="57CDF09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2. 端到端测试</w:t>
            </w:r>
          </w:p>
          <w:p w14:paraId="345456C5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e2e/ —— 使用 Playwright 或 miniprogram-automator 进行微信小程序端到端测试</w:t>
            </w:r>
          </w:p>
          <w:p w14:paraId="4BCAB561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覆盖核心用户旅程：注册→登录→预约→下单→支付→评价</w:t>
            </w:r>
          </w:p>
          <w:p w14:paraId="3CBB3CB7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3. 安全扫描</w:t>
            </w:r>
          </w:p>
          <w:p w14:paraId="00A56AE7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security/ —— 使用 OWASP ZAP / Dependency-Check 检测第三方依赖漏洞</w:t>
            </w:r>
          </w:p>
          <w:p w14:paraId="1F70418D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验证 JWT 认证、SQL 注入防护（MyBatis #{} 绑定）、XSS 过滤</w:t>
            </w:r>
          </w:p>
          <w:p w14:paraId="084D1D90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4. 更多性能场景</w:t>
            </w:r>
          </w:p>
          <w:p w14:paraId="658DA753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perf/ —— 排队叫号压力测试、支付回调并发、RabbitMQ 消息积压测试</w:t>
            </w:r>
          </w:p>
          <w:p w14:paraId="37D74961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fixtures/ —— JSON/SQL 测试数据集，用于可复现的回归测试</w:t>
            </w:r>
          </w:p>
          <w:p w14:paraId="78E3BB55">
            <w:pPr>
              <w:numPr>
                <w:numId w:val="0"/>
              </w:numPr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5. 缺陷与风险管理</w:t>
            </w:r>
          </w:p>
          <w:p w14:paraId="52A8B612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已知局限： 支付接口为 Mock 实现，未对接真实微信支付沙箱，支付安全测试受限</w:t>
            </w:r>
          </w:p>
          <w:p w14:paraId="40FE787B">
            <w:pPr>
              <w:pStyle w:val="167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残余风险： 分支覆盖率 45% 相对偏低，异常路径（Redis 断连、MQ 积压）的容错测试尚未覆盖</w:t>
            </w:r>
          </w:p>
        </w:tc>
      </w:tr>
    </w:tbl>
    <w:p w14:paraId="173B4312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3FBC57"/>
    <w:multiLevelType w:val="singleLevel"/>
    <w:tmpl w:val="D43FBC5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0B25E21"/>
    <w:rsid w:val="4E2B74D5"/>
    <w:rsid w:val="557D02FA"/>
    <w:rsid w:val="62C31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uiPriority w:val="99"/>
  </w:style>
  <w:style w:type="character" w:customStyle="1" w:styleId="139">
    <w:name w:val="Footer Char"/>
    <w:basedOn w:val="133"/>
    <w:link w:val="24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uiPriority w:val="99"/>
  </w:style>
  <w:style w:type="character" w:customStyle="1" w:styleId="148">
    <w:name w:val="Body Text 2 Char"/>
    <w:basedOn w:val="133"/>
    <w:link w:val="28"/>
    <w:uiPriority w:val="99"/>
  </w:style>
  <w:style w:type="character" w:customStyle="1" w:styleId="149">
    <w:name w:val="Body Text 3 Char"/>
    <w:basedOn w:val="133"/>
    <w:link w:val="17"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uiPriority w:val="0"/>
    <w:pPr>
      <w:ind w:firstLine="420" w:firstLineChars="200"/>
    </w:pPr>
    <w:rPr>
      <w:rFonts w:hint="eastAsia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72</Words>
  <Characters>134</Characters>
  <Lines>0</Lines>
  <Paragraphs>0</Paragraphs>
  <TotalTime>1</TotalTime>
  <ScaleCrop>false</ScaleCrop>
  <LinksUpToDate>false</LinksUpToDate>
  <CharactersWithSpaces>150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2026-06-24T07:22:20Z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E24402B971B648A3B0E1F4B665C5C2EF_12</vt:lpwstr>
  </property>
</Properties>
</file>