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27641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D9C320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478441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_说明.docx</w:t>
            </w:r>
          </w:p>
        </w:tc>
      </w:tr>
      <w:tr w14:paraId="6F333B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7FD14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CF489A2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D-12_项目源代码仓库</w:t>
            </w:r>
          </w:p>
        </w:tc>
      </w:tr>
      <w:tr w14:paraId="651AA1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330A060D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53DF7FB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IaC 与运维脚本目录</w:t>
            </w:r>
          </w:p>
        </w:tc>
      </w:tr>
      <w:tr w14:paraId="2992FB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73EFC4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5ADEE3E1">
            <w:pPr>
              <w:spacing w:after="40"/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6906AF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54A0F8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40F54864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 xml:space="preserve">26 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16</w:t>
            </w:r>
            <w:bookmarkStart w:id="0" w:name="_GoBack"/>
            <w:bookmarkEnd w:id="0"/>
          </w:p>
        </w:tc>
      </w:tr>
    </w:tbl>
    <w:p w14:paraId="14796396"/>
    <w:p w14:paraId="527FF46F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p w14:paraId="428E0D60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建议：terraform/  ansible/  k8s/  scripts/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F2CE5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7616C815">
            <w:pPr>
              <w:numPr>
                <w:ilvl w:val="0"/>
                <w:numId w:val="7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基础设施总览</w:t>
            </w:r>
          </w:p>
          <w:p w14:paraId="68221A21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本项目采用“云端数据库+本地容器”的混合部署架构。核心基础设施配置文件位于项目根目录，infra/目录当前用于存放IaC（Infrastructure as Code）相关的说明与扩展脚本。</w:t>
            </w:r>
          </w:p>
          <w:p w14:paraId="7927F818">
            <w:pPr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Docker Compose服务清单</w:t>
            </w:r>
          </w:p>
          <w:tbl>
            <w:tblPr>
              <w:tblStyle w:val="32"/>
              <w:tblW w:w="9530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34"/>
              <w:gridCol w:w="3392"/>
              <w:gridCol w:w="2572"/>
              <w:gridCol w:w="2132"/>
            </w:tblGrid>
            <w:tr w14:paraId="3071170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34" w:type="dxa"/>
                  <w:tcBorders>
                    <w:top w:val="single" w:color="1A7A3D" w:sz="4" w:space="0"/>
                    <w:left w:val="single" w:color="1A7A3D" w:sz="4" w:space="0"/>
                    <w:bottom w:val="single" w:color="1A7A3D" w:sz="4" w:space="0"/>
                    <w:right w:val="single" w:color="1A7A3D" w:sz="4" w:space="0"/>
                  </w:tcBorders>
                  <w:shd w:val="clear" w:color="auto" w:fill="1A7A3D"/>
                  <w:vAlign w:val="center"/>
                </w:tcPr>
                <w:p w14:paraId="631279D0">
                  <w:pPr>
                    <w:spacing w:before="40" w:after="40"/>
                    <w:jc w:val="center"/>
                    <w:rPr>
                      <w:rFonts w:hint="default" w:eastAsia="微软雅黑"/>
                      <w:lang w:val="en-US" w:eastAsia="zh-CN"/>
                    </w:rPr>
                  </w:pPr>
                  <w:r>
                    <w:rPr>
                      <w:rFonts w:hint="eastAsia" w:eastAsia="微软雅黑"/>
                      <w:b/>
                      <w:color w:val="FFFFFF"/>
                      <w:sz w:val="20"/>
                      <w:lang w:val="en-US" w:eastAsia="zh-CN"/>
                    </w:rPr>
                    <w:t>服务名称</w:t>
                  </w:r>
                </w:p>
              </w:tc>
              <w:tc>
                <w:tcPr>
                  <w:tcW w:w="3392" w:type="dxa"/>
                  <w:tcBorders>
                    <w:top w:val="single" w:color="1A7A3D" w:sz="4" w:space="0"/>
                    <w:left w:val="single" w:color="1A7A3D" w:sz="4" w:space="0"/>
                    <w:bottom w:val="single" w:color="1A7A3D" w:sz="4" w:space="0"/>
                    <w:right w:val="single" w:color="1A7A3D" w:sz="4" w:space="0"/>
                  </w:tcBorders>
                  <w:shd w:val="clear" w:color="auto" w:fill="1A7A3D"/>
                  <w:vAlign w:val="center"/>
                </w:tcPr>
                <w:p w14:paraId="7F895D7F">
                  <w:pPr>
                    <w:spacing w:before="40" w:after="40"/>
                    <w:jc w:val="center"/>
                    <w:rPr>
                      <w:rFonts w:hint="eastAsia" w:eastAsia="微软雅黑"/>
                      <w:lang w:val="en-US" w:eastAsia="zh-CN"/>
                    </w:rPr>
                  </w:pPr>
                  <w:r>
                    <w:rPr>
                      <w:rFonts w:hint="eastAsia" w:eastAsia="微软雅黑"/>
                      <w:b/>
                      <w:color w:val="FFFFFF"/>
                      <w:sz w:val="20"/>
                      <w:lang w:val="en-US" w:eastAsia="zh-CN"/>
                    </w:rPr>
                    <w:t>镜像</w:t>
                  </w:r>
                </w:p>
              </w:tc>
              <w:tc>
                <w:tcPr>
                  <w:tcW w:w="2572" w:type="dxa"/>
                  <w:tcBorders>
                    <w:top w:val="single" w:color="1A7A3D" w:sz="4" w:space="0"/>
                    <w:left w:val="single" w:color="1A7A3D" w:sz="4" w:space="0"/>
                    <w:bottom w:val="single" w:color="1A7A3D" w:sz="4" w:space="0"/>
                    <w:right w:val="single" w:color="1A7A3D" w:sz="4" w:space="0"/>
                  </w:tcBorders>
                  <w:shd w:val="clear" w:color="auto" w:fill="1A7A3D"/>
                  <w:vAlign w:val="center"/>
                </w:tcPr>
                <w:p w14:paraId="75CEA3E7">
                  <w:pPr>
                    <w:spacing w:before="40" w:after="40"/>
                    <w:jc w:val="center"/>
                    <w:rPr>
                      <w:rFonts w:hint="default" w:eastAsia="微软雅黑"/>
                      <w:lang w:val="en-US" w:eastAsia="zh-CN"/>
                    </w:rPr>
                  </w:pPr>
                  <w:r>
                    <w:rPr>
                      <w:rFonts w:hint="eastAsia" w:eastAsia="微软雅黑"/>
                      <w:b/>
                      <w:color w:val="FFFFFF"/>
                      <w:sz w:val="20"/>
                      <w:lang w:val="en-US" w:eastAsia="zh-CN"/>
                    </w:rPr>
                    <w:t>端口映射</w:t>
                  </w:r>
                </w:p>
              </w:tc>
              <w:tc>
                <w:tcPr>
                  <w:tcW w:w="2132" w:type="dxa"/>
                  <w:tcBorders>
                    <w:top w:val="single" w:color="1A7A3D" w:sz="4" w:space="0"/>
                    <w:left w:val="single" w:color="1A7A3D" w:sz="4" w:space="0"/>
                    <w:bottom w:val="single" w:color="1A7A3D" w:sz="4" w:space="0"/>
                    <w:right w:val="single" w:color="1A7A3D" w:sz="4" w:space="0"/>
                  </w:tcBorders>
                  <w:shd w:val="clear" w:color="auto" w:fill="1A7A3D"/>
                  <w:vAlign w:val="center"/>
                </w:tcPr>
                <w:p w14:paraId="6A2F936F">
                  <w:pPr>
                    <w:spacing w:before="40" w:after="40"/>
                    <w:jc w:val="center"/>
                    <w:rPr>
                      <w:rFonts w:hint="eastAsia" w:eastAsia="微软雅黑"/>
                      <w:lang w:val="en-US" w:eastAsia="zh-CN"/>
                    </w:rPr>
                  </w:pPr>
                  <w:r>
                    <w:rPr>
                      <w:rFonts w:hint="eastAsia" w:eastAsia="微软雅黑"/>
                      <w:b/>
                      <w:color w:val="FFFFFF"/>
                      <w:sz w:val="20"/>
                      <w:lang w:val="en-US" w:eastAsia="zh-CN"/>
                    </w:rPr>
                    <w:t>说明</w:t>
                  </w:r>
                </w:p>
              </w:tc>
            </w:tr>
            <w:tr w14:paraId="1FD6715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34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07A24FEC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="微软雅黑" w:cs="微软雅黑"/>
                      <w:sz w:val="21"/>
                      <w:szCs w:val="21"/>
                      <w:lang w:val="en-US" w:eastAsia="zh-CN"/>
                    </w:rPr>
                    <w:t>backend</w:t>
                  </w:r>
                </w:p>
              </w:tc>
              <w:tc>
                <w:tcPr>
                  <w:tcW w:w="339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75588FCD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  <w:t>yuuui2026/nekocafe:latest</w:t>
                  </w:r>
                </w:p>
              </w:tc>
              <w:tc>
                <w:tcPr>
                  <w:tcW w:w="257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737EB89B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  <w:t>8081:8081</w:t>
                  </w:r>
                </w:p>
              </w:tc>
              <w:tc>
                <w:tcPr>
                  <w:tcW w:w="213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4AA13C2E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  <w:t>Spring Boot API</w:t>
                  </w:r>
                </w:p>
              </w:tc>
            </w:tr>
            <w:tr w14:paraId="2B6A927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34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5AC91E4E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default" w:ascii="微软雅黑" w:hAnsi="微软雅黑" w:eastAsia="微软雅黑" w:cs="微软雅黑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="微软雅黑" w:cs="微软雅黑"/>
                      <w:sz w:val="21"/>
                      <w:szCs w:val="21"/>
                      <w:lang w:val="en-US" w:eastAsia="zh-CN"/>
                    </w:rPr>
                    <w:t>rabbitmq</w:t>
                  </w:r>
                </w:p>
              </w:tc>
              <w:tc>
                <w:tcPr>
                  <w:tcW w:w="339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2164286C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  <w:t>rabbitmq:3.13-management</w:t>
                  </w:r>
                </w:p>
              </w:tc>
              <w:tc>
                <w:tcPr>
                  <w:tcW w:w="257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34AD8A9D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  <w:t>5672:5672,15672:15672</w:t>
                  </w:r>
                </w:p>
              </w:tc>
              <w:tc>
                <w:tcPr>
                  <w:tcW w:w="213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3F0CBC64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  <w:t>消息队列+管理面板</w:t>
                  </w:r>
                </w:p>
              </w:tc>
            </w:tr>
            <w:tr w14:paraId="486984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34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4D32B727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default" w:ascii="微软雅黑" w:hAnsi="微软雅黑" w:eastAsia="微软雅黑" w:cs="微软雅黑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="微软雅黑" w:cs="微软雅黑"/>
                      <w:sz w:val="21"/>
                      <w:szCs w:val="21"/>
                      <w:lang w:val="en-US" w:eastAsia="zh-CN"/>
                    </w:rPr>
                    <w:t>prometheus</w:t>
                  </w:r>
                </w:p>
              </w:tc>
              <w:tc>
                <w:tcPr>
                  <w:tcW w:w="339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71EFAD2C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  <w:t>prom/prometheus</w:t>
                  </w:r>
                </w:p>
              </w:tc>
              <w:tc>
                <w:tcPr>
                  <w:tcW w:w="257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7EAC5164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  <w:t>9090:9090</w:t>
                  </w:r>
                </w:p>
              </w:tc>
              <w:tc>
                <w:tcPr>
                  <w:tcW w:w="213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1A255BCF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  <w:t>指标采集</w:t>
                  </w:r>
                </w:p>
              </w:tc>
            </w:tr>
            <w:tr w14:paraId="69316F5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34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2B23EBB8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default" w:ascii="微软雅黑" w:hAnsi="微软雅黑" w:eastAsia="微软雅黑" w:cs="微软雅黑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eastAsia="微软雅黑" w:cs="微软雅黑"/>
                      <w:sz w:val="21"/>
                      <w:szCs w:val="21"/>
                      <w:lang w:val="en-US" w:eastAsia="zh-CN"/>
                    </w:rPr>
                    <w:t>grafana</w:t>
                  </w:r>
                </w:p>
              </w:tc>
              <w:tc>
                <w:tcPr>
                  <w:tcW w:w="339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7B063A64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  <w:t xml:space="preserve"> grafana/grafana </w:t>
                  </w:r>
                </w:p>
              </w:tc>
              <w:tc>
                <w:tcPr>
                  <w:tcW w:w="257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5E1DE73E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  <w:t xml:space="preserve"> 13000:3000  </w:t>
                  </w:r>
                </w:p>
              </w:tc>
              <w:tc>
                <w:tcPr>
                  <w:tcW w:w="213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599565AF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  <w:t>监控可视化</w:t>
                  </w:r>
                </w:p>
              </w:tc>
            </w:tr>
          </w:tbl>
          <w:p w14:paraId="4984E141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外部依赖（不在 Compose 中）：</w:t>
            </w:r>
          </w:p>
          <w:p w14:paraId="3B25051A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- PostgreSQL 16 - 腾讯云 82.157.130.254:5432</w:t>
            </w:r>
          </w:p>
          <w:p w14:paraId="0FB06E28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- Redis 7 - 同云端部署</w:t>
            </w:r>
          </w:p>
          <w:p w14:paraId="01D97192">
            <w:pPr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CI/CD流水线</w:t>
            </w:r>
          </w:p>
          <w:p w14:paraId="4FE8F6CD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GitHub Actions（.github/workflows/ci.yml）：</w:t>
            </w:r>
          </w:p>
          <w:p w14:paraId="75937965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push main 分支 -&gt; Maven 编译 -&gt; Docker 构建镜像 -&gt; 推送 yuuui2026/nekocafe:latest</w:t>
            </w:r>
          </w:p>
          <w:p w14:paraId="75E05CC3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 服务器端执行：docker compose pull &amp;&amp; docker compose up -d 即可更新。</w:t>
            </w:r>
          </w:p>
          <w:p w14:paraId="6737A741">
            <w:pPr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监控体系</w:t>
            </w:r>
          </w:p>
          <w:p w14:paraId="0EDB33E0">
            <w:pPr>
              <w:numPr>
                <w:ilvl w:val="0"/>
                <w:numId w:val="8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Spring Boot Actuator - 暴露 /actuator/health、/actuator/prometheus</w:t>
            </w:r>
          </w:p>
          <w:p w14:paraId="57BDA438">
            <w:pPr>
              <w:numPr>
                <w:ilvl w:val="0"/>
                <w:numId w:val="8"/>
              </w:num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Prometheus - 每15秒采集 backend:8081/actuator/prometheus</w:t>
            </w:r>
          </w:p>
          <w:p w14:paraId="13AECD67">
            <w:pPr>
              <w:numPr>
                <w:ilvl w:val="0"/>
                <w:numId w:val="8"/>
              </w:num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Grafana - 端口13000，内置 JVM 内存/GC/HTTP/数据库连接池看板</w:t>
            </w:r>
          </w:p>
          <w:p w14:paraId="23BE1FD5">
            <w:pPr>
              <w:numPr>
                <w:ilvl w:val="0"/>
                <w:numId w:val="8"/>
              </w:numPr>
              <w:bidi w:val="0"/>
              <w:ind w:left="0" w:leftChars="0"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告警：Prometheus AlertManager 可扩展接入</w:t>
            </w:r>
          </w:p>
          <w:p w14:paraId="3B4DDAA6">
            <w:pPr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部署步骤</w:t>
            </w:r>
          </w:p>
          <w:p w14:paraId="3C227520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git clone 项目仓库</w:t>
            </w:r>
          </w:p>
          <w:p w14:paraId="5C4D5AD0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配置 .env（数据库连接、JWT 密钥等）</w:t>
            </w:r>
          </w:p>
          <w:p w14:paraId="494C9AD9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docker compose up -d --build</w:t>
            </w:r>
          </w:p>
          <w:p w14:paraId="03E79E34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 验证：docker ps 确认4个容器均 Running</w:t>
            </w:r>
          </w:p>
          <w:p w14:paraId="7101A730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5. 健康检查：curl http://localhost:8081/actuator/health</w:t>
            </w:r>
          </w:p>
          <w:p w14:paraId="1D0D8B42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6. 导入微信小程序代码到微信开发者工具</w:t>
            </w:r>
          </w:p>
          <w:p w14:paraId="0CD29903">
            <w:pPr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扩展方向</w:t>
            </w:r>
          </w:p>
          <w:p w14:paraId="0F5B20B7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本目录未来可补充：</w:t>
            </w:r>
          </w:p>
          <w:p w14:paraId="1E22FA37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 terraform/ - 腾讯云资源编排（CVM/PostgreSQL/Redis 实例）</w:t>
            </w:r>
          </w:p>
          <w:p w14:paraId="002543AC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 k8s/ - Kubernetes Deployment + Service + Ingress 清单</w:t>
            </w:r>
          </w:p>
          <w:p w14:paraId="62CB9E77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 ansible/ - 服务器初始化与配置管理 Playbook</w:t>
            </w:r>
          </w:p>
          <w:p w14:paraId="088BAA3A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- nginx/ - 反向代理与 HTTPS 配置</w:t>
            </w:r>
          </w:p>
        </w:tc>
      </w:tr>
    </w:tbl>
    <w:p w14:paraId="450A9A36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B76510F"/>
    <w:multiLevelType w:val="singleLevel"/>
    <w:tmpl w:val="2B76510F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5C3B2731"/>
    <w:multiLevelType w:val="singleLevel"/>
    <w:tmpl w:val="5C3B2731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2A6233"/>
    <w:rsid w:val="26BE7B20"/>
    <w:rsid w:val="5D8A4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</Words>
  <Characters>117</Characters>
  <Lines>0</Lines>
  <Paragraphs>0</Paragraphs>
  <TotalTime>0</TotalTime>
  <ScaleCrop>false</ScaleCrop>
  <LinksUpToDate>false</LinksUpToDate>
  <CharactersWithSpaces>129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2026-06-24T06:31:58Z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16FF6766180E4062A66B1BD99A56917E_12</vt:lpwstr>
  </property>
</Properties>
</file>