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CN"/>
        <w:spacing w:before="240" w:after="160" w:line="276" w:lineRule="auto"/>
        <w:jc w:val="center"/>
      </w:pPr>
      <w:r>
        <w:rPr>
          <w:rFonts w:ascii="Calibri" w:hAnsi="Calibri" w:eastAsia="微软雅黑"/>
          <w:b/>
          <w:color w:val="213F7D"/>
          <w:sz w:val="44"/>
        </w:rPr>
        <w:t>多模态融合收益阈值模型</w:t>
        <w:br/>
        <w:t>研究规划文档</w:t>
      </w:r>
    </w:p>
    <w:p>
      <w:pPr>
        <w:pStyle w:val="SubtitleCN"/>
        <w:spacing w:before="0" w:after="280" w:line="276" w:lineRule="auto"/>
        <w:jc w:val="center"/>
      </w:pPr>
      <w:r>
        <w:rPr>
          <w:rFonts w:ascii="Calibri" w:hAnsi="Calibri" w:eastAsia="微软雅黑"/>
          <w:b w:val="0"/>
          <w:color w:val="5A5A5A"/>
          <w:sz w:val="22"/>
        </w:rPr>
        <w:t>基于当前 OpenBG-IMG 分析型论文的下一阶段方法化转向方案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518"/>
            <w:vAlign w:val="center"/>
            <w:shd w:fill="F4F7FB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single" w:sz="8" w:space="0" w:color="D6E0F0"/>
              <w:left w:val="single" w:sz="8" w:space="0" w:color="D6E0F0"/>
              <w:bottom w:val="single" w:sz="8" w:space="0" w:color="D6E0F0"/>
              <w:right w:val="single" w:sz="8" w:space="0" w:color="D6E0F0"/>
            </w:tcBorders>
          </w:tcPr>
          <w:p>
            <w:pPr>
              <w:spacing w:before="0" w:after="0" w:line="300" w:lineRule="auto"/>
            </w:pPr>
            <w:r>
              <w:rPr>
                <w:rFonts w:ascii="Calibri" w:hAnsi="Calibri" w:eastAsia="微软雅黑"/>
                <w:b/>
                <w:color w:val="213F7D"/>
                <w:sz w:val="21"/>
              </w:rPr>
              <w:t>文档概览</w:t>
              <w:br/>
            </w:r>
          </w:p>
          <w:p>
            <w:pPr>
              <w:pStyle w:val="CalloutCN"/>
              <w:spacing w:before="0" w:after="40" w:line="300" w:lineRule="auto"/>
            </w:pPr>
            <w:r>
              <w:rPr>
                <w:rFonts w:ascii="Calibri" w:hAnsi="Calibri" w:eastAsia="微软雅黑"/>
                <w:b w:val="0"/>
                <w:color w:val="323232"/>
                <w:sz w:val="21"/>
              </w:rPr>
              <w:t>文档目的：将当前“揭示多模态收益存在边界”的分析型工作，升级为“提出收益预测与自适应启用机制”的方法型研究计划。</w:t>
            </w:r>
          </w:p>
          <w:p>
            <w:pPr>
              <w:pStyle w:val="CalloutCN"/>
              <w:spacing w:before="0" w:after="40" w:line="300" w:lineRule="auto"/>
            </w:pPr>
            <w:r>
              <w:rPr>
                <w:rFonts w:ascii="Calibri" w:hAnsi="Calibri" w:eastAsia="微软雅黑"/>
                <w:b w:val="0"/>
                <w:color w:val="323232"/>
                <w:sz w:val="21"/>
              </w:rPr>
              <w:t>核心方向：学习一个 protocol-aware 的 gain predictor，判断在给定 query / relation / 模态条件下是否值得启用 multimodal fusion，并用阈值机制控制最终的专家选择或分支混合。</w:t>
            </w:r>
          </w:p>
          <w:p>
            <w:pPr>
              <w:pStyle w:val="CalloutCN"/>
              <w:spacing w:before="0" w:after="40" w:line="300" w:lineRule="auto"/>
            </w:pPr>
            <w:r>
              <w:rPr>
                <w:rFonts w:ascii="Calibri" w:hAnsi="Calibri" w:eastAsia="微软雅黑"/>
                <w:b w:val="0"/>
                <w:color w:val="323232"/>
                <w:sz w:val="21"/>
              </w:rPr>
              <w:t>适用场景：与现有 Gate-only、Residual-only、Full Model、统一训练框架、子群分析流程保持兼容，尽量基于现有实验资产快速落地。</w:t>
            </w:r>
          </w:p>
        </w:tc>
      </w:tr>
    </w:tbl>
    <w:p/>
    <w:p>
      <w:pPr>
        <w:pStyle w:val="Heading1"/>
        <w:spacing w:before="200" w:after="120" w:line="288" w:lineRule="auto"/>
      </w:pPr>
      <w:r>
        <w:rPr>
          <w:rFonts w:ascii="Calibri" w:hAnsi="Calibri" w:eastAsia="微软雅黑"/>
          <w:b/>
          <w:color w:val="213F7D"/>
          <w:sz w:val="30"/>
        </w:rPr>
        <w:t>1. 研究背景与转向动因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微软雅黑"/>
          <w:b w:val="0"/>
          <w:sz w:val="21"/>
        </w:rPr>
        <w:t>当前论文已经较系统地证明：在 OpenBG-IMG 的现有 protocol 下，多模态收益并不是全局均匀存在的，而是受到 target-side modality regime、relation condition 以及 branch interaction 的共同制约。换言之，已有工作已经回答了“多模态什么时候有用、为什么其收益难以转化为整体优势”这一分析问题。</w:t>
      </w:r>
    </w:p>
    <w:p>
      <w:pPr>
        <w:spacing w:before="0" w:after="120" w:line="324" w:lineRule="auto"/>
      </w:pPr>
      <w:r>
        <w:rPr>
          <w:rFonts w:ascii="Calibri" w:hAnsi="Calibri" w:eastAsia="微软雅黑"/>
          <w:b w:val="0"/>
          <w:sz w:val="21"/>
        </w:rPr>
        <w:t>但从投稿角度看，当前稿件的主要问题在于：结论停留在“揭示收益边界”，尚未进一步提出相应的解决方案。因此，下一阶段最合理的转向，并不是完全推翻现有工作，而是顺着已有证据继续推进，将“收益边界”显式转化为一个可学习、可决策、可验证的方法问题。</w:t>
      </w:r>
    </w:p>
    <w:p>
      <w:pPr>
        <w:spacing w:before="0" w:after="120" w:line="324" w:lineRule="auto"/>
      </w:pPr>
      <w:r>
        <w:rPr>
          <w:rFonts w:ascii="Calibri" w:hAnsi="Calibri" w:eastAsia="微软雅黑"/>
          <w:b w:val="0"/>
          <w:sz w:val="21"/>
        </w:rPr>
        <w:t>新的核心问题可以表述为：如果 multimodal gain 本身是条件性的、可预测的，那么模型是否应当在所有 query 上一律启用 fusion？更合理的答案应当是：只在预计有收益时启用 fusion，在预计无收益甚至有害时回退到结构专家或轻量语义专家。</w:t>
      </w:r>
    </w:p>
    <w:p>
      <w:pPr>
        <w:pStyle w:val="Heading1"/>
        <w:spacing w:before="200" w:after="120" w:line="288" w:lineRule="auto"/>
      </w:pPr>
      <w:r>
        <w:rPr>
          <w:rFonts w:ascii="Calibri" w:hAnsi="Calibri" w:eastAsia="微软雅黑"/>
          <w:b/>
          <w:color w:val="213F7D"/>
          <w:sz w:val="30"/>
        </w:rPr>
        <w:t>2. 新研究目标与论文定位</w:t>
      </w:r>
    </w:p>
    <w:p>
      <w:pPr>
        <w:pStyle w:val="Heading2"/>
        <w:spacing w:before="160" w:after="80" w:line="276" w:lineRule="auto"/>
      </w:pPr>
      <w:r>
        <w:rPr>
          <w:rFonts w:ascii="Calibri" w:hAnsi="Calibri" w:eastAsia="微软雅黑"/>
          <w:b/>
          <w:color w:val="2D2D2D"/>
          <w:sz w:val="25"/>
        </w:rPr>
        <w:t>2.1 总体目标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微软雅黑"/>
          <w:b w:val="0"/>
          <w:sz w:val="21"/>
        </w:rPr>
        <w:t>构建一个“多模态融合收益阈值模型（multimodal gain threshold model）”，在 query、relation、模态质量与结构不确定性等条件下，预测某次融合是否值得启用，并据此执行自适应的专家选择或分支混合。</w:t>
      </w:r>
    </w:p>
    <w:p>
      <w:pPr>
        <w:pStyle w:val="Heading2"/>
        <w:spacing w:before="160" w:after="80" w:line="276" w:lineRule="auto"/>
      </w:pPr>
      <w:r>
        <w:rPr>
          <w:rFonts w:ascii="Calibri" w:hAnsi="Calibri" w:eastAsia="微软雅黑"/>
          <w:b/>
          <w:color w:val="2D2D2D"/>
          <w:sz w:val="25"/>
        </w:rPr>
        <w:t>2.2 论文定位</w:t>
      </w:r>
    </w:p>
    <w:p>
      <w:pPr>
        <w:spacing w:before="0" w:after="120" w:line="324" w:lineRule="auto"/>
      </w:pPr>
      <w:r>
        <w:rPr>
          <w:rFonts w:ascii="Calibri" w:hAnsi="Calibri" w:eastAsia="微软雅黑"/>
          <w:b w:val="0"/>
          <w:sz w:val="21"/>
        </w:rPr>
        <w:t>这篇新论文不再仅仅强调“多模态收益有边界”，而是进一步提出：在 role-conditioned missing-modality protocol 下，多模态收益是可以被预测和选择性激活的。因此，系统应从 always-fuse 走向 selective-fuse。</w:t>
      </w:r>
    </w:p>
    <w:p>
      <w:pPr>
        <w:pStyle w:val="Heading2"/>
        <w:spacing w:before="160" w:after="80" w:line="276" w:lineRule="auto"/>
      </w:pPr>
      <w:r>
        <w:rPr>
          <w:rFonts w:ascii="Calibri" w:hAnsi="Calibri" w:eastAsia="微软雅黑"/>
          <w:b/>
          <w:color w:val="2D2D2D"/>
          <w:sz w:val="25"/>
        </w:rPr>
        <w:t>2.3 预期贡献</w:t>
      </w:r>
    </w:p>
    <w:p>
      <w:pPr>
        <w:spacing w:before="0" w:after="100" w:line="312" w:lineRule="auto"/>
      </w:pPr>
      <w:r>
        <w:rPr>
          <w:rFonts w:ascii="Calibri" w:hAnsi="Calibri" w:eastAsia="微软雅黑"/>
          <w:b/>
          <w:color w:val="213F7D"/>
          <w:sz w:val="21"/>
        </w:rPr>
        <w:t>（1）问题层面：</w:t>
      </w:r>
      <w:r>
        <w:rPr>
          <w:rFonts w:ascii="Calibri" w:hAnsi="Calibri" w:eastAsia="微软雅黑"/>
          <w:b w:val="0"/>
          <w:sz w:val="21"/>
        </w:rPr>
        <w:t>将 bounded multimodal gain 从经验现象上升为一个显式的决策问题。</w:t>
      </w:r>
    </w:p>
    <w:p>
      <w:pPr>
        <w:spacing w:before="0" w:after="100" w:line="312" w:lineRule="auto"/>
      </w:pPr>
      <w:r>
        <w:rPr>
          <w:rFonts w:ascii="Calibri" w:hAnsi="Calibri" w:eastAsia="微软雅黑"/>
          <w:b/>
          <w:color w:val="213F7D"/>
          <w:sz w:val="21"/>
        </w:rPr>
        <w:t>（2）方法层面：</w:t>
      </w:r>
      <w:r>
        <w:rPr>
          <w:rFonts w:ascii="Calibri" w:hAnsi="Calibri" w:eastAsia="微软雅黑"/>
          <w:b w:val="0"/>
          <w:sz w:val="21"/>
        </w:rPr>
        <w:t>提出 gain predictor + threshold router 的轻量化方法，与现有 MMKGC 框架兼容。</w:t>
      </w:r>
    </w:p>
    <w:p>
      <w:pPr>
        <w:spacing w:before="0" w:after="100" w:line="312" w:lineRule="auto"/>
      </w:pPr>
      <w:r>
        <w:rPr>
          <w:rFonts w:ascii="Calibri" w:hAnsi="Calibri" w:eastAsia="微软雅黑"/>
          <w:b/>
          <w:color w:val="213F7D"/>
          <w:sz w:val="21"/>
        </w:rPr>
        <w:t>（3）实验层面：</w:t>
      </w:r>
      <w:r>
        <w:rPr>
          <w:rFonts w:ascii="Calibri" w:hAnsi="Calibri" w:eastAsia="微软雅黑"/>
          <w:b w:val="0"/>
          <w:sz w:val="21"/>
        </w:rPr>
        <w:t>用 protocol-aware evaluation 验证模型是否真正把 fusion 用在“该用”的地方。</w:t>
      </w:r>
    </w:p>
    <w:p>
      <w:pPr>
        <w:spacing w:before="0" w:after="100" w:line="312" w:lineRule="auto"/>
      </w:pPr>
      <w:r>
        <w:rPr>
          <w:rFonts w:ascii="Calibri" w:hAnsi="Calibri" w:eastAsia="微软雅黑"/>
          <w:b/>
          <w:color w:val="213F7D"/>
          <w:sz w:val="21"/>
        </w:rPr>
        <w:t>（4）分析层面：</w:t>
      </w:r>
      <w:r>
        <w:rPr>
          <w:rFonts w:ascii="Calibri" w:hAnsi="Calibri" w:eastAsia="微软雅黑"/>
          <w:b w:val="0"/>
          <w:sz w:val="21"/>
        </w:rPr>
        <w:t>进一步解释何种特征决定融合收益，以及固定全局混合权重为何不足。</w:t>
      </w:r>
    </w:p>
    <w:p>
      <w:pPr>
        <w:pStyle w:val="Heading1"/>
        <w:spacing w:before="200" w:after="120" w:line="288" w:lineRule="auto"/>
      </w:pPr>
      <w:r>
        <w:rPr>
          <w:rFonts w:ascii="Calibri" w:hAnsi="Calibri" w:eastAsia="微软雅黑"/>
          <w:b/>
          <w:color w:val="213F7D"/>
          <w:sz w:val="30"/>
        </w:rPr>
        <w:t>3. 总体技术路线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微软雅黑"/>
          <w:b w:val="0"/>
          <w:sz w:val="21"/>
        </w:rPr>
        <w:t>建议采用“双专家 + 收益预测器 + 阈值路由器”的总体结构，而不是重新设计一个很重的新模型。这样既能最大化复用现有代码与实验框架，也能让新方法的贡献点更清晰。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3175"/>
        <w:gridCol w:w="4139"/>
      </w:tblGrid>
      <w:tr>
        <w:tc>
          <w:tcPr>
            <w:tcW w:type="dxa" w:w="3173"/>
            <w:shd w:fill="DCE6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13F7D"/>
                <w:sz w:val="21"/>
              </w:rPr>
              <w:t>模块</w:t>
            </w:r>
          </w:p>
        </w:tc>
        <w:tc>
          <w:tcPr>
            <w:tcW w:type="dxa" w:w="3173"/>
            <w:shd w:fill="DCE6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13F7D"/>
                <w:sz w:val="21"/>
              </w:rPr>
              <w:t>建议实现</w:t>
            </w:r>
          </w:p>
        </w:tc>
        <w:tc>
          <w:tcPr>
            <w:tcW w:type="dxa" w:w="3173"/>
            <w:shd w:fill="DCE6F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13F7D"/>
                <w:sz w:val="21"/>
              </w:rPr>
              <w:t>作用说明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Fusion Expert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优先复用 Gate-only 或 Full Model 的 fusion branch</w:t>
            </w:r>
          </w:p>
        </w:tc>
        <w:tc>
          <w:tcPr>
            <w:tcW w:type="dxa" w:w="41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提供 multimodal 表达能力，作为可选增强路径。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Structural Expert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优先使用 Residual-only；必要时可增加 ComplEx 参照</w:t>
            </w:r>
          </w:p>
        </w:tc>
        <w:tc>
          <w:tcPr>
            <w:tcW w:type="dxa" w:w="41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在结构占优或缺图条件下提供稳定表现。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Gain Predictor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MLP / Logistic / XGBoost 等轻量分类器</w:t>
            </w:r>
          </w:p>
        </w:tc>
        <w:tc>
          <w:tcPr>
            <w:tcW w:type="dxa" w:w="41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预测当前 query 是否值得启用 fusion。</w:t>
            </w:r>
          </w:p>
        </w:tc>
      </w:tr>
      <w:tr>
        <w:tc>
          <w:tcPr>
            <w:tcW w:type="dxa" w:w="1701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Threshold Router</w:t>
            </w:r>
          </w:p>
        </w:tc>
        <w:tc>
          <w:tcPr>
            <w:tcW w:type="dxa" w:w="317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硬阈值或软阈值路由</w:t>
            </w:r>
          </w:p>
        </w:tc>
        <w:tc>
          <w:tcPr>
            <w:tcW w:type="dxa" w:w="4139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将预测结果转化为最终的专家选择或分数混合。</w:t>
            </w:r>
          </w:p>
        </w:tc>
      </w:tr>
    </w:tbl>
    <w:p/>
    <w:p>
      <w:pPr>
        <w:pStyle w:val="Heading2"/>
        <w:spacing w:before="160" w:after="80" w:line="276" w:lineRule="auto"/>
      </w:pPr>
      <w:r>
        <w:rPr>
          <w:rFonts w:ascii="Calibri" w:hAnsi="Calibri" w:eastAsia="微软雅黑"/>
          <w:b/>
          <w:color w:val="2D2D2D"/>
          <w:sz w:val="25"/>
        </w:rPr>
        <w:t>3.1 核心推理流程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输入一个待预测 query（例如 (h, r, ?) 或 (?, r, t)）。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同时计算 fusion expert 与 structural expert 的候选打分或中间表示。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从 query、relation、模态质量、结构不确定性和分支冲突中抽取 gain features。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gain predictor 输出一个收益概率 p_gain，表示“启用 fusion 的预期收益”。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threshold router 根据阈值 τ 决定：只用 structural、只用 fusion，或执行条件化混合。</w:t>
      </w:r>
    </w:p>
    <w:p>
      <w:pPr>
        <w:pStyle w:val="Heading2"/>
        <w:spacing w:before="160" w:after="80" w:line="276" w:lineRule="auto"/>
      </w:pPr>
      <w:r>
        <w:rPr>
          <w:rFonts w:ascii="Calibri" w:hAnsi="Calibri" w:eastAsia="微软雅黑"/>
          <w:b/>
          <w:color w:val="2D2D2D"/>
          <w:sz w:val="25"/>
        </w:rPr>
        <w:t>3.2 推荐的最终形式</w:t>
      </w:r>
    </w:p>
    <w:p>
      <w:pPr>
        <w:spacing w:before="0" w:after="120" w:line="324" w:lineRule="auto"/>
      </w:pPr>
      <w:r>
        <w:rPr>
          <w:rFonts w:ascii="Calibri" w:hAnsi="Calibri" w:eastAsia="微软雅黑"/>
          <w:b w:val="0"/>
          <w:sz w:val="21"/>
        </w:rPr>
        <w:t>最推荐的主线形式是 score-level routing：先分别得到两个 expert 的打分，再做条件化选择或加权。这样实现最简单，训练风险最低，也便于做可解释分析。相较之下，representation-level routing 更复杂，适合作为后续扩展而不是首轮主结果。</w:t>
      </w:r>
    </w:p>
    <w:p>
      <w:pPr>
        <w:pStyle w:val="Heading1"/>
        <w:spacing w:before="200" w:after="120" w:line="288" w:lineRule="auto"/>
      </w:pPr>
      <w:r>
        <w:rPr>
          <w:rFonts w:ascii="Calibri" w:hAnsi="Calibri" w:eastAsia="微软雅黑"/>
          <w:b/>
          <w:color w:val="213F7D"/>
          <w:sz w:val="30"/>
        </w:rPr>
        <w:t>4. 模型设计建议</w:t>
      </w:r>
    </w:p>
    <w:p>
      <w:pPr>
        <w:pStyle w:val="Heading2"/>
        <w:spacing w:before="160" w:after="80" w:line="276" w:lineRule="auto"/>
      </w:pPr>
      <w:r>
        <w:rPr>
          <w:rFonts w:ascii="Calibri" w:hAnsi="Calibri" w:eastAsia="微软雅黑"/>
          <w:b/>
          <w:color w:val="2D2D2D"/>
          <w:sz w:val="25"/>
        </w:rPr>
        <w:t>4.1 专家模块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微软雅黑"/>
          <w:b w:val="0"/>
          <w:sz w:val="21"/>
        </w:rPr>
        <w:t>Fusion Expert 建议优先采用 Gate-only，而不是直接用当前 Full Model 作为首选 fusion expert。原因在于：当前 Full Model 内部已经包含 residual-dominant 的全局混合偏好，如果再在外层叠加 router，解释会变得不够干净。Gate-only 更适合代表“纯融合能力”。</w:t>
      </w:r>
    </w:p>
    <w:p>
      <w:pPr>
        <w:spacing w:before="0" w:after="120" w:line="324" w:lineRule="auto"/>
      </w:pPr>
      <w:r>
        <w:rPr>
          <w:rFonts w:ascii="Calibri" w:hAnsi="Calibri" w:eastAsia="微软雅黑"/>
          <w:b w:val="0"/>
          <w:sz w:val="21"/>
        </w:rPr>
        <w:t>Structural Expert 建议优先采用 Residual-only，因为它在当前 setting 下表现最强，也最能代表“结构补偿/结构回退”的稳定路径。ComplEx 则可以作为额外对照，以说明路由并不是只对内部家族模型有效。</w:t>
      </w:r>
    </w:p>
    <w:p>
      <w:pPr>
        <w:pStyle w:val="Heading2"/>
        <w:spacing w:before="160" w:after="80" w:line="276" w:lineRule="auto"/>
      </w:pPr>
      <w:r>
        <w:rPr>
          <w:rFonts w:ascii="Calibri" w:hAnsi="Calibri" w:eastAsia="微软雅黑"/>
          <w:b/>
          <w:color w:val="2D2D2D"/>
          <w:sz w:val="25"/>
        </w:rPr>
        <w:t>4.2 Gain Predictor 的输入特征</w:t>
      </w:r>
    </w:p>
    <w:p>
      <w:pPr>
        <w:pStyle w:val="Heading3"/>
        <w:spacing w:before="120" w:after="40" w:line="264" w:lineRule="auto"/>
      </w:pPr>
      <w:r>
        <w:rPr>
          <w:rFonts w:ascii="Calibri" w:hAnsi="Calibri" w:eastAsia="微软雅黑"/>
          <w:b/>
          <w:color w:val="464646"/>
          <w:sz w:val="22"/>
        </w:rPr>
        <w:t>（a）模态质量特征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has_img / no_img；missing-image replacement 标记。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文本嵌入与图像嵌入的余弦相似度。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图像嵌入范数、文本嵌入范数、跨模态差异度。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可选：图像质量分数、CLIP 对齐得分、异常样本分数。</w:t>
      </w:r>
    </w:p>
    <w:p>
      <w:pPr>
        <w:pStyle w:val="Heading3"/>
        <w:spacing w:before="120" w:after="40" w:line="264" w:lineRule="auto"/>
      </w:pPr>
      <w:r>
        <w:rPr>
          <w:rFonts w:ascii="Calibri" w:hAnsi="Calibri" w:eastAsia="微软雅黑"/>
          <w:b/>
          <w:color w:val="464646"/>
          <w:sz w:val="22"/>
        </w:rPr>
        <w:t>（b）关系相关性特征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relation id / relation embedding。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relation 所属类别：visual_relations、weak_visual_relations、ambiguous_material_relations。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relation 的历史 multimodal gain 均值或 fusion 胜率。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relation 在 head_has_img / head_no_img / tail_no_img 下的收益分布。</w:t>
      </w:r>
    </w:p>
    <w:p>
      <w:pPr>
        <w:pStyle w:val="Heading3"/>
        <w:spacing w:before="120" w:after="40" w:line="264" w:lineRule="auto"/>
      </w:pPr>
      <w:r>
        <w:rPr>
          <w:rFonts w:ascii="Calibri" w:hAnsi="Calibri" w:eastAsia="微软雅黑"/>
          <w:b/>
          <w:color w:val="464646"/>
          <w:sz w:val="22"/>
        </w:rPr>
        <w:t>（c）任务复杂性与结构不确定性特征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structural expert 的 top-1 与 top-2 score gap。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候选分布熵、预测置信度、rank margin。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relation 的实体度数统计、one-to-many / many-to-one 倾向。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query direction（head prediction / tail prediction）。</w:t>
      </w:r>
    </w:p>
    <w:p>
      <w:pPr>
        <w:pStyle w:val="Heading3"/>
        <w:spacing w:before="120" w:after="40" w:line="264" w:lineRule="auto"/>
      </w:pPr>
      <w:r>
        <w:rPr>
          <w:rFonts w:ascii="Calibri" w:hAnsi="Calibri" w:eastAsia="微软雅黑"/>
          <w:b/>
          <w:color w:val="464646"/>
          <w:sz w:val="22"/>
        </w:rPr>
        <w:t>（d）分支冲突与可靠性特征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fusion score 与 structural score 的差值。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gate mean、gate entropy、两分支表示间的 cosine disagreement。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可选：局部的 mix tendency、projection gradient proxy。</w:t>
      </w:r>
    </w:p>
    <w:p>
      <w:pPr>
        <w:pStyle w:val="Heading2"/>
        <w:spacing w:before="160" w:after="80" w:line="276" w:lineRule="auto"/>
      </w:pPr>
      <w:r>
        <w:rPr>
          <w:rFonts w:ascii="Calibri" w:hAnsi="Calibri" w:eastAsia="微软雅黑"/>
          <w:b/>
          <w:color w:val="2D2D2D"/>
          <w:sz w:val="25"/>
        </w:rPr>
        <w:t>4.3 收益标签（gain label）定义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微软雅黑"/>
          <w:b w:val="0"/>
          <w:sz w:val="21"/>
        </w:rPr>
        <w:t>为了训练 gain predictor，需要把“是否值得融合”定义成一个监督信号。最稳妥的方法，是先固定两个 experts，再在 train/dev 上离线构造 gain label。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二分类标签：若 fusion expert 在某 query 上相较 structural expert 带来显著正收益，则标为 1；否则标为 0。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收益度量可用 reciprocal-rank gain、correct-answer margin gain，或 top-k hit 改善。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建议加入一个小 margin δ，避免把几乎持平的样本错误标成 gain-positive。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禁止基于 test 集反推 gain label，避免信息泄漏。</w:t>
      </w:r>
    </w:p>
    <w:p>
      <w:pPr>
        <w:pStyle w:val="Heading2"/>
        <w:spacing w:before="160" w:after="80" w:line="276" w:lineRule="auto"/>
      </w:pPr>
      <w:r>
        <w:rPr>
          <w:rFonts w:ascii="Calibri" w:hAnsi="Calibri" w:eastAsia="微软雅黑"/>
          <w:b/>
          <w:color w:val="2D2D2D"/>
          <w:sz w:val="25"/>
        </w:rPr>
        <w:t>4.4 路由策略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微软雅黑"/>
          <w:b w:val="0"/>
          <w:sz w:val="21"/>
        </w:rPr>
        <w:t>建议至少实现以下三种形式，并以硬阈值版本作为主结果：</w:t>
      </w:r>
    </w:p>
    <w:p>
      <w:pPr>
        <w:spacing w:before="0" w:after="100" w:line="312" w:lineRule="auto"/>
      </w:pPr>
      <w:r>
        <w:rPr>
          <w:rFonts w:ascii="Calibri" w:hAnsi="Calibri" w:eastAsia="微软雅黑"/>
          <w:b/>
          <w:color w:val="213F7D"/>
          <w:sz w:val="21"/>
        </w:rPr>
        <w:t>规则路由（Rule-based）——</w:t>
      </w:r>
      <w:r>
        <w:rPr>
          <w:rFonts w:ascii="Calibri" w:hAnsi="Calibri" w:eastAsia="微软雅黑"/>
          <w:b w:val="0"/>
          <w:sz w:val="21"/>
        </w:rPr>
        <w:t>例如“有图才允许 fusion”或“仅在特定 relation 上启用 fusion”，作为弱基线。</w:t>
      </w:r>
    </w:p>
    <w:p>
      <w:pPr>
        <w:spacing w:before="0" w:after="100" w:line="312" w:lineRule="auto"/>
      </w:pPr>
      <w:r>
        <w:rPr>
          <w:rFonts w:ascii="Calibri" w:hAnsi="Calibri" w:eastAsia="微软雅黑"/>
          <w:b/>
          <w:color w:val="213F7D"/>
          <w:sz w:val="21"/>
        </w:rPr>
        <w:t>硬路由（Hard Threshold）——</w:t>
      </w:r>
      <w:r>
        <w:rPr>
          <w:rFonts w:ascii="Calibri" w:hAnsi="Calibri" w:eastAsia="微软雅黑"/>
          <w:b w:val="0"/>
          <w:sz w:val="21"/>
        </w:rPr>
        <w:t>当 p_gain &gt; τ 时选 fusion，否则选 structural。</w:t>
      </w:r>
    </w:p>
    <w:p>
      <w:pPr>
        <w:spacing w:before="0" w:after="100" w:line="312" w:lineRule="auto"/>
      </w:pPr>
      <w:r>
        <w:rPr>
          <w:rFonts w:ascii="Calibri" w:hAnsi="Calibri" w:eastAsia="微软雅黑"/>
          <w:b/>
          <w:color w:val="213F7D"/>
          <w:sz w:val="21"/>
        </w:rPr>
        <w:t>混合（Soft Threshold）——</w:t>
      </w:r>
      <w:r>
        <w:rPr>
          <w:rFonts w:ascii="Calibri" w:hAnsi="Calibri" w:eastAsia="微软雅黑"/>
          <w:b w:val="0"/>
          <w:sz w:val="21"/>
        </w:rPr>
        <w:t>将 p_gain 转为连续权重 α，实现平滑过渡，作为增强版本。</w:t>
      </w:r>
    </w:p>
    <w:p>
      <w:pPr>
        <w:pStyle w:val="Heading1"/>
        <w:spacing w:before="200" w:after="120" w:line="288" w:lineRule="auto"/>
      </w:pPr>
      <w:r>
        <w:rPr>
          <w:rFonts w:ascii="Calibri" w:hAnsi="Calibri" w:eastAsia="微软雅黑"/>
          <w:b/>
          <w:color w:val="213F7D"/>
          <w:sz w:val="30"/>
        </w:rPr>
        <w:t>5. 训练与实现流程</w:t>
      </w:r>
    </w:p>
    <w:p>
      <w:pPr>
        <w:pStyle w:val="Heading2"/>
        <w:spacing w:before="160" w:after="80" w:line="276" w:lineRule="auto"/>
      </w:pPr>
      <w:r>
        <w:rPr>
          <w:rFonts w:ascii="Calibri" w:hAnsi="Calibri" w:eastAsia="微软雅黑"/>
          <w:b/>
          <w:color w:val="2D2D2D"/>
          <w:sz w:val="25"/>
        </w:rPr>
        <w:t>5.1 两阶段训练方案</w:t>
      </w:r>
    </w:p>
    <w:p>
      <w:pPr>
        <w:spacing w:before="0" w:after="100" w:line="312" w:lineRule="auto"/>
      </w:pPr>
      <w:r>
        <w:rPr>
          <w:rFonts w:ascii="Calibri" w:hAnsi="Calibri" w:eastAsia="微软雅黑"/>
          <w:b/>
          <w:color w:val="213F7D"/>
          <w:sz w:val="21"/>
        </w:rPr>
        <w:t>阶段 A：</w:t>
      </w:r>
      <w:r>
        <w:rPr>
          <w:rFonts w:ascii="Calibri" w:hAnsi="Calibri" w:eastAsia="微软雅黑"/>
          <w:b w:val="0"/>
          <w:sz w:val="21"/>
        </w:rPr>
        <w:t>先独立训练并固定两个 experts，确保 fusion expert 与 structural expert 均稳定可复现。</w:t>
      </w:r>
    </w:p>
    <w:p>
      <w:pPr>
        <w:spacing w:before="0" w:after="100" w:line="312" w:lineRule="auto"/>
      </w:pPr>
      <w:r>
        <w:rPr>
          <w:rFonts w:ascii="Calibri" w:hAnsi="Calibri" w:eastAsia="微软雅黑"/>
          <w:b/>
          <w:color w:val="213F7D"/>
          <w:sz w:val="21"/>
        </w:rPr>
        <w:t>阶段 B：</w:t>
      </w:r>
      <w:r>
        <w:rPr>
          <w:rFonts w:ascii="Calibri" w:hAnsi="Calibri" w:eastAsia="微软雅黑"/>
          <w:b w:val="0"/>
          <w:sz w:val="21"/>
        </w:rPr>
        <w:t>离线抽取 gain features，构造 gain label，训练 gain predictor。</w:t>
      </w:r>
    </w:p>
    <w:p>
      <w:pPr>
        <w:spacing w:before="0" w:after="100" w:line="312" w:lineRule="auto"/>
      </w:pPr>
      <w:r>
        <w:rPr>
          <w:rFonts w:ascii="Calibri" w:hAnsi="Calibri" w:eastAsia="微软雅黑"/>
          <w:b/>
          <w:color w:val="213F7D"/>
          <w:sz w:val="21"/>
        </w:rPr>
        <w:t>阶段 C：</w:t>
      </w:r>
      <w:r>
        <w:rPr>
          <w:rFonts w:ascii="Calibri" w:hAnsi="Calibri" w:eastAsia="微软雅黑"/>
          <w:b w:val="0"/>
          <w:sz w:val="21"/>
        </w:rPr>
        <w:t>冻结 experts，仅训练 router，并接回最终打分流程。</w:t>
      </w:r>
    </w:p>
    <w:p>
      <w:pPr>
        <w:spacing w:before="0" w:after="100" w:line="312" w:lineRule="auto"/>
      </w:pPr>
      <w:r>
        <w:rPr>
          <w:rFonts w:ascii="Calibri" w:hAnsi="Calibri" w:eastAsia="微软雅黑"/>
          <w:b/>
          <w:color w:val="213F7D"/>
          <w:sz w:val="21"/>
        </w:rPr>
        <w:t>阶段 D（可选）：</w:t>
      </w:r>
      <w:r>
        <w:rPr>
          <w:rFonts w:ascii="Calibri" w:hAnsi="Calibri" w:eastAsia="微软雅黑"/>
          <w:b w:val="0"/>
          <w:sz w:val="21"/>
        </w:rPr>
        <w:t>进行轻量 joint fine-tuning，验证是否还能进一步提升。</w:t>
      </w:r>
    </w:p>
    <w:p>
      <w:pPr>
        <w:pStyle w:val="Heading2"/>
        <w:spacing w:before="160" w:after="80" w:line="276" w:lineRule="auto"/>
      </w:pPr>
      <w:r>
        <w:rPr>
          <w:rFonts w:ascii="Calibri" w:hAnsi="Calibri" w:eastAsia="微软雅黑"/>
          <w:b/>
          <w:color w:val="2D2D2D"/>
          <w:sz w:val="25"/>
        </w:rPr>
        <w:t>5.2 实现优先级建议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第一优先级：Logistic Regression / 小型 MLP + Hard Threshold。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第二优先级：加入 relation prior、uncertainty feature、branch conflict feature。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第三优先级：soft routing、representation-level routing、joint fine-tuning。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不建议一开始就做复杂端到端训练，否则很容易增加变量、削弱论证。</w:t>
      </w:r>
    </w:p>
    <w:p>
      <w:pPr>
        <w:pStyle w:val="Heading1"/>
        <w:spacing w:before="200" w:after="120" w:line="288" w:lineRule="auto"/>
      </w:pPr>
      <w:r>
        <w:rPr>
          <w:rFonts w:ascii="Calibri" w:hAnsi="Calibri" w:eastAsia="微软雅黑"/>
          <w:b/>
          <w:color w:val="213F7D"/>
          <w:sz w:val="30"/>
        </w:rPr>
        <w:t>6. 实验设计</w:t>
      </w:r>
    </w:p>
    <w:p>
      <w:pPr>
        <w:pStyle w:val="Heading2"/>
        <w:spacing w:before="160" w:after="80" w:line="276" w:lineRule="auto"/>
      </w:pPr>
      <w:r>
        <w:rPr>
          <w:rFonts w:ascii="Calibri" w:hAnsi="Calibri" w:eastAsia="微软雅黑"/>
          <w:b/>
          <w:color w:val="2D2D2D"/>
          <w:sz w:val="25"/>
        </w:rPr>
        <w:t>6.1 主结果比较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Always-Structural（Residual-only）。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Always-Fusion（Gate-only）。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Global Mixed Model（当前 Full Model 或固定混合版本）。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Rule-based Selector。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Learned Threshold Router（主方法）。</w:t>
      </w:r>
    </w:p>
    <w:p>
      <w:pPr>
        <w:pStyle w:val="Heading2"/>
        <w:spacing w:before="160" w:after="80" w:line="276" w:lineRule="auto"/>
      </w:pPr>
      <w:r>
        <w:rPr>
          <w:rFonts w:ascii="Calibri" w:hAnsi="Calibri" w:eastAsia="微软雅黑"/>
          <w:b/>
          <w:color w:val="2D2D2D"/>
          <w:sz w:val="25"/>
        </w:rPr>
        <w:t>6.2 必须保留的 protocol-aware evaluation</w:t>
      </w:r>
    </w:p>
    <w:p>
      <w:pPr>
        <w:spacing w:before="0" w:after="120" w:line="324" w:lineRule="auto"/>
        <w:ind w:firstLine="420"/>
      </w:pPr>
      <w:r>
        <w:rPr>
          <w:rFonts w:ascii="Calibri" w:hAnsi="Calibri" w:eastAsia="微软雅黑"/>
          <w:b w:val="0"/>
          <w:sz w:val="21"/>
        </w:rPr>
        <w:t>你当前论文最大的优势之一，就是已经建立起了协议感知的分析框架。因此，新论文绝不能只报 overall MRR，而应继续保留并强化以下评估视角。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子群评估：head_has_img、head_no_img、tail_no_img。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relation-group 评估：visual_relations、weak_visual_relations、ambiguous_material_relations。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行为分析：在哪些条件下 router 选择 fusion，在哪些条件下回退 structural。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coverage-performance 曲线：阈值越高，fusion 覆盖率越低，但单次融合收益是否更高。</w:t>
      </w:r>
    </w:p>
    <w:p>
      <w:pPr>
        <w:pStyle w:val="Heading2"/>
        <w:spacing w:before="160" w:after="80" w:line="276" w:lineRule="auto"/>
      </w:pPr>
      <w:r>
        <w:rPr>
          <w:rFonts w:ascii="Calibri" w:hAnsi="Calibri" w:eastAsia="微软雅黑"/>
          <w:b/>
          <w:color w:val="2D2D2D"/>
          <w:sz w:val="25"/>
        </w:rPr>
        <w:t>6.3 Selector 本身的评估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AUC、F1、Balanced Accuracy、Precision / Recall。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gain-positive 与 gain-negative 样本的不平衡处理。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Calibration 分析：预测的 p_gain 是否与真实收益概率一致。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Feature importance：哪些特征最能决定“值不值得融合”。</w:t>
      </w:r>
    </w:p>
    <w:p>
      <w:pPr>
        <w:pStyle w:val="Heading2"/>
        <w:spacing w:before="160" w:after="80" w:line="276" w:lineRule="auto"/>
      </w:pPr>
      <w:r>
        <w:rPr>
          <w:rFonts w:ascii="Calibri" w:hAnsi="Calibri" w:eastAsia="微软雅黑"/>
          <w:b/>
          <w:color w:val="2D2D2D"/>
          <w:sz w:val="25"/>
        </w:rPr>
        <w:t>6.4 消融实验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只用 has_img 的 heuristic。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has_img + relation prior。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再加入 modal quality 特征。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再加入 uncertainty / branch conflict 特征。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hard routing vs soft routing；score-level vs representation-level。</w:t>
      </w:r>
    </w:p>
    <w:p>
      <w:pPr>
        <w:pStyle w:val="Heading1"/>
        <w:spacing w:before="200" w:after="120" w:line="288" w:lineRule="auto"/>
      </w:pPr>
      <w:r>
        <w:rPr>
          <w:rFonts w:ascii="Calibri" w:hAnsi="Calibri" w:eastAsia="微软雅黑"/>
          <w:b/>
          <w:color w:val="213F7D"/>
          <w:sz w:val="30"/>
        </w:rPr>
        <w:t>7. 风险点与应对策略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3402"/>
        <w:gridCol w:w="3402"/>
      </w:tblGrid>
      <w:tr>
        <w:tc>
          <w:tcPr>
            <w:tcW w:type="dxa" w:w="3173"/>
            <w:shd w:fill="E9EE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13F7D"/>
                <w:sz w:val="20"/>
              </w:rPr>
              <w:t>风险点</w:t>
            </w:r>
          </w:p>
        </w:tc>
        <w:tc>
          <w:tcPr>
            <w:tcW w:type="dxa" w:w="3173"/>
            <w:shd w:fill="E9EE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13F7D"/>
                <w:sz w:val="20"/>
              </w:rPr>
              <w:t>可能问题</w:t>
            </w:r>
          </w:p>
        </w:tc>
        <w:tc>
          <w:tcPr>
            <w:tcW w:type="dxa" w:w="3173"/>
            <w:shd w:fill="E9EEF7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before="0" w:after="0" w:line="276" w:lineRule="auto"/>
              <w:jc w:val="center"/>
            </w:pPr>
            <w:r>
              <w:rPr>
                <w:rFonts w:ascii="Calibri" w:hAnsi="Calibri" w:eastAsia="微软雅黑"/>
                <w:b/>
                <w:color w:val="213F7D"/>
                <w:sz w:val="20"/>
              </w:rPr>
              <w:t>建议应对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退化为简单 heuristic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模型最后只是学会“有图就融合，没图就不用”。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必须证明 relation、quality、uncertainty 等特征也提供了额外价值。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收益标签噪声大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fusion 与 structural 的差距很小，导致标签不稳定。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引入 margin δ；只对高置信样本监督；必要时做 soft label。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实验目标设得过高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若 learned routing 无法大幅超过 Residual-only，论文说服力受限。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把主贡献写成“减少 harmful fusion、保留 localized gain”，而不是“全面击败强结构 baseline”。</w:t>
            </w:r>
          </w:p>
        </w:tc>
      </w:tr>
      <w:tr>
        <w:tc>
          <w:tcPr>
            <w:tcW w:type="dxa" w:w="22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端到端训练过重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训练不稳定，变量太多，难以解释提升来源。</w:t>
            </w:r>
          </w:p>
        </w:tc>
        <w:tc>
          <w:tcPr>
            <w:tcW w:type="dxa" w:w="340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spacing w:before="0" w:after="0" w:line="288" w:lineRule="auto"/>
            </w:pPr>
            <w:r>
              <w:rPr>
                <w:rFonts w:ascii="Calibri" w:hAnsi="Calibri" w:eastAsia="微软雅黑"/>
                <w:b w:val="0"/>
                <w:sz w:val="20"/>
              </w:rPr>
              <w:t>先做冻结 experts 的两阶段方案，把可解释性和可复现性放在首位。</w:t>
            </w:r>
          </w:p>
        </w:tc>
      </w:tr>
    </w:tbl>
    <w:p/>
    <w:p>
      <w:pPr>
        <w:pStyle w:val="Heading1"/>
        <w:spacing w:before="200" w:after="120" w:line="288" w:lineRule="auto"/>
      </w:pPr>
      <w:r>
        <w:rPr>
          <w:rFonts w:ascii="Calibri" w:hAnsi="Calibri" w:eastAsia="微软雅黑"/>
          <w:b/>
          <w:color w:val="213F7D"/>
          <w:sz w:val="30"/>
        </w:rPr>
        <w:t>8. 论文结构建议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Introduction：从 bounded multimodal gain 出发，提出“是否应当总是启用 fusion”的新问题。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Protocol-aware Observation：简洁回顾 OpenBG-IMG 的 role–modality asymmetry 与既有发现。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Method：提出 gain predictor + threshold router。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Experts and Training Pipeline：说明两个 experts、gain label、routing strategy。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Experiments：主结果、selector 评估、子群分析、relation-group、消融。</w:t>
      </w:r>
    </w:p>
    <w:p>
      <w:pPr>
        <w:spacing w:before="0" w:after="80" w:line="307" w:lineRule="auto"/>
        <w:ind w:left="227" w:hanging="198"/>
      </w:pPr>
      <w:r>
        <w:rPr>
          <w:rFonts w:ascii="Calibri" w:hAnsi="Calibri" w:eastAsia="微软雅黑"/>
          <w:b w:val="0"/>
          <w:sz w:val="21"/>
        </w:rPr>
        <w:t>• Discussion：强调 selective activation 的价值，而不是追求不加条件的全局多模态优势。</w:t>
      </w:r>
    </w:p>
    <w:p>
      <w:pPr>
        <w:pStyle w:val="Heading1"/>
        <w:spacing w:before="200" w:after="120" w:line="288" w:lineRule="auto"/>
      </w:pPr>
      <w:r>
        <w:rPr>
          <w:rFonts w:ascii="Calibri" w:hAnsi="Calibri" w:eastAsia="微软雅黑"/>
          <w:b/>
          <w:color w:val="213F7D"/>
          <w:sz w:val="30"/>
        </w:rPr>
        <w:t>9. 建议的执行顺序</w:t>
      </w:r>
    </w:p>
    <w:p>
      <w:pPr>
        <w:spacing w:before="0" w:after="100" w:line="312" w:lineRule="auto"/>
      </w:pPr>
      <w:r>
        <w:rPr>
          <w:rFonts w:ascii="Calibri" w:hAnsi="Calibri" w:eastAsia="微软雅黑"/>
          <w:b/>
          <w:color w:val="213F7D"/>
          <w:sz w:val="21"/>
        </w:rPr>
        <w:t>第 1 步：</w:t>
      </w:r>
      <w:r>
        <w:rPr>
          <w:rFonts w:ascii="Calibri" w:hAnsi="Calibri" w:eastAsia="微软雅黑"/>
          <w:b w:val="0"/>
          <w:sz w:val="21"/>
        </w:rPr>
        <w:t>固定 Gate-only 与 Residual-only，导出每个 dev query 的 RR_fuse、RR_struct、ΔRR 及相关特征。</w:t>
      </w:r>
    </w:p>
    <w:p>
      <w:pPr>
        <w:spacing w:before="0" w:after="100" w:line="312" w:lineRule="auto"/>
      </w:pPr>
      <w:r>
        <w:rPr>
          <w:rFonts w:ascii="Calibri" w:hAnsi="Calibri" w:eastAsia="微软雅黑"/>
          <w:b/>
          <w:color w:val="213F7D"/>
          <w:sz w:val="21"/>
        </w:rPr>
        <w:t>第 2 步：</w:t>
      </w:r>
      <w:r>
        <w:rPr>
          <w:rFonts w:ascii="Calibri" w:hAnsi="Calibri" w:eastAsia="微软雅黑"/>
          <w:b w:val="0"/>
          <w:sz w:val="21"/>
        </w:rPr>
        <w:t>先训练一个最简单的 gain predictor，验证它能否区分 gain-positive 与 gain-negative 样本。</w:t>
      </w:r>
    </w:p>
    <w:p>
      <w:pPr>
        <w:spacing w:before="0" w:after="100" w:line="312" w:lineRule="auto"/>
      </w:pPr>
      <w:r>
        <w:rPr>
          <w:rFonts w:ascii="Calibri" w:hAnsi="Calibri" w:eastAsia="微软雅黑"/>
          <w:b/>
          <w:color w:val="213F7D"/>
          <w:sz w:val="21"/>
        </w:rPr>
        <w:t>第 3 步：</w:t>
      </w:r>
      <w:r>
        <w:rPr>
          <w:rFonts w:ascii="Calibri" w:hAnsi="Calibri" w:eastAsia="微软雅黑"/>
          <w:b w:val="0"/>
          <w:sz w:val="21"/>
        </w:rPr>
        <w:t>实现 Hard Threshold Router，先跑 overall + subgroup + coverage curve。</w:t>
      </w:r>
    </w:p>
    <w:p>
      <w:pPr>
        <w:spacing w:before="0" w:after="100" w:line="312" w:lineRule="auto"/>
      </w:pPr>
      <w:r>
        <w:rPr>
          <w:rFonts w:ascii="Calibri" w:hAnsi="Calibri" w:eastAsia="微软雅黑"/>
          <w:b/>
          <w:color w:val="213F7D"/>
          <w:sz w:val="21"/>
        </w:rPr>
        <w:t>第 4 步：</w:t>
      </w:r>
      <w:r>
        <w:rPr>
          <w:rFonts w:ascii="Calibri" w:hAnsi="Calibri" w:eastAsia="微软雅黑"/>
          <w:b w:val="0"/>
          <w:sz w:val="21"/>
        </w:rPr>
        <w:t>补充 rule-based baseline 与 feature ablation。</w:t>
      </w:r>
    </w:p>
    <w:p>
      <w:pPr>
        <w:spacing w:before="0" w:after="100" w:line="312" w:lineRule="auto"/>
      </w:pPr>
      <w:r>
        <w:rPr>
          <w:rFonts w:ascii="Calibri" w:hAnsi="Calibri" w:eastAsia="微软雅黑"/>
          <w:b/>
          <w:color w:val="213F7D"/>
          <w:sz w:val="21"/>
        </w:rPr>
        <w:t>第 5 步：</w:t>
      </w:r>
      <w:r>
        <w:rPr>
          <w:rFonts w:ascii="Calibri" w:hAnsi="Calibri" w:eastAsia="微软雅黑"/>
          <w:b w:val="0"/>
          <w:sz w:val="21"/>
        </w:rPr>
        <w:t>在结果稳定后，再考虑 soft routing 与轻量 joint fine-tuning。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184"/>
      </w:tblGrid>
      <w:tr>
        <w:tc>
          <w:tcPr>
            <w:tcW w:type="dxa" w:w="9518"/>
            <w:vAlign w:val="center"/>
            <w:shd w:fill="F4F7FB"/>
            <w:tcMar>
              <w:top w:w="120" w:type="dxa"/>
              <w:start w:w="180" w:type="dxa"/>
              <w:bottom w:w="120" w:type="dxa"/>
              <w:end w:w="180" w:type="dxa"/>
            </w:tcMar>
            <w:tcBorders>
              <w:top w:val="single" w:sz="8" w:space="0" w:color="D6E0F0"/>
              <w:left w:val="single" w:sz="8" w:space="0" w:color="D6E0F0"/>
              <w:bottom w:val="single" w:sz="8" w:space="0" w:color="D6E0F0"/>
              <w:right w:val="single" w:sz="8" w:space="0" w:color="D6E0F0"/>
            </w:tcBorders>
          </w:tcPr>
          <w:p>
            <w:pPr>
              <w:spacing w:before="0" w:after="40" w:line="300" w:lineRule="auto"/>
            </w:pPr>
            <w:r>
              <w:rPr>
                <w:rFonts w:ascii="Calibri" w:hAnsi="Calibri" w:eastAsia="微软雅黑"/>
                <w:b/>
                <w:color w:val="213F7D"/>
                <w:sz w:val="21"/>
              </w:rPr>
              <w:t>最终建议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微软雅黑"/>
                <w:b w:val="0"/>
                <w:color w:val="323232"/>
                <w:sz w:val="21"/>
              </w:rPr>
              <w:t>结论建议：这项工作更适合做成一篇“小而硬”的方法论文，而不是一个过大、过泛的新框架论文。</w:t>
            </w:r>
          </w:p>
          <w:p>
            <w:pPr>
              <w:spacing w:before="0" w:after="40" w:line="300" w:lineRule="auto"/>
            </w:pPr>
            <w:r>
              <w:rPr>
                <w:rFonts w:ascii="Calibri" w:hAnsi="Calibri" w:eastAsia="微软雅黑"/>
                <w:b w:val="0"/>
                <w:color w:val="323232"/>
                <w:sz w:val="21"/>
              </w:rPr>
              <w:t>最有说服力的贡献表述应当是：在 role-conditioned missing-modality protocol 下，multimodal gain 是可预测的，因此 fusion 不应默认总开，而应被选择性激活。</w:t>
            </w:r>
          </w:p>
        </w:tc>
      </w:tr>
    </w:tbl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213F7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2D2D2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N">
    <w:name w:val="TitleCN"/>
    <w:rPr>
      <w:b/>
      <w:color w:val="213F7D"/>
      <w:sz w:val="44"/>
    </w:rPr>
  </w:style>
  <w:style w:type="paragraph" w:customStyle="1" w:styleId="SubtitleCN">
    <w:name w:val="SubtitleCN"/>
    <w:rPr>
      <w:b w:val="0"/>
      <w:color w:val="5A5A5A"/>
      <w:sz w:val="22"/>
    </w:rPr>
  </w:style>
  <w:style w:type="paragraph" w:customStyle="1" w:styleId="CalloutCN">
    <w:name w:val="CalloutCN"/>
    <w:rPr>
      <w:b w:val="0"/>
      <w:color w:val="323232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