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F42D" w14:textId="77777777" w:rsidR="002B24A3" w:rsidRPr="006B6DDD" w:rsidRDefault="00B10FCB" w:rsidP="00763816">
      <w:pPr>
        <w:pStyle w:val="ListParagraph"/>
        <w:numPr>
          <w:ilvl w:val="0"/>
          <w:numId w:val="1"/>
        </w:numPr>
      </w:pPr>
      <w:r w:rsidRPr="006B6DDD">
        <w:t>States with more inequality were more likely to have higher rates of hate incidents per capita</w:t>
      </w:r>
      <w:r w:rsidR="00B91509" w:rsidRPr="006B6DDD">
        <w:t>. This was true both before and after the election, and the connection held even after we controlled for other relevant variables.</w:t>
      </w:r>
    </w:p>
    <w:p w14:paraId="0F6C1959" w14:textId="77777777" w:rsidR="006B6DDD" w:rsidRPr="006B6DDD" w:rsidRDefault="006B6DDD" w:rsidP="006B6DDD">
      <w:pPr>
        <w:pStyle w:val="ListParagraph"/>
        <w:numPr>
          <w:ilvl w:val="0"/>
          <w:numId w:val="1"/>
        </w:numPr>
      </w:pPr>
      <w:r w:rsidRPr="006B6DDD">
        <w:rPr>
          <w:color w:val="222222"/>
          <w:shd w:val="clear" w:color="auto" w:fill="FFFFFF"/>
        </w:rPr>
        <w:t>The federal government doesn’t track hate crimes systematically (agencies report to the FBI voluntarily), and the Southern Poverty Law Center uses media accounts and people’s self-reports to assess the situation.</w:t>
      </w:r>
    </w:p>
    <w:p w14:paraId="41152B40" w14:textId="77777777" w:rsidR="00CA3563" w:rsidRPr="00CA3563" w:rsidRDefault="00CA3563" w:rsidP="00CA3563">
      <w:pPr>
        <w:pStyle w:val="ListParagraph"/>
        <w:numPr>
          <w:ilvl w:val="0"/>
          <w:numId w:val="1"/>
        </w:numPr>
        <w:rPr>
          <w:color w:val="222222"/>
          <w:shd w:val="clear" w:color="auto" w:fill="FFFFFF"/>
        </w:rPr>
      </w:pPr>
      <w:r w:rsidRPr="00CA3563">
        <w:rPr>
          <w:color w:val="222222"/>
          <w:shd w:val="clear" w:color="auto" w:fill="FFFFFF"/>
        </w:rPr>
        <w:t>Don’t have data from Hawaii</w:t>
      </w:r>
      <w:r>
        <w:rPr>
          <w:color w:val="222222"/>
          <w:shd w:val="clear" w:color="auto" w:fill="FFFFFF"/>
        </w:rPr>
        <w:t>.</w:t>
      </w:r>
    </w:p>
    <w:p w14:paraId="6428FE67" w14:textId="77777777" w:rsidR="00D22B5B" w:rsidRPr="00D22B5B" w:rsidRDefault="004E3B6A" w:rsidP="00D22B5B">
      <w:pPr>
        <w:pStyle w:val="ListParagraph"/>
        <w:numPr>
          <w:ilvl w:val="0"/>
          <w:numId w:val="1"/>
        </w:numPr>
        <w:rPr>
          <w:color w:val="222222"/>
          <w:shd w:val="clear" w:color="auto" w:fill="FFFFFF"/>
        </w:rPr>
      </w:pPr>
      <w:r>
        <w:rPr>
          <w:color w:val="222222"/>
          <w:shd w:val="clear" w:color="auto" w:fill="FFFFFF"/>
        </w:rPr>
        <w:t>Awareness bias: h</w:t>
      </w:r>
      <w:r w:rsidR="00D22B5B" w:rsidRPr="00D22B5B">
        <w:rPr>
          <w:color w:val="222222"/>
          <w:shd w:val="clear" w:color="auto" w:fill="FFFFFF"/>
        </w:rPr>
        <w:t>eightened news coverage of hate incidents after the election may have encouraged people to report incidents that they would not have otherwise reported.</w:t>
      </w:r>
    </w:p>
    <w:p w14:paraId="13B4B28D" w14:textId="77777777" w:rsidR="004401C7" w:rsidRPr="004401C7" w:rsidRDefault="004401C7" w:rsidP="004401C7">
      <w:pPr>
        <w:pStyle w:val="ListParagraph"/>
        <w:numPr>
          <w:ilvl w:val="0"/>
          <w:numId w:val="1"/>
        </w:numPr>
        <w:rPr>
          <w:color w:val="222222"/>
          <w:shd w:val="clear" w:color="auto" w:fill="FFFFFF"/>
        </w:rPr>
      </w:pPr>
      <w:r w:rsidRPr="004401C7">
        <w:rPr>
          <w:color w:val="222222"/>
          <w:shd w:val="clear" w:color="auto" w:fill="FFFFFF"/>
        </w:rPr>
        <w:t>Income inequality was the most significant determinant of population-adjusted hate crimes and hate incidents across the United States — for both pre-election</w:t>
      </w:r>
      <w:r w:rsidRPr="004401C7">
        <w:t> </w:t>
      </w:r>
      <w:r w:rsidRPr="004401C7">
        <w:rPr>
          <w:color w:val="222222"/>
          <w:shd w:val="clear" w:color="auto" w:fill="FFFFFF"/>
        </w:rPr>
        <w:t>and</w:t>
      </w:r>
      <w:r w:rsidRPr="004401C7">
        <w:t> </w:t>
      </w:r>
      <w:r w:rsidRPr="004401C7">
        <w:rPr>
          <w:color w:val="222222"/>
          <w:shd w:val="clear" w:color="auto" w:fill="FFFFFF"/>
        </w:rPr>
        <w:t>post-election data sets.</w:t>
      </w:r>
    </w:p>
    <w:p w14:paraId="16328BBD" w14:textId="77777777" w:rsidR="00E709A9" w:rsidRPr="00E709A9" w:rsidRDefault="00E709A9" w:rsidP="00E709A9">
      <w:pPr>
        <w:pStyle w:val="ListParagraph"/>
        <w:numPr>
          <w:ilvl w:val="0"/>
          <w:numId w:val="1"/>
        </w:numPr>
        <w:rPr>
          <w:color w:val="222222"/>
          <w:shd w:val="clear" w:color="auto" w:fill="FFFFFF"/>
        </w:rPr>
      </w:pPr>
      <w:r w:rsidRPr="00E709A9">
        <w:rPr>
          <w:color w:val="222222"/>
          <w:shd w:val="clear" w:color="auto" w:fill="FFFFFF"/>
        </w:rPr>
        <w:t xml:space="preserve">Only two variables remained significant in both model outputs: income inequality and percent population with a high school degree. </w:t>
      </w:r>
    </w:p>
    <w:p w14:paraId="2C279433" w14:textId="77777777" w:rsidR="00741E92" w:rsidRPr="00741E92" w:rsidRDefault="00741E92" w:rsidP="00741E92">
      <w:pPr>
        <w:pStyle w:val="ListParagraph"/>
        <w:numPr>
          <w:ilvl w:val="0"/>
          <w:numId w:val="1"/>
        </w:numPr>
        <w:rPr>
          <w:color w:val="222222"/>
          <w:shd w:val="clear" w:color="auto" w:fill="FFFFFF"/>
        </w:rPr>
      </w:pPr>
      <w:r w:rsidRPr="00741E92">
        <w:rPr>
          <w:color w:val="222222"/>
          <w:shd w:val="clear" w:color="auto" w:fill="FFFFFF"/>
        </w:rPr>
        <w:t>In an economy</w:t>
      </w:r>
      <w:r w:rsidRPr="00741E92">
        <w:t> </w:t>
      </w:r>
      <w:hyperlink r:id="rId5" w:tgtFrame="_blank" w:history="1">
        <w:r w:rsidRPr="00741E92">
          <w:rPr>
            <w:color w:val="222222"/>
            <w:shd w:val="clear" w:color="auto" w:fill="FFFFFF"/>
          </w:rPr>
          <w:t>that increasingly demands a college degree</w:t>
        </w:r>
      </w:hyperlink>
      <w:r w:rsidRPr="00741E92">
        <w:rPr>
          <w:color w:val="222222"/>
          <w:shd w:val="clear" w:color="auto" w:fill="FFFFFF"/>
        </w:rPr>
        <w:t>, high-school-educated individuals</w:t>
      </w:r>
      <w:r w:rsidRPr="00741E92">
        <w:t> </w:t>
      </w:r>
      <w:hyperlink r:id="rId6" w:history="1">
        <w:r w:rsidRPr="00741E92">
          <w:rPr>
            <w:color w:val="222222"/>
            <w:shd w:val="clear" w:color="auto" w:fill="FFFFFF"/>
          </w:rPr>
          <w:t>aren’t able to earn as much</w:t>
        </w:r>
      </w:hyperlink>
      <w:r w:rsidRPr="00741E92">
        <w:t> </w:t>
      </w:r>
      <w:r w:rsidRPr="00741E92">
        <w:rPr>
          <w:color w:val="222222"/>
          <w:shd w:val="clear" w:color="auto" w:fill="FFFFFF"/>
        </w:rPr>
        <w:t>as their college-educated neighbors.</w:t>
      </w:r>
      <w:r w:rsidRPr="00741E92">
        <w:t> </w:t>
      </w:r>
    </w:p>
    <w:p w14:paraId="056D2765" w14:textId="77777777" w:rsidR="0096372C" w:rsidRPr="000A170D" w:rsidRDefault="0096372C" w:rsidP="0096372C">
      <w:pPr>
        <w:pStyle w:val="ListParagraph"/>
        <w:numPr>
          <w:ilvl w:val="0"/>
          <w:numId w:val="1"/>
        </w:numPr>
        <w:rPr>
          <w:color w:val="222222"/>
          <w:shd w:val="clear" w:color="auto" w:fill="FFFFFF"/>
        </w:rPr>
      </w:pPr>
      <w:r w:rsidRPr="000A170D">
        <w:rPr>
          <w:color w:val="222222"/>
          <w:shd w:val="clear" w:color="auto" w:fill="FFFFFF"/>
        </w:rPr>
        <w:t>Correlation between income inequality and hate crimes or hate incidents doesn’t necessarily imply causation.</w:t>
      </w:r>
      <w:r w:rsidRPr="000A170D">
        <w:t> </w:t>
      </w:r>
    </w:p>
    <w:p w14:paraId="478D1061" w14:textId="77777777" w:rsidR="00C34923" w:rsidRPr="00FF517C" w:rsidRDefault="00C34923" w:rsidP="00C34923">
      <w:pPr>
        <w:pStyle w:val="ListParagraph"/>
        <w:numPr>
          <w:ilvl w:val="0"/>
          <w:numId w:val="1"/>
        </w:numPr>
        <w:rPr>
          <w:color w:val="222222"/>
          <w:shd w:val="clear" w:color="auto" w:fill="FFFFFF"/>
        </w:rPr>
      </w:pPr>
      <w:r w:rsidRPr="00FF517C">
        <w:rPr>
          <w:color w:val="222222"/>
          <w:shd w:val="clear" w:color="auto" w:fill="FFFFFF"/>
        </w:rPr>
        <w:t>It’s possible that whether people report or don’t report these incidents is different among states.</w:t>
      </w:r>
    </w:p>
    <w:p w14:paraId="09BA260B" w14:textId="77777777" w:rsidR="00981D9D" w:rsidRPr="00FF517C" w:rsidRDefault="00981D9D" w:rsidP="00981D9D">
      <w:pPr>
        <w:pStyle w:val="ListParagraph"/>
        <w:numPr>
          <w:ilvl w:val="0"/>
          <w:numId w:val="1"/>
        </w:numPr>
        <w:rPr>
          <w:color w:val="222222"/>
          <w:shd w:val="clear" w:color="auto" w:fill="FFFFFF"/>
        </w:rPr>
      </w:pPr>
      <w:r w:rsidRPr="00FF517C">
        <w:rPr>
          <w:color w:val="222222"/>
          <w:shd w:val="clear" w:color="auto" w:fill="FFFFFF"/>
        </w:rPr>
        <w:t>Promising options include annual National Crime Victimization Survey data from the Bureau of Justice Statistics and post-election hate incident data from</w:t>
      </w:r>
      <w:r w:rsidRPr="00FF517C">
        <w:t> </w:t>
      </w:r>
      <w:hyperlink r:id="rId7" w:history="1">
        <w:r w:rsidRPr="00FF517C">
          <w:rPr>
            <w:color w:val="222222"/>
            <w:shd w:val="clear" w:color="auto" w:fill="FFFFFF"/>
          </w:rPr>
          <w:t>Ushahidi</w:t>
        </w:r>
      </w:hyperlink>
      <w:r w:rsidRPr="00FF517C">
        <w:rPr>
          <w:color w:val="222222"/>
          <w:shd w:val="clear" w:color="auto" w:fill="FFFFFF"/>
        </w:rPr>
        <w:t>, a crowdsourcing platform designed for data collection during times of crisis, which could supplement the FBI and SPLC data sets.</w:t>
      </w:r>
    </w:p>
    <w:p w14:paraId="45522E71" w14:textId="77777777" w:rsidR="00981D9D" w:rsidRPr="00FF517C" w:rsidRDefault="00981D9D" w:rsidP="00981D9D">
      <w:pPr>
        <w:pStyle w:val="ListParagraph"/>
        <w:numPr>
          <w:ilvl w:val="0"/>
          <w:numId w:val="1"/>
        </w:numPr>
        <w:rPr>
          <w:color w:val="222222"/>
          <w:shd w:val="clear" w:color="auto" w:fill="FFFFFF"/>
        </w:rPr>
      </w:pPr>
      <w:r w:rsidRPr="00FF517C">
        <w:rPr>
          <w:color w:val="222222"/>
          <w:shd w:val="clear" w:color="auto" w:fill="FFFFFF"/>
        </w:rPr>
        <w:t>The same factors that were linked to hate incidents before the election were also linked to them afterward.</w:t>
      </w:r>
    </w:p>
    <w:p w14:paraId="7CCC7299" w14:textId="77777777" w:rsidR="006B6DDD" w:rsidRDefault="006B6DDD" w:rsidP="00610B26">
      <w:pPr>
        <w:pStyle w:val="ListParagraph"/>
        <w:rPr>
          <w:color w:val="222222"/>
          <w:shd w:val="clear" w:color="auto" w:fill="FFFFFF"/>
        </w:rPr>
      </w:pPr>
    </w:p>
    <w:p w14:paraId="4A5557B6" w14:textId="77777777" w:rsidR="00610B26" w:rsidRPr="00610B26" w:rsidRDefault="00610B26" w:rsidP="00610B26">
      <w:pPr>
        <w:pStyle w:val="ListParagraph"/>
        <w:rPr>
          <w:b/>
          <w:bCs/>
          <w:color w:val="222222"/>
          <w:shd w:val="clear" w:color="auto" w:fill="FFFFFF"/>
        </w:rPr>
      </w:pPr>
      <w:r w:rsidRPr="00610B26">
        <w:rPr>
          <w:b/>
          <w:bCs/>
          <w:color w:val="222222"/>
          <w:shd w:val="clear" w:color="auto" w:fill="FFFFFF"/>
        </w:rPr>
        <w:t>Hate Crimes, Explained</w:t>
      </w:r>
    </w:p>
    <w:p w14:paraId="4712ABF8" w14:textId="77777777" w:rsidR="008C5478" w:rsidRPr="008C5478" w:rsidRDefault="008C5478" w:rsidP="008C5478">
      <w:pPr>
        <w:pStyle w:val="ListParagraph"/>
        <w:numPr>
          <w:ilvl w:val="0"/>
          <w:numId w:val="1"/>
        </w:numPr>
        <w:rPr>
          <w:color w:val="222222"/>
          <w:shd w:val="clear" w:color="auto" w:fill="FFFFFF"/>
        </w:rPr>
      </w:pPr>
      <w:r w:rsidRPr="008C5478">
        <w:rPr>
          <w:color w:val="222222"/>
          <w:shd w:val="clear" w:color="auto" w:fill="FFFFFF"/>
        </w:rPr>
        <w:t>As</w:t>
      </w:r>
      <w:r w:rsidRPr="008C5478">
        <w:rPr>
          <w:color w:val="222222"/>
        </w:rPr>
        <w:t> </w:t>
      </w:r>
      <w:hyperlink r:id="rId8" w:tgtFrame="_blank" w:history="1">
        <w:r w:rsidRPr="008C5478">
          <w:rPr>
            <w:color w:val="222222"/>
            <w:shd w:val="clear" w:color="auto" w:fill="FFFFFF"/>
          </w:rPr>
          <w:t>defined by the FBI</w:t>
        </w:r>
      </w:hyperlink>
      <w:r w:rsidRPr="008C5478">
        <w:rPr>
          <w:color w:val="222222"/>
          <w:shd w:val="clear" w:color="auto" w:fill="FFFFFF"/>
        </w:rPr>
        <w:t>, a hate crime is a violent or property crime – such as murder, arson, assault or vandalism – that is “motivated in whole or in part by an offender’s bias against a race, religion, disability, sexual orientation, ethnicity, gender, or gender identity.”</w:t>
      </w:r>
    </w:p>
    <w:p w14:paraId="325C348B" w14:textId="77777777" w:rsidR="00633B9E" w:rsidRPr="00186A19" w:rsidRDefault="00633B9E" w:rsidP="00633B9E">
      <w:pPr>
        <w:pStyle w:val="ListParagraph"/>
        <w:numPr>
          <w:ilvl w:val="0"/>
          <w:numId w:val="1"/>
        </w:numPr>
        <w:rPr>
          <w:color w:val="222222"/>
          <w:shd w:val="clear" w:color="auto" w:fill="FFFFFF"/>
        </w:rPr>
      </w:pPr>
      <w:r w:rsidRPr="00186A19">
        <w:rPr>
          <w:color w:val="222222"/>
        </w:rPr>
        <w:t>State l</w:t>
      </w:r>
      <w:r w:rsidRPr="00186A19">
        <w:rPr>
          <w:color w:val="222222"/>
          <w:shd w:val="clear" w:color="auto" w:fill="FFFFFF"/>
        </w:rPr>
        <w:t>aws that enhance penalties for an underlying crime differ in significant ways. All cover bias based on race, ethnicity or religion, but many do not include gender, disability, sexual orientation or gender identity.</w:t>
      </w:r>
    </w:p>
    <w:p w14:paraId="16587E1B" w14:textId="77777777" w:rsidR="004C5D23" w:rsidRPr="00186A19" w:rsidRDefault="004C5D23" w:rsidP="004C5D23">
      <w:pPr>
        <w:pStyle w:val="ListParagraph"/>
        <w:numPr>
          <w:ilvl w:val="0"/>
          <w:numId w:val="1"/>
        </w:numPr>
        <w:rPr>
          <w:color w:val="222222"/>
          <w:shd w:val="clear" w:color="auto" w:fill="FFFFFF"/>
        </w:rPr>
      </w:pPr>
      <w:r w:rsidRPr="00186A19">
        <w:rPr>
          <w:color w:val="222222"/>
          <w:shd w:val="clear" w:color="auto" w:fill="FFFFFF"/>
        </w:rPr>
        <w:t>Racial bias is the motivating factor in most hate crimes, about 60%, according to the National Institute of Justice.</w:t>
      </w:r>
    </w:p>
    <w:p w14:paraId="5BEAA1D5" w14:textId="77777777" w:rsidR="004C5D23" w:rsidRPr="00186A19" w:rsidRDefault="004C5D23" w:rsidP="004C5D23">
      <w:pPr>
        <w:pStyle w:val="ListParagraph"/>
        <w:numPr>
          <w:ilvl w:val="0"/>
          <w:numId w:val="1"/>
        </w:numPr>
        <w:rPr>
          <w:color w:val="222222"/>
          <w:shd w:val="clear" w:color="auto" w:fill="FFFFFF"/>
        </w:rPr>
      </w:pPr>
      <w:r w:rsidRPr="00186A19">
        <w:rPr>
          <w:color w:val="222222"/>
          <w:shd w:val="clear" w:color="auto" w:fill="FFFFFF"/>
        </w:rPr>
        <w:t>Jack McDevitt and Jack Levin classified</w:t>
      </w:r>
      <w:r w:rsidRPr="00186A19">
        <w:rPr>
          <w:color w:val="222222"/>
        </w:rPr>
        <w:t> </w:t>
      </w:r>
      <w:hyperlink r:id="rId9" w:anchor="noteReferrer2" w:tgtFrame="_blank" w:history="1">
        <w:r w:rsidRPr="00186A19">
          <w:rPr>
            <w:color w:val="222222"/>
            <w:shd w:val="clear" w:color="auto" w:fill="FFFFFF"/>
          </w:rPr>
          <w:t>hate offenders</w:t>
        </w:r>
      </w:hyperlink>
      <w:r w:rsidRPr="00186A19">
        <w:rPr>
          <w:color w:val="222222"/>
        </w:rPr>
        <w:t> </w:t>
      </w:r>
      <w:r w:rsidRPr="00186A19">
        <w:rPr>
          <w:color w:val="222222"/>
          <w:shd w:val="clear" w:color="auto" w:fill="FFFFFF"/>
        </w:rPr>
        <w:t>as having four main motivations: thrill-seeking, defensive, retaliatory and mission.</w:t>
      </w:r>
    </w:p>
    <w:p w14:paraId="534F41EB" w14:textId="77777777" w:rsidR="00173943" w:rsidRPr="00186A19" w:rsidRDefault="00173943" w:rsidP="00173943">
      <w:pPr>
        <w:pStyle w:val="ListParagraph"/>
        <w:numPr>
          <w:ilvl w:val="0"/>
          <w:numId w:val="1"/>
        </w:numPr>
        <w:rPr>
          <w:color w:val="222222"/>
          <w:shd w:val="clear" w:color="auto" w:fill="FFFFFF"/>
        </w:rPr>
      </w:pPr>
      <w:r w:rsidRPr="00186A19">
        <w:rPr>
          <w:color w:val="222222"/>
          <w:shd w:val="clear" w:color="auto" w:fill="FFFFFF"/>
        </w:rPr>
        <w:t>In 99% of cases reported to police, hate crime victims</w:t>
      </w:r>
      <w:r w:rsidRPr="00186A19">
        <w:rPr>
          <w:color w:val="222222"/>
        </w:rPr>
        <w:t> </w:t>
      </w:r>
      <w:hyperlink r:id="rId10" w:tgtFrame="_blank" w:history="1">
        <w:r w:rsidRPr="00186A19">
          <w:rPr>
            <w:color w:val="222222"/>
            <w:shd w:val="clear" w:color="auto" w:fill="FFFFFF"/>
          </w:rPr>
          <w:t>cite the language</w:t>
        </w:r>
      </w:hyperlink>
      <w:r w:rsidRPr="00186A19">
        <w:rPr>
          <w:color w:val="222222"/>
        </w:rPr>
        <w:t> </w:t>
      </w:r>
      <w:r w:rsidRPr="00186A19">
        <w:rPr>
          <w:color w:val="222222"/>
          <w:shd w:val="clear" w:color="auto" w:fill="FFFFFF"/>
        </w:rPr>
        <w:t>used by the offenders.</w:t>
      </w:r>
    </w:p>
    <w:p w14:paraId="22A0B089" w14:textId="77777777" w:rsidR="000C2EB3" w:rsidRPr="00186A19" w:rsidRDefault="000C2EB3" w:rsidP="000C2EB3">
      <w:pPr>
        <w:pStyle w:val="ListParagraph"/>
        <w:numPr>
          <w:ilvl w:val="0"/>
          <w:numId w:val="1"/>
        </w:numPr>
        <w:rPr>
          <w:color w:val="222222"/>
          <w:shd w:val="clear" w:color="auto" w:fill="FFFFFF"/>
        </w:rPr>
      </w:pPr>
      <w:r w:rsidRPr="00186A19">
        <w:rPr>
          <w:color w:val="222222"/>
          <w:shd w:val="clear" w:color="auto" w:fill="FFFFFF"/>
        </w:rPr>
        <w:t>Hate crimes are motivated at least in part by an offender’s personal bias and are sometimes committed by nonpolitical youths simply for the thrill of it. Terrorist attacks, on the other hand, are violent acts inspired primarily by extremist beliefs and intended as political or ideological statements.</w:t>
      </w:r>
    </w:p>
    <w:p w14:paraId="09A13B49" w14:textId="77777777" w:rsidR="00186A19" w:rsidRPr="00186A19" w:rsidRDefault="00186A19" w:rsidP="00186A19">
      <w:pPr>
        <w:pStyle w:val="ListParagraph"/>
        <w:numPr>
          <w:ilvl w:val="0"/>
          <w:numId w:val="1"/>
        </w:numPr>
        <w:rPr>
          <w:color w:val="222222"/>
          <w:shd w:val="clear" w:color="auto" w:fill="FFFFFF"/>
        </w:rPr>
      </w:pPr>
      <w:r w:rsidRPr="00186A19">
        <w:rPr>
          <w:color w:val="222222"/>
          <w:shd w:val="clear" w:color="auto" w:fill="FFFFFF"/>
        </w:rPr>
        <w:t xml:space="preserve">It expanded the existing hate crime law to include crimes motivated by a victim’s actual or perceived gender, sexual orientation, gender identity or disability. It required the FBI to add gender and gender identity as categories of hate crimes it tracks. It gave the federal government greater flexibility to prosecute hate crimes that local </w:t>
      </w:r>
      <w:r w:rsidRPr="00186A19">
        <w:rPr>
          <w:color w:val="222222"/>
          <w:shd w:val="clear" w:color="auto" w:fill="FFFFFF"/>
        </w:rPr>
        <w:lastRenderedPageBreak/>
        <w:t>authorities choose not to pursue. And it required the FBI to collect data concerning hate crimes committed by or targeting juveniles. The FBI began collecting this data in 20</w:t>
      </w:r>
      <w:bookmarkStart w:id="0" w:name="OLE_LINK1"/>
      <w:bookmarkStart w:id="1" w:name="OLE_LINK2"/>
      <w:bookmarkStart w:id="2" w:name="OLE_LINK3"/>
      <w:r w:rsidRPr="00186A19">
        <w:rPr>
          <w:color w:val="222222"/>
          <w:shd w:val="clear" w:color="auto" w:fill="FFFFFF"/>
        </w:rPr>
        <w:t>13.</w:t>
      </w:r>
    </w:p>
    <w:p w14:paraId="096C05E3" w14:textId="77777777" w:rsidR="00E613DF" w:rsidRPr="00FC400C" w:rsidRDefault="00E613DF" w:rsidP="00E613DF">
      <w:pPr>
        <w:pStyle w:val="ListParagraph"/>
        <w:numPr>
          <w:ilvl w:val="0"/>
          <w:numId w:val="1"/>
        </w:numPr>
        <w:rPr>
          <w:color w:val="222222"/>
          <w:shd w:val="clear" w:color="auto" w:fill="FFFFFF"/>
        </w:rPr>
      </w:pPr>
      <w:r w:rsidRPr="00FC400C">
        <w:rPr>
          <w:color w:val="222222"/>
          <w:shd w:val="clear" w:color="auto" w:fill="FFFFFF"/>
        </w:rPr>
        <w:t>States differ significantly in their definitions and enforcement of hate crimes.</w:t>
      </w:r>
      <w:r w:rsidRPr="00FC400C">
        <w:rPr>
          <w:color w:val="222222"/>
        </w:rPr>
        <w:t> </w:t>
      </w:r>
    </w:p>
    <w:p w14:paraId="102A88F2" w14:textId="77777777" w:rsidR="00E613DF" w:rsidRPr="00FC400C" w:rsidRDefault="00E613DF" w:rsidP="00E613DF">
      <w:pPr>
        <w:pStyle w:val="ListParagraph"/>
        <w:numPr>
          <w:ilvl w:val="0"/>
          <w:numId w:val="1"/>
        </w:numPr>
        <w:rPr>
          <w:color w:val="222222"/>
          <w:shd w:val="clear" w:color="auto" w:fill="FFFFFF"/>
        </w:rPr>
      </w:pPr>
      <w:r w:rsidRPr="00FC400C">
        <w:rPr>
          <w:color w:val="222222"/>
          <w:shd w:val="clear" w:color="auto" w:fill="FFFFFF"/>
        </w:rPr>
        <w:t>In 2016, about 10% of reported hate crimes occurred on campuses, a category that includes both colleges and elementary and secondary schools.</w:t>
      </w:r>
    </w:p>
    <w:p w14:paraId="4AD45739" w14:textId="77777777" w:rsidR="00E613DF" w:rsidRPr="00FC400C" w:rsidRDefault="00E613DF" w:rsidP="00E613DF">
      <w:pPr>
        <w:pStyle w:val="ListParagraph"/>
        <w:numPr>
          <w:ilvl w:val="0"/>
          <w:numId w:val="1"/>
        </w:numPr>
        <w:rPr>
          <w:color w:val="222222"/>
          <w:shd w:val="clear" w:color="auto" w:fill="FFFFFF"/>
        </w:rPr>
      </w:pPr>
      <w:r w:rsidRPr="00FC400C">
        <w:rPr>
          <w:color w:val="222222"/>
          <w:shd w:val="clear" w:color="auto" w:fill="FFFFFF"/>
        </w:rPr>
        <w:t>Discrepan</w:t>
      </w:r>
      <w:bookmarkStart w:id="3" w:name="_GoBack"/>
      <w:bookmarkEnd w:id="3"/>
      <w:r w:rsidRPr="00FC400C">
        <w:rPr>
          <w:color w:val="222222"/>
          <w:shd w:val="clear" w:color="auto" w:fill="FFFFFF"/>
        </w:rPr>
        <w:t xml:space="preserve">cies </w:t>
      </w:r>
      <w:bookmarkEnd w:id="0"/>
      <w:bookmarkEnd w:id="1"/>
      <w:bookmarkEnd w:id="2"/>
      <w:r w:rsidRPr="00FC400C">
        <w:rPr>
          <w:color w:val="222222"/>
          <w:shd w:val="clear" w:color="auto" w:fill="FFFFFF"/>
        </w:rPr>
        <w:t>in crime statistics and underreporting prevented communities and law enforcement agencies from appropriately addressing safety concerns.</w:t>
      </w:r>
    </w:p>
    <w:p w14:paraId="707D4166" w14:textId="77777777" w:rsidR="00B23703" w:rsidRPr="00B23703" w:rsidRDefault="00FC400C" w:rsidP="00B23703">
      <w:pPr>
        <w:pStyle w:val="ListParagraph"/>
        <w:numPr>
          <w:ilvl w:val="0"/>
          <w:numId w:val="1"/>
        </w:numPr>
        <w:rPr>
          <w:color w:val="222222"/>
          <w:shd w:val="clear" w:color="auto" w:fill="FFFFFF"/>
        </w:rPr>
      </w:pPr>
      <w:r w:rsidRPr="00FC400C">
        <w:rPr>
          <w:color w:val="222222"/>
          <w:shd w:val="clear" w:color="auto" w:fill="FFFFFF"/>
        </w:rPr>
        <w:t>In terms of enforcement, in the United States, states must first create their own hate crime laws, create the structures and training that will lead to their enforcement and the recording of hate crimes or follow a number of steps to delegate responsibility to the Justice Department. These states may elect to report hate crimes or not.</w:t>
      </w:r>
      <w:r w:rsidRPr="00FC400C">
        <w:rPr>
          <w:color w:val="222222"/>
        </w:rPr>
        <w:t> </w:t>
      </w:r>
    </w:p>
    <w:p w14:paraId="6E6927AC" w14:textId="77777777" w:rsidR="00B23703" w:rsidRPr="00B23703" w:rsidRDefault="00B23703" w:rsidP="00B23703">
      <w:pPr>
        <w:pStyle w:val="ListParagraph"/>
        <w:rPr>
          <w:color w:val="222222"/>
          <w:shd w:val="clear" w:color="auto" w:fill="FFFFFF"/>
        </w:rPr>
      </w:pPr>
    </w:p>
    <w:p w14:paraId="1304E2D6" w14:textId="1042D16E" w:rsidR="004F0F24" w:rsidRPr="00B23703" w:rsidRDefault="004F0F24" w:rsidP="00B23703">
      <w:pPr>
        <w:pStyle w:val="ListParagraph"/>
        <w:rPr>
          <w:b/>
          <w:bCs/>
          <w:color w:val="222222"/>
          <w:shd w:val="clear" w:color="auto" w:fill="FFFFFF"/>
        </w:rPr>
      </w:pPr>
      <w:r w:rsidRPr="00B23703">
        <w:rPr>
          <w:b/>
          <w:bCs/>
          <w:color w:val="222222"/>
          <w:shd w:val="clear" w:color="auto" w:fill="FFFFFF"/>
        </w:rPr>
        <w:t>Labor Market</w:t>
      </w:r>
    </w:p>
    <w:p w14:paraId="51BBC6FD" w14:textId="45CCB96E" w:rsidR="004F0F24" w:rsidRPr="00B23703" w:rsidRDefault="004F0F24" w:rsidP="00B23703">
      <w:pPr>
        <w:pStyle w:val="ListParagraph"/>
        <w:numPr>
          <w:ilvl w:val="0"/>
          <w:numId w:val="1"/>
        </w:numPr>
        <w:rPr>
          <w:color w:val="222222"/>
          <w:shd w:val="clear" w:color="auto" w:fill="FFFFFF"/>
        </w:rPr>
      </w:pPr>
      <w:r w:rsidRPr="00B23703">
        <w:rPr>
          <w:color w:val="222222"/>
          <w:shd w:val="clear" w:color="auto" w:fill="FFFFFF"/>
        </w:rPr>
        <w:t xml:space="preserve">In 2018, nearly half (47.7 percent) of the foreign-born labor force was Hispanic, and one-quarter (25.1 percent) was Asian. Hispanics and Asians made up much lower percentages of the native-born labor force, at 11.1 percent and 2.1 percent, respectively. About 16.6 percent of the foreign-born labor force was White and 9.5 percent was Black, compared with 71.7 percent and 12.3 percent, respectively, of the native-born labor force. </w:t>
      </w:r>
    </w:p>
    <w:p w14:paraId="4C21D55C" w14:textId="77777777" w:rsidR="00B23703" w:rsidRPr="00B23703" w:rsidRDefault="00B23703" w:rsidP="006A1FCA">
      <w:pPr>
        <w:pStyle w:val="ListParagraph"/>
        <w:numPr>
          <w:ilvl w:val="0"/>
          <w:numId w:val="1"/>
        </w:numPr>
        <w:rPr>
          <w:color w:val="222222"/>
          <w:shd w:val="clear" w:color="auto" w:fill="FFFFFF"/>
        </w:rPr>
      </w:pPr>
      <w:r w:rsidRPr="00B23703">
        <w:rPr>
          <w:color w:val="222222"/>
          <w:shd w:val="clear" w:color="auto" w:fill="FFFFFF"/>
        </w:rPr>
        <w:t xml:space="preserve">In terms of educational attainment, the proportion of the foreign-born labor force age 25 and over that had not completed high school was 21.2 percent in 2018, much higher than the figure for the native-born labor force, at 4.1 percent. The foreign born were less likely than the native born to have some college or an associate degree—16.8 percent versus 28.9 percent. The proportions for foreign-born and native-born high school graduates (25.1 percent versus 25.6 percent) and those with a bachelor's degree or higher (36.9 percent versus 41.4 percent) were more similar. </w:t>
      </w:r>
    </w:p>
    <w:p w14:paraId="542BEA2C" w14:textId="77777777" w:rsidR="006A1FCA" w:rsidRPr="006A1FCA" w:rsidRDefault="006A1FCA" w:rsidP="006A1FCA">
      <w:pPr>
        <w:pStyle w:val="ListParagraph"/>
        <w:numPr>
          <w:ilvl w:val="0"/>
          <w:numId w:val="1"/>
        </w:numPr>
        <w:rPr>
          <w:color w:val="222222"/>
          <w:shd w:val="clear" w:color="auto" w:fill="FFFFFF"/>
        </w:rPr>
      </w:pPr>
      <w:r w:rsidRPr="006A1FCA">
        <w:rPr>
          <w:color w:val="222222"/>
          <w:shd w:val="clear" w:color="auto" w:fill="FFFFFF"/>
        </w:rPr>
        <w:t xml:space="preserve">Foreign-born men continued to participate in the labor force at a considerably higher rate (77.9 percent) in 2018 than their native-born counterparts (67.3 percent). In contrast, 54.3 percent of foreign-born women were labor force participants, somewhat lower than the rate of 57.6 percent for native-born women. </w:t>
      </w:r>
    </w:p>
    <w:p w14:paraId="17C4EFCA" w14:textId="77777777" w:rsidR="00A17476" w:rsidRPr="009C6964" w:rsidRDefault="00A17476" w:rsidP="009C6964">
      <w:pPr>
        <w:pStyle w:val="ListParagraph"/>
        <w:numPr>
          <w:ilvl w:val="0"/>
          <w:numId w:val="1"/>
        </w:numPr>
        <w:rPr>
          <w:color w:val="222222"/>
          <w:shd w:val="clear" w:color="auto" w:fill="FFFFFF"/>
        </w:rPr>
      </w:pPr>
      <w:r w:rsidRPr="009C6964">
        <w:rPr>
          <w:color w:val="222222"/>
          <w:shd w:val="clear" w:color="auto" w:fill="FFFFFF"/>
        </w:rPr>
        <w:t xml:space="preserve">Labor force participation differences between foreign-born and native-born mothers were greater among those with younger children than among those with older children. </w:t>
      </w:r>
    </w:p>
    <w:p w14:paraId="7DE5F54A" w14:textId="77777777" w:rsidR="009C6964" w:rsidRPr="009C6964" w:rsidRDefault="009C6964" w:rsidP="009C6964">
      <w:pPr>
        <w:pStyle w:val="ListParagraph"/>
        <w:numPr>
          <w:ilvl w:val="0"/>
          <w:numId w:val="1"/>
        </w:numPr>
        <w:rPr>
          <w:color w:val="222222"/>
          <w:shd w:val="clear" w:color="auto" w:fill="FFFFFF"/>
        </w:rPr>
      </w:pPr>
      <w:r w:rsidRPr="009C6964">
        <w:rPr>
          <w:color w:val="222222"/>
          <w:shd w:val="clear" w:color="auto" w:fill="FFFFFF"/>
        </w:rPr>
        <w:t xml:space="preserve">As in past years, native-born workers were more likely than foreign-born workers to be employed in management, professional, and related occupations (41.6 percent versus 32.7 percent) and sales and office occupations (22.9 percent versus 14.9 percent). </w:t>
      </w:r>
    </w:p>
    <w:p w14:paraId="32DBEB8C" w14:textId="18E0F08F" w:rsidR="00571DB4" w:rsidRDefault="00571DB4" w:rsidP="00571DB4">
      <w:pPr>
        <w:pStyle w:val="NormalWeb"/>
        <w:numPr>
          <w:ilvl w:val="0"/>
          <w:numId w:val="1"/>
        </w:numPr>
      </w:pPr>
      <w:r>
        <w:rPr>
          <w:rFonts w:ascii="TimesNewRomanPSMT" w:hAnsi="TimesNewRomanPSMT"/>
        </w:rPr>
        <w:t xml:space="preserve">Among high school graduates (no college), full-time workers who were foreign born earned 83.8 percent as much as their native-born counterparts in 2018. Among those with a bachelor's degree and higher, the earnings of foreign-born workers ($1,362) were slightly higher than the earnings of native-born workers ($1,309). </w:t>
      </w:r>
    </w:p>
    <w:p w14:paraId="1EC71274" w14:textId="6AC6ADCF" w:rsidR="00B10FCB" w:rsidRPr="00837C1B" w:rsidRDefault="00837C1B" w:rsidP="00837C1B">
      <w:pPr>
        <w:ind w:left="360"/>
        <w:rPr>
          <w:b/>
          <w:bCs/>
          <w:color w:val="222222"/>
          <w:shd w:val="clear" w:color="auto" w:fill="FFFFFF"/>
        </w:rPr>
      </w:pPr>
      <w:r w:rsidRPr="00837C1B">
        <w:rPr>
          <w:b/>
          <w:bCs/>
          <w:color w:val="222222"/>
          <w:shd w:val="clear" w:color="auto" w:fill="FFFFFF"/>
        </w:rPr>
        <w:t>FBI Hate Crimes Data</w:t>
      </w:r>
    </w:p>
    <w:p w14:paraId="142C5F10" w14:textId="6C3527E6" w:rsidR="00837C1B" w:rsidRPr="00837C1B" w:rsidRDefault="00837C1B" w:rsidP="00837C1B">
      <w:pPr>
        <w:pStyle w:val="ListParagraph"/>
        <w:numPr>
          <w:ilvl w:val="0"/>
          <w:numId w:val="1"/>
        </w:numPr>
        <w:rPr>
          <w:color w:val="222222"/>
          <w:shd w:val="clear" w:color="auto" w:fill="FFFFFF"/>
        </w:rPr>
      </w:pPr>
      <w:r w:rsidRPr="00837C1B">
        <w:rPr>
          <w:color w:val="222222"/>
          <w:shd w:val="clear" w:color="auto" w:fill="FFFFFF"/>
        </w:rPr>
        <w:t>Of the 6,370 known offenders</w:t>
      </w:r>
    </w:p>
    <w:p w14:paraId="70B78321" w14:textId="77777777" w:rsidR="00837C1B" w:rsidRPr="00837C1B" w:rsidRDefault="00837C1B" w:rsidP="00837C1B">
      <w:pPr>
        <w:pStyle w:val="ListParagraph"/>
        <w:numPr>
          <w:ilvl w:val="1"/>
          <w:numId w:val="1"/>
        </w:numPr>
        <w:rPr>
          <w:color w:val="222222"/>
          <w:shd w:val="clear" w:color="auto" w:fill="FFFFFF"/>
        </w:rPr>
      </w:pPr>
      <w:r w:rsidRPr="00837C1B">
        <w:rPr>
          <w:color w:val="222222"/>
          <w:shd w:val="clear" w:color="auto" w:fill="FFFFFF"/>
        </w:rPr>
        <w:t>50.7% were White</w:t>
      </w:r>
    </w:p>
    <w:p w14:paraId="4B2E73FC" w14:textId="77777777" w:rsidR="00837C1B" w:rsidRPr="00837C1B" w:rsidRDefault="00837C1B" w:rsidP="00837C1B">
      <w:pPr>
        <w:pStyle w:val="ListParagraph"/>
        <w:numPr>
          <w:ilvl w:val="1"/>
          <w:numId w:val="1"/>
        </w:numPr>
        <w:rPr>
          <w:color w:val="222222"/>
          <w:shd w:val="clear" w:color="auto" w:fill="FFFFFF"/>
        </w:rPr>
      </w:pPr>
      <w:r w:rsidRPr="00837C1B">
        <w:rPr>
          <w:color w:val="222222"/>
          <w:shd w:val="clear" w:color="auto" w:fill="FFFFFF"/>
        </w:rPr>
        <w:t>21.3% were Black or African American</w:t>
      </w:r>
    </w:p>
    <w:p w14:paraId="50247312" w14:textId="1C379446" w:rsidR="00837C1B" w:rsidRDefault="00837C1B" w:rsidP="00837C1B">
      <w:pPr>
        <w:pStyle w:val="ListParagraph"/>
        <w:numPr>
          <w:ilvl w:val="1"/>
          <w:numId w:val="1"/>
        </w:numPr>
        <w:rPr>
          <w:rFonts w:ascii="Georgia" w:hAnsi="Georgia"/>
          <w:color w:val="171E24"/>
          <w:sz w:val="20"/>
          <w:szCs w:val="20"/>
        </w:rPr>
      </w:pPr>
      <w:r w:rsidRPr="00837C1B">
        <w:rPr>
          <w:color w:val="222222"/>
          <w:shd w:val="clear" w:color="auto" w:fill="FFFFFF"/>
        </w:rPr>
        <w:t xml:space="preserve">19.1% race </w:t>
      </w:r>
      <w:proofErr w:type="spellStart"/>
      <w:r w:rsidRPr="00837C1B">
        <w:rPr>
          <w:color w:val="222222"/>
          <w:shd w:val="clear" w:color="auto" w:fill="FFFFFF"/>
        </w:rPr>
        <w:t>un</w:t>
      </w:r>
      <w:r>
        <w:rPr>
          <w:rFonts w:ascii="Georgia" w:hAnsi="Georgia"/>
          <w:color w:val="171E24"/>
          <w:sz w:val="20"/>
          <w:szCs w:val="20"/>
        </w:rPr>
        <w:t>known</w:t>
      </w:r>
      <w:r w:rsidR="005344D9">
        <w:rPr>
          <w:rFonts w:ascii="Georgia" w:hAnsi="Georgia"/>
          <w:color w:val="171E24"/>
          <w:sz w:val="20"/>
          <w:szCs w:val="20"/>
        </w:rPr>
        <w:t>a</w:t>
      </w:r>
      <w:proofErr w:type="spellEnd"/>
    </w:p>
    <w:p w14:paraId="3CAB5983" w14:textId="52216553" w:rsidR="00857C96" w:rsidRPr="00857C96" w:rsidRDefault="00857C96" w:rsidP="00857C96">
      <w:pPr>
        <w:pStyle w:val="ListParagraph"/>
        <w:numPr>
          <w:ilvl w:val="0"/>
          <w:numId w:val="1"/>
        </w:numPr>
        <w:rPr>
          <w:color w:val="222222"/>
          <w:shd w:val="clear" w:color="auto" w:fill="FFFFFF"/>
        </w:rPr>
      </w:pPr>
      <w:r w:rsidRPr="00857C96">
        <w:rPr>
          <w:color w:val="222222"/>
          <w:shd w:val="clear" w:color="auto" w:fill="FFFFFF"/>
        </w:rPr>
        <w:t>Of the 5,131 known offenders for whom ethnicity was reported:</w:t>
      </w:r>
    </w:p>
    <w:p w14:paraId="1495D5C0" w14:textId="77777777" w:rsidR="00857C96" w:rsidRPr="00857C96" w:rsidRDefault="00857C96" w:rsidP="00857C96">
      <w:pPr>
        <w:pStyle w:val="ListParagraph"/>
        <w:numPr>
          <w:ilvl w:val="1"/>
          <w:numId w:val="1"/>
        </w:numPr>
        <w:rPr>
          <w:color w:val="222222"/>
          <w:shd w:val="clear" w:color="auto" w:fill="FFFFFF"/>
        </w:rPr>
      </w:pPr>
      <w:r w:rsidRPr="00857C96">
        <w:rPr>
          <w:color w:val="222222"/>
          <w:shd w:val="clear" w:color="auto" w:fill="FFFFFF"/>
        </w:rPr>
        <w:t>25.0% were Not Hispanic or Latino</w:t>
      </w:r>
    </w:p>
    <w:p w14:paraId="5335F473" w14:textId="77777777" w:rsidR="00857C96" w:rsidRPr="00857C96" w:rsidRDefault="00857C96" w:rsidP="00857C96">
      <w:pPr>
        <w:pStyle w:val="ListParagraph"/>
        <w:numPr>
          <w:ilvl w:val="1"/>
          <w:numId w:val="1"/>
        </w:numPr>
        <w:rPr>
          <w:color w:val="222222"/>
          <w:shd w:val="clear" w:color="auto" w:fill="FFFFFF"/>
        </w:rPr>
      </w:pPr>
      <w:r w:rsidRPr="00857C96">
        <w:rPr>
          <w:color w:val="222222"/>
          <w:shd w:val="clear" w:color="auto" w:fill="FFFFFF"/>
        </w:rPr>
        <w:lastRenderedPageBreak/>
        <w:t>8.8% were Hispanic or Latino</w:t>
      </w:r>
    </w:p>
    <w:p w14:paraId="57EFC77A" w14:textId="77777777" w:rsidR="00857C96" w:rsidRPr="00857C96" w:rsidRDefault="00857C96" w:rsidP="00857C96">
      <w:pPr>
        <w:pStyle w:val="ListParagraph"/>
        <w:numPr>
          <w:ilvl w:val="1"/>
          <w:numId w:val="1"/>
        </w:numPr>
        <w:rPr>
          <w:color w:val="222222"/>
          <w:shd w:val="clear" w:color="auto" w:fill="FFFFFF"/>
        </w:rPr>
      </w:pPr>
      <w:r w:rsidRPr="00857C96">
        <w:rPr>
          <w:color w:val="222222"/>
          <w:shd w:val="clear" w:color="auto" w:fill="FFFFFF"/>
        </w:rPr>
        <w:t>1.6% were in a group of multiple ethnicities</w:t>
      </w:r>
    </w:p>
    <w:p w14:paraId="24C47C26" w14:textId="77777777" w:rsidR="00857C96" w:rsidRPr="00857C96" w:rsidRDefault="00857C96" w:rsidP="00857C96">
      <w:pPr>
        <w:pStyle w:val="ListParagraph"/>
        <w:numPr>
          <w:ilvl w:val="1"/>
          <w:numId w:val="1"/>
        </w:numPr>
        <w:rPr>
          <w:color w:val="222222"/>
          <w:shd w:val="clear" w:color="auto" w:fill="FFFFFF"/>
        </w:rPr>
      </w:pPr>
      <w:r w:rsidRPr="00857C96">
        <w:rPr>
          <w:color w:val="222222"/>
          <w:shd w:val="clear" w:color="auto" w:fill="FFFFFF"/>
        </w:rPr>
        <w:t>64.5 ethnicity unknown</w:t>
      </w:r>
    </w:p>
    <w:p w14:paraId="20DB75B4" w14:textId="2E1544DF" w:rsidR="00857C96" w:rsidRPr="00857C96" w:rsidRDefault="00857C96" w:rsidP="00857C96">
      <w:pPr>
        <w:pStyle w:val="ListParagraph"/>
        <w:numPr>
          <w:ilvl w:val="0"/>
          <w:numId w:val="1"/>
        </w:numPr>
        <w:rPr>
          <w:color w:val="222222"/>
          <w:shd w:val="clear" w:color="auto" w:fill="FFFFFF"/>
        </w:rPr>
      </w:pPr>
      <w:r w:rsidRPr="00857C96">
        <w:rPr>
          <w:color w:val="222222"/>
          <w:shd w:val="clear" w:color="auto" w:fill="FFFFFF"/>
        </w:rPr>
        <w:t>Of the 4,895 known offenders for whom ages were known:</w:t>
      </w:r>
    </w:p>
    <w:p w14:paraId="1E3F4133" w14:textId="77777777" w:rsidR="00857C96" w:rsidRPr="00857C96" w:rsidRDefault="00857C96" w:rsidP="00857C96">
      <w:pPr>
        <w:pStyle w:val="ListParagraph"/>
        <w:numPr>
          <w:ilvl w:val="1"/>
          <w:numId w:val="1"/>
        </w:numPr>
        <w:rPr>
          <w:color w:val="222222"/>
          <w:shd w:val="clear" w:color="auto" w:fill="FFFFFF"/>
        </w:rPr>
      </w:pPr>
      <w:r w:rsidRPr="00857C96">
        <w:rPr>
          <w:color w:val="222222"/>
          <w:shd w:val="clear" w:color="auto" w:fill="FFFFFF"/>
        </w:rPr>
        <w:t>83.0% were 18 years of age or older</w:t>
      </w:r>
    </w:p>
    <w:p w14:paraId="1AEAAF4B" w14:textId="1BA9E328" w:rsidR="00837C1B" w:rsidRDefault="003C72CA" w:rsidP="00837C1B">
      <w:pPr>
        <w:pStyle w:val="ListParagraph"/>
        <w:numPr>
          <w:ilvl w:val="0"/>
          <w:numId w:val="1"/>
        </w:numPr>
        <w:rPr>
          <w:color w:val="222222"/>
          <w:shd w:val="clear" w:color="auto" w:fill="FFFFFF"/>
        </w:rPr>
      </w:pPr>
      <w:r>
        <w:rPr>
          <w:color w:val="222222"/>
          <w:shd w:val="clear" w:color="auto" w:fill="FFFFFF"/>
        </w:rPr>
        <w:t xml:space="preserve">Most </w:t>
      </w:r>
      <w:r w:rsidR="000C79C4">
        <w:rPr>
          <w:color w:val="222222"/>
          <w:shd w:val="clear" w:color="auto" w:fill="FFFFFF"/>
        </w:rPr>
        <w:t xml:space="preserve">Motivated </w:t>
      </w:r>
      <w:r>
        <w:rPr>
          <w:color w:val="222222"/>
          <w:shd w:val="clear" w:color="auto" w:fill="FFFFFF"/>
        </w:rPr>
        <w:t>Bias: race/ethnicity/ancestry</w:t>
      </w:r>
    </w:p>
    <w:p w14:paraId="0B1370B1" w14:textId="77777777" w:rsidR="003C72CA" w:rsidRPr="00837C1B" w:rsidRDefault="003C72CA" w:rsidP="00837C1B">
      <w:pPr>
        <w:pStyle w:val="ListParagraph"/>
        <w:numPr>
          <w:ilvl w:val="0"/>
          <w:numId w:val="1"/>
        </w:numPr>
        <w:rPr>
          <w:color w:val="222222"/>
          <w:shd w:val="clear" w:color="auto" w:fill="FFFFFF"/>
        </w:rPr>
      </w:pPr>
    </w:p>
    <w:sectPr w:rsidR="003C72CA" w:rsidRPr="00837C1B" w:rsidSect="00517C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2AAB"/>
    <w:multiLevelType w:val="multilevel"/>
    <w:tmpl w:val="210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22C20"/>
    <w:multiLevelType w:val="multilevel"/>
    <w:tmpl w:val="021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C0A94"/>
    <w:multiLevelType w:val="hybridMultilevel"/>
    <w:tmpl w:val="E6502700"/>
    <w:lvl w:ilvl="0" w:tplc="2D9648A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73D5C"/>
    <w:multiLevelType w:val="multilevel"/>
    <w:tmpl w:val="86F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CB"/>
    <w:rsid w:val="000A170D"/>
    <w:rsid w:val="000C2EB3"/>
    <w:rsid w:val="000C79C4"/>
    <w:rsid w:val="00173943"/>
    <w:rsid w:val="00186A19"/>
    <w:rsid w:val="002B24A3"/>
    <w:rsid w:val="003C72CA"/>
    <w:rsid w:val="004401C7"/>
    <w:rsid w:val="004C5D23"/>
    <w:rsid w:val="004E3B6A"/>
    <w:rsid w:val="004F0F24"/>
    <w:rsid w:val="00517CDC"/>
    <w:rsid w:val="005344D9"/>
    <w:rsid w:val="00571DB4"/>
    <w:rsid w:val="00610B26"/>
    <w:rsid w:val="00633B9E"/>
    <w:rsid w:val="006A1FCA"/>
    <w:rsid w:val="006B6DDD"/>
    <w:rsid w:val="00721663"/>
    <w:rsid w:val="00741E92"/>
    <w:rsid w:val="00763816"/>
    <w:rsid w:val="007C0AD6"/>
    <w:rsid w:val="007E5E6A"/>
    <w:rsid w:val="00837C1B"/>
    <w:rsid w:val="00857C96"/>
    <w:rsid w:val="008C5478"/>
    <w:rsid w:val="0096372C"/>
    <w:rsid w:val="00981D9D"/>
    <w:rsid w:val="009C6964"/>
    <w:rsid w:val="00A17476"/>
    <w:rsid w:val="00B10FCB"/>
    <w:rsid w:val="00B23703"/>
    <w:rsid w:val="00B91509"/>
    <w:rsid w:val="00C34923"/>
    <w:rsid w:val="00CA3563"/>
    <w:rsid w:val="00D22B5B"/>
    <w:rsid w:val="00E613DF"/>
    <w:rsid w:val="00E709A9"/>
    <w:rsid w:val="00FC400C"/>
    <w:rsid w:val="00FF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337C9"/>
  <w15:chartTrackingRefBased/>
  <w15:docId w15:val="{E005D03D-7007-384E-BCE7-CDAD8249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9D"/>
    <w:rPr>
      <w:rFonts w:eastAsia="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816"/>
    <w:pPr>
      <w:ind w:left="720"/>
      <w:contextualSpacing/>
    </w:pPr>
  </w:style>
  <w:style w:type="character" w:customStyle="1" w:styleId="apple-converted-space">
    <w:name w:val="apple-converted-space"/>
    <w:basedOn w:val="DefaultParagraphFont"/>
    <w:rsid w:val="004401C7"/>
  </w:style>
  <w:style w:type="character" w:styleId="Hyperlink">
    <w:name w:val="Hyperlink"/>
    <w:basedOn w:val="DefaultParagraphFont"/>
    <w:uiPriority w:val="99"/>
    <w:semiHidden/>
    <w:unhideWhenUsed/>
    <w:rsid w:val="00E709A9"/>
    <w:rPr>
      <w:color w:val="0000FF"/>
      <w:u w:val="single"/>
    </w:rPr>
  </w:style>
  <w:style w:type="paragraph" w:styleId="NormalWeb">
    <w:name w:val="Normal (Web)"/>
    <w:basedOn w:val="Normal"/>
    <w:uiPriority w:val="99"/>
    <w:semiHidden/>
    <w:unhideWhenUsed/>
    <w:rsid w:val="004F0F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590">
      <w:bodyDiv w:val="1"/>
      <w:marLeft w:val="0"/>
      <w:marRight w:val="0"/>
      <w:marTop w:val="0"/>
      <w:marBottom w:val="0"/>
      <w:divBdr>
        <w:top w:val="none" w:sz="0" w:space="0" w:color="auto"/>
        <w:left w:val="none" w:sz="0" w:space="0" w:color="auto"/>
        <w:bottom w:val="none" w:sz="0" w:space="0" w:color="auto"/>
        <w:right w:val="none" w:sz="0" w:space="0" w:color="auto"/>
      </w:divBdr>
    </w:div>
    <w:div w:id="248664570">
      <w:bodyDiv w:val="1"/>
      <w:marLeft w:val="0"/>
      <w:marRight w:val="0"/>
      <w:marTop w:val="0"/>
      <w:marBottom w:val="0"/>
      <w:divBdr>
        <w:top w:val="none" w:sz="0" w:space="0" w:color="auto"/>
        <w:left w:val="none" w:sz="0" w:space="0" w:color="auto"/>
        <w:bottom w:val="none" w:sz="0" w:space="0" w:color="auto"/>
        <w:right w:val="none" w:sz="0" w:space="0" w:color="auto"/>
      </w:divBdr>
      <w:divsChild>
        <w:div w:id="1120488273">
          <w:marLeft w:val="0"/>
          <w:marRight w:val="0"/>
          <w:marTop w:val="0"/>
          <w:marBottom w:val="0"/>
          <w:divBdr>
            <w:top w:val="none" w:sz="0" w:space="0" w:color="auto"/>
            <w:left w:val="none" w:sz="0" w:space="0" w:color="auto"/>
            <w:bottom w:val="none" w:sz="0" w:space="0" w:color="auto"/>
            <w:right w:val="none" w:sz="0" w:space="0" w:color="auto"/>
          </w:divBdr>
          <w:divsChild>
            <w:div w:id="1981570783">
              <w:marLeft w:val="0"/>
              <w:marRight w:val="0"/>
              <w:marTop w:val="0"/>
              <w:marBottom w:val="0"/>
              <w:divBdr>
                <w:top w:val="none" w:sz="0" w:space="0" w:color="auto"/>
                <w:left w:val="none" w:sz="0" w:space="0" w:color="auto"/>
                <w:bottom w:val="none" w:sz="0" w:space="0" w:color="auto"/>
                <w:right w:val="none" w:sz="0" w:space="0" w:color="auto"/>
              </w:divBdr>
              <w:divsChild>
                <w:div w:id="2310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4191">
      <w:bodyDiv w:val="1"/>
      <w:marLeft w:val="0"/>
      <w:marRight w:val="0"/>
      <w:marTop w:val="0"/>
      <w:marBottom w:val="0"/>
      <w:divBdr>
        <w:top w:val="none" w:sz="0" w:space="0" w:color="auto"/>
        <w:left w:val="none" w:sz="0" w:space="0" w:color="auto"/>
        <w:bottom w:val="none" w:sz="0" w:space="0" w:color="auto"/>
        <w:right w:val="none" w:sz="0" w:space="0" w:color="auto"/>
      </w:divBdr>
    </w:div>
    <w:div w:id="271983813">
      <w:bodyDiv w:val="1"/>
      <w:marLeft w:val="0"/>
      <w:marRight w:val="0"/>
      <w:marTop w:val="0"/>
      <w:marBottom w:val="0"/>
      <w:divBdr>
        <w:top w:val="none" w:sz="0" w:space="0" w:color="auto"/>
        <w:left w:val="none" w:sz="0" w:space="0" w:color="auto"/>
        <w:bottom w:val="none" w:sz="0" w:space="0" w:color="auto"/>
        <w:right w:val="none" w:sz="0" w:space="0" w:color="auto"/>
      </w:divBdr>
    </w:div>
    <w:div w:id="504327447">
      <w:bodyDiv w:val="1"/>
      <w:marLeft w:val="0"/>
      <w:marRight w:val="0"/>
      <w:marTop w:val="0"/>
      <w:marBottom w:val="0"/>
      <w:divBdr>
        <w:top w:val="none" w:sz="0" w:space="0" w:color="auto"/>
        <w:left w:val="none" w:sz="0" w:space="0" w:color="auto"/>
        <w:bottom w:val="none" w:sz="0" w:space="0" w:color="auto"/>
        <w:right w:val="none" w:sz="0" w:space="0" w:color="auto"/>
      </w:divBdr>
    </w:div>
    <w:div w:id="508302231">
      <w:bodyDiv w:val="1"/>
      <w:marLeft w:val="0"/>
      <w:marRight w:val="0"/>
      <w:marTop w:val="0"/>
      <w:marBottom w:val="0"/>
      <w:divBdr>
        <w:top w:val="none" w:sz="0" w:space="0" w:color="auto"/>
        <w:left w:val="none" w:sz="0" w:space="0" w:color="auto"/>
        <w:bottom w:val="none" w:sz="0" w:space="0" w:color="auto"/>
        <w:right w:val="none" w:sz="0" w:space="0" w:color="auto"/>
      </w:divBdr>
      <w:divsChild>
        <w:div w:id="248124885">
          <w:marLeft w:val="0"/>
          <w:marRight w:val="0"/>
          <w:marTop w:val="0"/>
          <w:marBottom w:val="0"/>
          <w:divBdr>
            <w:top w:val="none" w:sz="0" w:space="0" w:color="auto"/>
            <w:left w:val="none" w:sz="0" w:space="0" w:color="auto"/>
            <w:bottom w:val="none" w:sz="0" w:space="0" w:color="auto"/>
            <w:right w:val="none" w:sz="0" w:space="0" w:color="auto"/>
          </w:divBdr>
          <w:divsChild>
            <w:div w:id="738943714">
              <w:marLeft w:val="0"/>
              <w:marRight w:val="0"/>
              <w:marTop w:val="0"/>
              <w:marBottom w:val="0"/>
              <w:divBdr>
                <w:top w:val="none" w:sz="0" w:space="0" w:color="auto"/>
                <w:left w:val="none" w:sz="0" w:space="0" w:color="auto"/>
                <w:bottom w:val="none" w:sz="0" w:space="0" w:color="auto"/>
                <w:right w:val="none" w:sz="0" w:space="0" w:color="auto"/>
              </w:divBdr>
              <w:divsChild>
                <w:div w:id="10195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0642">
      <w:bodyDiv w:val="1"/>
      <w:marLeft w:val="0"/>
      <w:marRight w:val="0"/>
      <w:marTop w:val="0"/>
      <w:marBottom w:val="0"/>
      <w:divBdr>
        <w:top w:val="none" w:sz="0" w:space="0" w:color="auto"/>
        <w:left w:val="none" w:sz="0" w:space="0" w:color="auto"/>
        <w:bottom w:val="none" w:sz="0" w:space="0" w:color="auto"/>
        <w:right w:val="none" w:sz="0" w:space="0" w:color="auto"/>
      </w:divBdr>
    </w:div>
    <w:div w:id="553928302">
      <w:bodyDiv w:val="1"/>
      <w:marLeft w:val="0"/>
      <w:marRight w:val="0"/>
      <w:marTop w:val="0"/>
      <w:marBottom w:val="0"/>
      <w:divBdr>
        <w:top w:val="none" w:sz="0" w:space="0" w:color="auto"/>
        <w:left w:val="none" w:sz="0" w:space="0" w:color="auto"/>
        <w:bottom w:val="none" w:sz="0" w:space="0" w:color="auto"/>
        <w:right w:val="none" w:sz="0" w:space="0" w:color="auto"/>
      </w:divBdr>
    </w:div>
    <w:div w:id="648826239">
      <w:bodyDiv w:val="1"/>
      <w:marLeft w:val="0"/>
      <w:marRight w:val="0"/>
      <w:marTop w:val="0"/>
      <w:marBottom w:val="0"/>
      <w:divBdr>
        <w:top w:val="none" w:sz="0" w:space="0" w:color="auto"/>
        <w:left w:val="none" w:sz="0" w:space="0" w:color="auto"/>
        <w:bottom w:val="none" w:sz="0" w:space="0" w:color="auto"/>
        <w:right w:val="none" w:sz="0" w:space="0" w:color="auto"/>
      </w:divBdr>
      <w:divsChild>
        <w:div w:id="1560239742">
          <w:marLeft w:val="0"/>
          <w:marRight w:val="0"/>
          <w:marTop w:val="0"/>
          <w:marBottom w:val="0"/>
          <w:divBdr>
            <w:top w:val="none" w:sz="0" w:space="0" w:color="auto"/>
            <w:left w:val="none" w:sz="0" w:space="0" w:color="auto"/>
            <w:bottom w:val="none" w:sz="0" w:space="0" w:color="auto"/>
            <w:right w:val="none" w:sz="0" w:space="0" w:color="auto"/>
          </w:divBdr>
          <w:divsChild>
            <w:div w:id="1180513323">
              <w:marLeft w:val="0"/>
              <w:marRight w:val="0"/>
              <w:marTop w:val="0"/>
              <w:marBottom w:val="0"/>
              <w:divBdr>
                <w:top w:val="none" w:sz="0" w:space="0" w:color="auto"/>
                <w:left w:val="none" w:sz="0" w:space="0" w:color="auto"/>
                <w:bottom w:val="none" w:sz="0" w:space="0" w:color="auto"/>
                <w:right w:val="none" w:sz="0" w:space="0" w:color="auto"/>
              </w:divBdr>
              <w:divsChild>
                <w:div w:id="718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9061">
      <w:bodyDiv w:val="1"/>
      <w:marLeft w:val="0"/>
      <w:marRight w:val="0"/>
      <w:marTop w:val="0"/>
      <w:marBottom w:val="0"/>
      <w:divBdr>
        <w:top w:val="none" w:sz="0" w:space="0" w:color="auto"/>
        <w:left w:val="none" w:sz="0" w:space="0" w:color="auto"/>
        <w:bottom w:val="none" w:sz="0" w:space="0" w:color="auto"/>
        <w:right w:val="none" w:sz="0" w:space="0" w:color="auto"/>
      </w:divBdr>
    </w:div>
    <w:div w:id="709500967">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905996521">
      <w:bodyDiv w:val="1"/>
      <w:marLeft w:val="0"/>
      <w:marRight w:val="0"/>
      <w:marTop w:val="0"/>
      <w:marBottom w:val="0"/>
      <w:divBdr>
        <w:top w:val="none" w:sz="0" w:space="0" w:color="auto"/>
        <w:left w:val="none" w:sz="0" w:space="0" w:color="auto"/>
        <w:bottom w:val="none" w:sz="0" w:space="0" w:color="auto"/>
        <w:right w:val="none" w:sz="0" w:space="0" w:color="auto"/>
      </w:divBdr>
    </w:div>
    <w:div w:id="982386667">
      <w:bodyDiv w:val="1"/>
      <w:marLeft w:val="0"/>
      <w:marRight w:val="0"/>
      <w:marTop w:val="0"/>
      <w:marBottom w:val="0"/>
      <w:divBdr>
        <w:top w:val="none" w:sz="0" w:space="0" w:color="auto"/>
        <w:left w:val="none" w:sz="0" w:space="0" w:color="auto"/>
        <w:bottom w:val="none" w:sz="0" w:space="0" w:color="auto"/>
        <w:right w:val="none" w:sz="0" w:space="0" w:color="auto"/>
      </w:divBdr>
    </w:div>
    <w:div w:id="992181615">
      <w:bodyDiv w:val="1"/>
      <w:marLeft w:val="0"/>
      <w:marRight w:val="0"/>
      <w:marTop w:val="0"/>
      <w:marBottom w:val="0"/>
      <w:divBdr>
        <w:top w:val="none" w:sz="0" w:space="0" w:color="auto"/>
        <w:left w:val="none" w:sz="0" w:space="0" w:color="auto"/>
        <w:bottom w:val="none" w:sz="0" w:space="0" w:color="auto"/>
        <w:right w:val="none" w:sz="0" w:space="0" w:color="auto"/>
      </w:divBdr>
      <w:divsChild>
        <w:div w:id="69498469">
          <w:marLeft w:val="0"/>
          <w:marRight w:val="0"/>
          <w:marTop w:val="0"/>
          <w:marBottom w:val="0"/>
          <w:divBdr>
            <w:top w:val="none" w:sz="0" w:space="0" w:color="auto"/>
            <w:left w:val="none" w:sz="0" w:space="0" w:color="auto"/>
            <w:bottom w:val="none" w:sz="0" w:space="0" w:color="auto"/>
            <w:right w:val="none" w:sz="0" w:space="0" w:color="auto"/>
          </w:divBdr>
          <w:divsChild>
            <w:div w:id="1056201701">
              <w:marLeft w:val="0"/>
              <w:marRight w:val="0"/>
              <w:marTop w:val="0"/>
              <w:marBottom w:val="0"/>
              <w:divBdr>
                <w:top w:val="none" w:sz="0" w:space="0" w:color="auto"/>
                <w:left w:val="none" w:sz="0" w:space="0" w:color="auto"/>
                <w:bottom w:val="none" w:sz="0" w:space="0" w:color="auto"/>
                <w:right w:val="none" w:sz="0" w:space="0" w:color="auto"/>
              </w:divBdr>
              <w:divsChild>
                <w:div w:id="13031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20022">
      <w:bodyDiv w:val="1"/>
      <w:marLeft w:val="0"/>
      <w:marRight w:val="0"/>
      <w:marTop w:val="0"/>
      <w:marBottom w:val="0"/>
      <w:divBdr>
        <w:top w:val="none" w:sz="0" w:space="0" w:color="auto"/>
        <w:left w:val="none" w:sz="0" w:space="0" w:color="auto"/>
        <w:bottom w:val="none" w:sz="0" w:space="0" w:color="auto"/>
        <w:right w:val="none" w:sz="0" w:space="0" w:color="auto"/>
      </w:divBdr>
    </w:div>
    <w:div w:id="1213074980">
      <w:bodyDiv w:val="1"/>
      <w:marLeft w:val="0"/>
      <w:marRight w:val="0"/>
      <w:marTop w:val="0"/>
      <w:marBottom w:val="0"/>
      <w:divBdr>
        <w:top w:val="none" w:sz="0" w:space="0" w:color="auto"/>
        <w:left w:val="none" w:sz="0" w:space="0" w:color="auto"/>
        <w:bottom w:val="none" w:sz="0" w:space="0" w:color="auto"/>
        <w:right w:val="none" w:sz="0" w:space="0" w:color="auto"/>
      </w:divBdr>
    </w:div>
    <w:div w:id="1286036319">
      <w:bodyDiv w:val="1"/>
      <w:marLeft w:val="0"/>
      <w:marRight w:val="0"/>
      <w:marTop w:val="0"/>
      <w:marBottom w:val="0"/>
      <w:divBdr>
        <w:top w:val="none" w:sz="0" w:space="0" w:color="auto"/>
        <w:left w:val="none" w:sz="0" w:space="0" w:color="auto"/>
        <w:bottom w:val="none" w:sz="0" w:space="0" w:color="auto"/>
        <w:right w:val="none" w:sz="0" w:space="0" w:color="auto"/>
      </w:divBdr>
    </w:div>
    <w:div w:id="1306279264">
      <w:bodyDiv w:val="1"/>
      <w:marLeft w:val="0"/>
      <w:marRight w:val="0"/>
      <w:marTop w:val="0"/>
      <w:marBottom w:val="0"/>
      <w:divBdr>
        <w:top w:val="none" w:sz="0" w:space="0" w:color="auto"/>
        <w:left w:val="none" w:sz="0" w:space="0" w:color="auto"/>
        <w:bottom w:val="none" w:sz="0" w:space="0" w:color="auto"/>
        <w:right w:val="none" w:sz="0" w:space="0" w:color="auto"/>
      </w:divBdr>
    </w:div>
    <w:div w:id="1350523793">
      <w:bodyDiv w:val="1"/>
      <w:marLeft w:val="0"/>
      <w:marRight w:val="0"/>
      <w:marTop w:val="0"/>
      <w:marBottom w:val="0"/>
      <w:divBdr>
        <w:top w:val="none" w:sz="0" w:space="0" w:color="auto"/>
        <w:left w:val="none" w:sz="0" w:space="0" w:color="auto"/>
        <w:bottom w:val="none" w:sz="0" w:space="0" w:color="auto"/>
        <w:right w:val="none" w:sz="0" w:space="0" w:color="auto"/>
      </w:divBdr>
    </w:div>
    <w:div w:id="1373117998">
      <w:bodyDiv w:val="1"/>
      <w:marLeft w:val="0"/>
      <w:marRight w:val="0"/>
      <w:marTop w:val="0"/>
      <w:marBottom w:val="0"/>
      <w:divBdr>
        <w:top w:val="none" w:sz="0" w:space="0" w:color="auto"/>
        <w:left w:val="none" w:sz="0" w:space="0" w:color="auto"/>
        <w:bottom w:val="none" w:sz="0" w:space="0" w:color="auto"/>
        <w:right w:val="none" w:sz="0" w:space="0" w:color="auto"/>
      </w:divBdr>
    </w:div>
    <w:div w:id="1430814653">
      <w:bodyDiv w:val="1"/>
      <w:marLeft w:val="0"/>
      <w:marRight w:val="0"/>
      <w:marTop w:val="0"/>
      <w:marBottom w:val="0"/>
      <w:divBdr>
        <w:top w:val="none" w:sz="0" w:space="0" w:color="auto"/>
        <w:left w:val="none" w:sz="0" w:space="0" w:color="auto"/>
        <w:bottom w:val="none" w:sz="0" w:space="0" w:color="auto"/>
        <w:right w:val="none" w:sz="0" w:space="0" w:color="auto"/>
      </w:divBdr>
      <w:divsChild>
        <w:div w:id="1685597823">
          <w:marLeft w:val="0"/>
          <w:marRight w:val="0"/>
          <w:marTop w:val="0"/>
          <w:marBottom w:val="0"/>
          <w:divBdr>
            <w:top w:val="none" w:sz="0" w:space="0" w:color="auto"/>
            <w:left w:val="none" w:sz="0" w:space="0" w:color="auto"/>
            <w:bottom w:val="none" w:sz="0" w:space="0" w:color="auto"/>
            <w:right w:val="none" w:sz="0" w:space="0" w:color="auto"/>
          </w:divBdr>
          <w:divsChild>
            <w:div w:id="749815969">
              <w:marLeft w:val="0"/>
              <w:marRight w:val="0"/>
              <w:marTop w:val="0"/>
              <w:marBottom w:val="0"/>
              <w:divBdr>
                <w:top w:val="none" w:sz="0" w:space="0" w:color="auto"/>
                <w:left w:val="none" w:sz="0" w:space="0" w:color="auto"/>
                <w:bottom w:val="none" w:sz="0" w:space="0" w:color="auto"/>
                <w:right w:val="none" w:sz="0" w:space="0" w:color="auto"/>
              </w:divBdr>
              <w:divsChild>
                <w:div w:id="14056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37671">
      <w:bodyDiv w:val="1"/>
      <w:marLeft w:val="0"/>
      <w:marRight w:val="0"/>
      <w:marTop w:val="0"/>
      <w:marBottom w:val="0"/>
      <w:divBdr>
        <w:top w:val="none" w:sz="0" w:space="0" w:color="auto"/>
        <w:left w:val="none" w:sz="0" w:space="0" w:color="auto"/>
        <w:bottom w:val="none" w:sz="0" w:space="0" w:color="auto"/>
        <w:right w:val="none" w:sz="0" w:space="0" w:color="auto"/>
      </w:divBdr>
    </w:div>
    <w:div w:id="1775516560">
      <w:bodyDiv w:val="1"/>
      <w:marLeft w:val="0"/>
      <w:marRight w:val="0"/>
      <w:marTop w:val="0"/>
      <w:marBottom w:val="0"/>
      <w:divBdr>
        <w:top w:val="none" w:sz="0" w:space="0" w:color="auto"/>
        <w:left w:val="none" w:sz="0" w:space="0" w:color="auto"/>
        <w:bottom w:val="none" w:sz="0" w:space="0" w:color="auto"/>
        <w:right w:val="none" w:sz="0" w:space="0" w:color="auto"/>
      </w:divBdr>
      <w:divsChild>
        <w:div w:id="1365909646">
          <w:marLeft w:val="0"/>
          <w:marRight w:val="0"/>
          <w:marTop w:val="0"/>
          <w:marBottom w:val="0"/>
          <w:divBdr>
            <w:top w:val="none" w:sz="0" w:space="0" w:color="auto"/>
            <w:left w:val="none" w:sz="0" w:space="0" w:color="auto"/>
            <w:bottom w:val="none" w:sz="0" w:space="0" w:color="auto"/>
            <w:right w:val="none" w:sz="0" w:space="0" w:color="auto"/>
          </w:divBdr>
          <w:divsChild>
            <w:div w:id="2080976157">
              <w:marLeft w:val="0"/>
              <w:marRight w:val="0"/>
              <w:marTop w:val="0"/>
              <w:marBottom w:val="0"/>
              <w:divBdr>
                <w:top w:val="none" w:sz="0" w:space="0" w:color="auto"/>
                <w:left w:val="none" w:sz="0" w:space="0" w:color="auto"/>
                <w:bottom w:val="none" w:sz="0" w:space="0" w:color="auto"/>
                <w:right w:val="none" w:sz="0" w:space="0" w:color="auto"/>
              </w:divBdr>
              <w:divsChild>
                <w:div w:id="3186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7411">
      <w:bodyDiv w:val="1"/>
      <w:marLeft w:val="0"/>
      <w:marRight w:val="0"/>
      <w:marTop w:val="0"/>
      <w:marBottom w:val="0"/>
      <w:divBdr>
        <w:top w:val="none" w:sz="0" w:space="0" w:color="auto"/>
        <w:left w:val="none" w:sz="0" w:space="0" w:color="auto"/>
        <w:bottom w:val="none" w:sz="0" w:space="0" w:color="auto"/>
        <w:right w:val="none" w:sz="0" w:space="0" w:color="auto"/>
      </w:divBdr>
    </w:div>
    <w:div w:id="1803965107">
      <w:bodyDiv w:val="1"/>
      <w:marLeft w:val="0"/>
      <w:marRight w:val="0"/>
      <w:marTop w:val="0"/>
      <w:marBottom w:val="0"/>
      <w:divBdr>
        <w:top w:val="none" w:sz="0" w:space="0" w:color="auto"/>
        <w:left w:val="none" w:sz="0" w:space="0" w:color="auto"/>
        <w:bottom w:val="none" w:sz="0" w:space="0" w:color="auto"/>
        <w:right w:val="none" w:sz="0" w:space="0" w:color="auto"/>
      </w:divBdr>
      <w:divsChild>
        <w:div w:id="678703794">
          <w:marLeft w:val="0"/>
          <w:marRight w:val="0"/>
          <w:marTop w:val="0"/>
          <w:marBottom w:val="0"/>
          <w:divBdr>
            <w:top w:val="none" w:sz="0" w:space="0" w:color="auto"/>
            <w:left w:val="none" w:sz="0" w:space="0" w:color="auto"/>
            <w:bottom w:val="none" w:sz="0" w:space="0" w:color="auto"/>
            <w:right w:val="none" w:sz="0" w:space="0" w:color="auto"/>
          </w:divBdr>
          <w:divsChild>
            <w:div w:id="203717808">
              <w:marLeft w:val="0"/>
              <w:marRight w:val="0"/>
              <w:marTop w:val="0"/>
              <w:marBottom w:val="0"/>
              <w:divBdr>
                <w:top w:val="none" w:sz="0" w:space="0" w:color="auto"/>
                <w:left w:val="none" w:sz="0" w:space="0" w:color="auto"/>
                <w:bottom w:val="none" w:sz="0" w:space="0" w:color="auto"/>
                <w:right w:val="none" w:sz="0" w:space="0" w:color="auto"/>
              </w:divBdr>
              <w:divsChild>
                <w:div w:id="8797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6690">
      <w:bodyDiv w:val="1"/>
      <w:marLeft w:val="0"/>
      <w:marRight w:val="0"/>
      <w:marTop w:val="0"/>
      <w:marBottom w:val="0"/>
      <w:divBdr>
        <w:top w:val="none" w:sz="0" w:space="0" w:color="auto"/>
        <w:left w:val="none" w:sz="0" w:space="0" w:color="auto"/>
        <w:bottom w:val="none" w:sz="0" w:space="0" w:color="auto"/>
        <w:right w:val="none" w:sz="0" w:space="0" w:color="auto"/>
      </w:divBdr>
    </w:div>
    <w:div w:id="1859267804">
      <w:bodyDiv w:val="1"/>
      <w:marLeft w:val="0"/>
      <w:marRight w:val="0"/>
      <w:marTop w:val="0"/>
      <w:marBottom w:val="0"/>
      <w:divBdr>
        <w:top w:val="none" w:sz="0" w:space="0" w:color="auto"/>
        <w:left w:val="none" w:sz="0" w:space="0" w:color="auto"/>
        <w:bottom w:val="none" w:sz="0" w:space="0" w:color="auto"/>
        <w:right w:val="none" w:sz="0" w:space="0" w:color="auto"/>
      </w:divBdr>
    </w:div>
    <w:div w:id="1878816066">
      <w:bodyDiv w:val="1"/>
      <w:marLeft w:val="0"/>
      <w:marRight w:val="0"/>
      <w:marTop w:val="0"/>
      <w:marBottom w:val="0"/>
      <w:divBdr>
        <w:top w:val="none" w:sz="0" w:space="0" w:color="auto"/>
        <w:left w:val="none" w:sz="0" w:space="0" w:color="auto"/>
        <w:bottom w:val="none" w:sz="0" w:space="0" w:color="auto"/>
        <w:right w:val="none" w:sz="0" w:space="0" w:color="auto"/>
      </w:divBdr>
    </w:div>
    <w:div w:id="1918394711">
      <w:bodyDiv w:val="1"/>
      <w:marLeft w:val="0"/>
      <w:marRight w:val="0"/>
      <w:marTop w:val="0"/>
      <w:marBottom w:val="0"/>
      <w:divBdr>
        <w:top w:val="none" w:sz="0" w:space="0" w:color="auto"/>
        <w:left w:val="none" w:sz="0" w:space="0" w:color="auto"/>
        <w:bottom w:val="none" w:sz="0" w:space="0" w:color="auto"/>
        <w:right w:val="none" w:sz="0" w:space="0" w:color="auto"/>
      </w:divBdr>
    </w:div>
    <w:div w:id="1983121390">
      <w:bodyDiv w:val="1"/>
      <w:marLeft w:val="0"/>
      <w:marRight w:val="0"/>
      <w:marTop w:val="0"/>
      <w:marBottom w:val="0"/>
      <w:divBdr>
        <w:top w:val="none" w:sz="0" w:space="0" w:color="auto"/>
        <w:left w:val="none" w:sz="0" w:space="0" w:color="auto"/>
        <w:bottom w:val="none" w:sz="0" w:space="0" w:color="auto"/>
        <w:right w:val="none" w:sz="0" w:space="0" w:color="auto"/>
      </w:divBdr>
    </w:div>
    <w:div w:id="2027754261">
      <w:bodyDiv w:val="1"/>
      <w:marLeft w:val="0"/>
      <w:marRight w:val="0"/>
      <w:marTop w:val="0"/>
      <w:marBottom w:val="0"/>
      <w:divBdr>
        <w:top w:val="none" w:sz="0" w:space="0" w:color="auto"/>
        <w:left w:val="none" w:sz="0" w:space="0" w:color="auto"/>
        <w:bottom w:val="none" w:sz="0" w:space="0" w:color="auto"/>
        <w:right w:val="none" w:sz="0" w:space="0" w:color="auto"/>
      </w:divBdr>
    </w:div>
    <w:div w:id="20836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3" Type="http://schemas.openxmlformats.org/officeDocument/2006/relationships/settings" Target="settings.xml"/><Relationship Id="rId7" Type="http://schemas.openxmlformats.org/officeDocument/2006/relationships/hyperlink" Target="https://www.ushahid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wsocialtrends.org/2014/02/11/the-rising-cost-of-not-going-to-college/" TargetMode="External"/><Relationship Id="rId11" Type="http://schemas.openxmlformats.org/officeDocument/2006/relationships/fontTable" Target="fontTable.xml"/><Relationship Id="rId5" Type="http://schemas.openxmlformats.org/officeDocument/2006/relationships/hyperlink" Target="http://www.marketwatch.com/story/more-evidence-that-getting-a-good-job-almost-always-requires-a-college-degree-2016-07-26" TargetMode="External"/><Relationship Id="rId10" Type="http://schemas.openxmlformats.org/officeDocument/2006/relationships/hyperlink" Target="https://www.bjs.gov/content/pub/pdf/hcv0415.pdf?utm_source=juststats&amp;utm_medium=email&amp;utm_content=hcv0415_report_pdf&amp;utm_campaign=hcv0415&amp;ed2f26df2d9c416fbddddd2330a778c6=fvaddfvxvr-fvgjdvmgv" TargetMode="External"/><Relationship Id="rId4" Type="http://schemas.openxmlformats.org/officeDocument/2006/relationships/webSettings" Target="webSettings.xml"/><Relationship Id="rId9" Type="http://schemas.openxmlformats.org/officeDocument/2006/relationships/hyperlink" Target="https://www.nij.gov/topics/crime/hate-crime/pages/motiv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 Cai</dc:creator>
  <cp:keywords/>
  <dc:description/>
  <cp:lastModifiedBy>Zhaopeng Cai</cp:lastModifiedBy>
  <cp:revision>52</cp:revision>
  <dcterms:created xsi:type="dcterms:W3CDTF">2019-08-12T19:41:00Z</dcterms:created>
  <dcterms:modified xsi:type="dcterms:W3CDTF">2019-08-15T05:24:00Z</dcterms:modified>
</cp:coreProperties>
</file>