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80" w:line="360" w:lineRule="auto"/>
        <w:jc w:val="center"/>
      </w:pPr>
      <w:r>
        <w:rPr>
          <w:rFonts w:ascii="Times New Roman" w:hAnsi="Times New Roman"/>
          <w:b/>
          <w:sz w:val="32"/>
        </w:rPr>
        <w:t>Universiti Kebangsaan Malaysia</w:t>
      </w:r>
    </w:p>
    <w:p>
      <w:pPr>
        <w:spacing w:before="0" w:after="120" w:line="360" w:lineRule="auto"/>
        <w:jc w:val="center"/>
      </w:pPr>
      <w:r>
        <w:rPr>
          <w:rFonts w:ascii="Times New Roman" w:hAnsi="Times New Roman"/>
          <w:b w:val="0"/>
          <w:sz w:val="26"/>
        </w:rPr>
        <w:t>TC6414 | Data Knowledge Discovery &amp; Data Mining</w:t>
      </w:r>
    </w:p>
    <w:p>
      <w:pPr>
        <w:spacing w:before="0" w:after="480" w:line="360" w:lineRule="auto"/>
        <w:jc w:val="center"/>
      </w:pPr>
      <w:r>
        <w:rPr>
          <w:rFonts w:ascii="Times New Roman" w:hAnsi="Times New Roman"/>
          <w:b/>
          <w:sz w:val="26"/>
        </w:rPr>
        <w:t>Assignment 1 | Data Preprocessing and Feature Selection</w:t>
      </w:r>
    </w:p>
    <w:p/>
    <w:p/>
    <w:p>
      <w:pPr>
        <w:spacing w:before="0" w:after="40" w:line="360" w:lineRule="auto"/>
        <w:jc w:val="center"/>
      </w:pPr>
      <w:r>
        <w:rPr>
          <w:rFonts w:ascii="Times New Roman" w:hAnsi="Times New Roman"/>
          <w:b/>
          <w:sz w:val="24"/>
        </w:rPr>
        <w:t>Lecturer:</w:t>
      </w:r>
    </w:p>
    <w:p>
      <w:pPr>
        <w:spacing w:before="0" w:after="360" w:line="360" w:lineRule="auto"/>
        <w:jc w:val="center"/>
      </w:pPr>
      <w:r>
        <w:rPr>
          <w:rFonts w:ascii="Times New Roman" w:hAnsi="Times New Roman"/>
          <w:b w:val="0"/>
          <w:sz w:val="24"/>
        </w:rPr>
        <w:t>Assoc. Prof. Dr. Zalinda Othman</w:t>
      </w:r>
    </w:p>
    <w:p>
      <w:pPr>
        <w:spacing w:before="0" w:after="40" w:line="360" w:lineRule="auto"/>
        <w:jc w:val="center"/>
      </w:pPr>
      <w:r>
        <w:rPr>
          <w:rFonts w:ascii="Times New Roman" w:hAnsi="Times New Roman"/>
          <w:b/>
          <w:sz w:val="24"/>
        </w:rPr>
        <w:t>Submitted by:</w:t>
      </w:r>
    </w:p>
    <w:p>
      <w:pPr>
        <w:spacing w:before="0" w:after="40" w:line="360" w:lineRule="auto"/>
        <w:jc w:val="center"/>
      </w:pPr>
      <w:r>
        <w:rPr>
          <w:rFonts w:ascii="Times New Roman" w:hAnsi="Times New Roman"/>
          <w:b/>
          <w:sz w:val="24"/>
        </w:rPr>
        <w:t>ZHANG CHENCHUAN</w:t>
      </w:r>
    </w:p>
    <w:p>
      <w:pPr>
        <w:spacing w:before="0" w:after="40" w:line="360" w:lineRule="auto"/>
        <w:jc w:val="center"/>
      </w:pPr>
      <w:r>
        <w:rPr>
          <w:rFonts w:ascii="Times New Roman" w:hAnsi="Times New Roman"/>
          <w:b w:val="0"/>
          <w:sz w:val="24"/>
        </w:rPr>
        <w:t>Matrix No: P162614</w:t>
      </w:r>
    </w:p>
    <w:p>
      <w:pPr>
        <w:spacing w:before="0" w:after="120" w:line="360" w:lineRule="auto"/>
        <w:jc w:val="center"/>
      </w:pPr>
      <w:r>
        <w:rPr>
          <w:rFonts w:ascii="Times New Roman" w:hAnsi="Times New Roman"/>
          <w:b w:val="0"/>
          <w:sz w:val="24"/>
        </w:rPr>
        <w:t>April 2026</w:t>
      </w:r>
    </w:p>
    <w:p>
      <w:pPr>
        <w:sectPr>
          <w:headerReference w:type="default" r:id="rId9"/>
          <w:footerReference w:type="default" r:id="rId11"/>
          <w:pgSz w:w="12240" w:h="15840"/>
          <w:pgMar w:top="1440" w:right="1440" w:bottom="1440" w:left="1440" w:header="720" w:footer="720" w:gutter="0"/>
          <w:cols w:space="720"/>
          <w:docGrid w:linePitch="360"/>
        </w:sectPr>
      </w:pPr>
    </w:p>
    <w:p>
      <w:pPr>
        <w:spacing w:before="240" w:after="120" w:line="360" w:lineRule="auto"/>
        <w:jc w:val="left"/>
      </w:pPr>
      <w:r>
        <w:rPr>
          <w:rFonts w:ascii="Times New Roman" w:hAnsi="Times New Roman"/>
          <w:b/>
          <w:sz w:val="24"/>
        </w:rPr>
        <w:t>1.0  INTRODUCTION</w:t>
      </w:r>
    </w:p>
    <w:p>
      <w:pPr>
        <w:spacing w:before="120" w:after="60" w:line="360" w:lineRule="auto"/>
        <w:jc w:val="left"/>
      </w:pPr>
      <w:r>
        <w:rPr>
          <w:rFonts w:ascii="Times New Roman" w:hAnsi="Times New Roman"/>
          <w:b/>
          <w:sz w:val="24"/>
        </w:rPr>
        <w:t>1.1  Background and Objectives</w:t>
      </w:r>
    </w:p>
    <w:p>
      <w:pPr>
        <w:spacing w:line="360" w:lineRule="auto" w:before="0" w:after="120"/>
        <w:ind w:firstLine="360"/>
        <w:jc w:val="both"/>
      </w:pPr>
      <w:r>
        <w:rPr>
          <w:rFonts w:ascii="Times New Roman" w:hAnsi="Times New Roman"/>
          <w:b w:val="0"/>
          <w:sz w:val="24"/>
        </w:rPr>
        <w:t>Diabetes mellitus is one of the fastest-growing chronic diseases worldwide, affecting over 537 million adults and projected to reach 783 million by 2045 (Olisah et al., 2022). Its progressive nature and severe complications—including cardiovascular disease, kidney failure, and blindness—make early and accurate prediction a critical public health priority. Machine learning has emerged as a powerful tool for diabetes risk stratification, enabling the detection of complex, non-linear patterns across multiple clinical indicators that traditional statistical methods often fail to capture (Tasin et al., 2023).</w:t>
      </w:r>
    </w:p>
    <w:p>
      <w:pPr>
        <w:spacing w:line="360" w:lineRule="auto" w:before="0" w:after="120"/>
        <w:ind w:firstLine="360"/>
        <w:jc w:val="both"/>
      </w:pPr>
      <w:r>
        <w:rPr>
          <w:rFonts w:ascii="Times New Roman" w:hAnsi="Times New Roman"/>
          <w:b w:val="0"/>
          <w:sz w:val="24"/>
        </w:rPr>
        <w:t>The objective of this study is to apply a complete data preprocessing and feature selection pipeline to two publicly available diabetes datasets—the Pima Indians Diabetes Database (PIMA) and the Frankfurt Hospital Diabetes Dataset—and evaluate the classification performance of a K-Nearest Neighbours (KNN) model under three feature scenarios. Following the framework established by Chang et al. (2023), this study systematically addresses missing values, integrates heterogeneous datasets, reduces skewness through logarithmic transformation, standardises feature scales, and applies both filter-based (Mutual Information) and wrapper-based (Recursive Feature Elimination) selection methods to identify the most discriminative predictors.</w:t>
      </w:r>
    </w:p>
    <w:p>
      <w:pPr>
        <w:spacing w:before="240" w:after="120" w:line="360" w:lineRule="auto"/>
        <w:jc w:val="left"/>
      </w:pPr>
      <w:r>
        <w:rPr>
          <w:rFonts w:ascii="Times New Roman" w:hAnsi="Times New Roman"/>
          <w:b/>
          <w:sz w:val="24"/>
        </w:rPr>
        <w:t>2.0  DATA ACQUISITION</w:t>
      </w:r>
    </w:p>
    <w:p>
      <w:pPr>
        <w:spacing w:before="120" w:after="60" w:line="360" w:lineRule="auto"/>
        <w:jc w:val="left"/>
      </w:pPr>
      <w:r>
        <w:rPr>
          <w:rFonts w:ascii="Times New Roman" w:hAnsi="Times New Roman"/>
          <w:b/>
          <w:sz w:val="24"/>
        </w:rPr>
        <w:t>2.1  Dataset Overview</w:t>
      </w:r>
    </w:p>
    <w:p>
      <w:pPr>
        <w:spacing w:line="360" w:lineRule="auto" w:before="0" w:after="120"/>
        <w:ind w:firstLine="360"/>
        <w:jc w:val="both"/>
      </w:pPr>
      <w:r>
        <w:rPr>
          <w:rFonts w:ascii="Times New Roman" w:hAnsi="Times New Roman"/>
          <w:b w:val="0"/>
          <w:sz w:val="24"/>
        </w:rPr>
        <w:t>Dataset A is the Pima Indians Diabetes Database, originally from the National Institute of Diabetes and Digestive and Kidney Diseases, widely available via UCI Machine Learning Repository and Kaggle. It contains 768 records of female patients of Pima Indian heritage, aged 21 or above, with 8 clinical features and a binary Outcome label (0 = no diabetes, 1 = diabetes). The dataset is described by df.info() output below.</w:t>
      </w:r>
    </w:p>
    <w:p>
      <w:pPr>
        <w:spacing w:before="60" w:after="60" w:line="240" w:lineRule="auto"/>
        <w:ind w:left="576"/>
        <w:shd w:val="clear" w:color="auto" w:fill="F2F2F2"/>
      </w:pPr>
      <w:r>
        <w:rPr>
          <w:rFonts w:ascii="Courier New" w:hAnsi="Courier New"/>
          <w:sz w:val="18"/>
        </w:rPr>
        <w:t>&lt;class 'pandas.core.frame.DataFrame'&gt;</w:t>
        <w:br/>
        <w:t>RangeIndex: 768 entries, 0 to 767</w:t>
        <w:br/>
        <w:t>Data columns (total 9 columns):</w:t>
        <w:br/>
        <w:t xml:space="preserve"> #   Column                    Non-Null Count  Dtype  </w:t>
        <w:br/>
        <w:t xml:space="preserve">---  ------                    --------------  -----  </w:t>
        <w:br/>
        <w:t xml:space="preserve"> 0   Pregnancies               768 non-null    int64  </w:t>
        <w:br/>
        <w:t xml:space="preserve"> 1   Glucose                   768 non-null    int64  </w:t>
        <w:br/>
        <w:t xml:space="preserve"> 2   BloodPressure             768 non-null    int64  </w:t>
        <w:br/>
        <w:t xml:space="preserve"> 3   SkinThickness             768 non-null    int64  </w:t>
        <w:br/>
        <w:t xml:space="preserve"> 4   Insulin                   768 non-null    int64  </w:t>
        <w:br/>
        <w:t xml:space="preserve"> 5   BMI                       768 non-null    float64</w:t>
        <w:br/>
        <w:t xml:space="preserve"> 6   DiabetesPedigreeFunction  768 non-null    float64</w:t>
        <w:br/>
        <w:t xml:space="preserve"> 7   Age                       768 non-null    int64  </w:t>
        <w:br/>
        <w:t xml:space="preserve"> 8   Outcome                   768 non-null    int64  </w:t>
      </w:r>
    </w:p>
    <w:p>
      <w:pPr>
        <w:spacing w:before="0" w:after="120" w:line="360" w:lineRule="auto"/>
        <w:jc w:val="center"/>
      </w:pPr>
      <w:r>
        <w:rPr>
          <w:rFonts w:ascii="Times New Roman" w:hAnsi="Times New Roman"/>
          <w:b w:val="0"/>
          <w:sz w:val="22"/>
        </w:rPr>
        <w:t>Figure 2.1.1   PIMA dataset information about features and attributes</w:t>
      </w:r>
    </w:p>
    <w:p>
      <w:pPr>
        <w:spacing w:line="360" w:lineRule="auto" w:before="0" w:after="120"/>
        <w:ind w:firstLine="360"/>
        <w:jc w:val="both"/>
      </w:pPr>
      <w:r>
        <w:rPr>
          <w:rFonts w:ascii="Times New Roman" w:hAnsi="Times New Roman"/>
          <w:b w:val="0"/>
          <w:sz w:val="24"/>
        </w:rPr>
        <w:t>Dataset B is the Frankfurt Hospital Diabetes Dataset sourced from a public GitHub repository. It shares the identical nine-column schema as Dataset A but contains 2,000 records, providing a larger, more demographically diverse patient population from Germany. Both datasets use the same target variable—Outcome—making integration straightforward.</w:t>
      </w:r>
    </w:p>
    <w:p>
      <w:pPr>
        <w:spacing w:before="60" w:after="60" w:line="240" w:lineRule="auto"/>
        <w:ind w:left="576"/>
        <w:shd w:val="clear" w:color="auto" w:fill="F2F2F2"/>
      </w:pPr>
      <w:r>
        <w:rPr>
          <w:rFonts w:ascii="Courier New" w:hAnsi="Courier New"/>
          <w:sz w:val="18"/>
        </w:rPr>
        <w:t>&lt;class 'pandas.core.frame.DataFrame'&gt;</w:t>
        <w:br/>
        <w:t>RangeIndex: 2000 entries, 0 to 1999</w:t>
        <w:br/>
        <w:t>Data columns (total 9 columns):</w:t>
        <w:br/>
        <w:t xml:space="preserve"> #   Column                    Non-Null Count  Dtype  </w:t>
        <w:br/>
        <w:t xml:space="preserve">---  ------                    --------------  -----  </w:t>
        <w:br/>
        <w:t xml:space="preserve"> 0   Pregnancies               2000 non-null   int64  </w:t>
        <w:br/>
        <w:t xml:space="preserve"> 1   Glucose                   2000 non-null   int64  </w:t>
        <w:br/>
        <w:t xml:space="preserve"> 2   BloodPressure             2000 non-null   int64  </w:t>
        <w:br/>
        <w:t xml:space="preserve"> 3   SkinThickness             2000 non-null   int64  </w:t>
        <w:br/>
        <w:t xml:space="preserve"> 4   Insulin                   2000 non-null   int64  </w:t>
        <w:br/>
        <w:t xml:space="preserve"> 5   BMI                       2000 non-null   float64</w:t>
        <w:br/>
        <w:t xml:space="preserve"> 6   DiabetesPedigreeFunction  2000 non-null   float64</w:t>
        <w:br/>
        <w:t xml:space="preserve"> 7   Age                       2000 non-null   int64  </w:t>
        <w:br/>
        <w:t xml:space="preserve"> 8   Outcome                   2000 non-null   int64  </w:t>
      </w:r>
    </w:p>
    <w:p>
      <w:pPr>
        <w:spacing w:before="0" w:after="120" w:line="360" w:lineRule="auto"/>
        <w:jc w:val="center"/>
      </w:pPr>
      <w:r>
        <w:rPr>
          <w:rFonts w:ascii="Times New Roman" w:hAnsi="Times New Roman"/>
          <w:b w:val="0"/>
          <w:sz w:val="22"/>
        </w:rPr>
        <w:t>Figure 2.1.2   Frankfurt dataset information about features and attributes</w:t>
      </w:r>
    </w:p>
    <w:p>
      <w:pPr>
        <w:spacing w:line="360" w:lineRule="auto" w:before="0" w:after="120"/>
        <w:ind w:firstLine="360"/>
        <w:jc w:val="both"/>
      </w:pPr>
      <w:r>
        <w:rPr>
          <w:rFonts w:ascii="Times New Roman" w:hAnsi="Times New Roman"/>
          <w:b w:val="0"/>
          <w:sz w:val="24"/>
        </w:rPr>
        <w:t>A key characteristic of both datasets is that missing values are encoded as zero in five clinical columns (Glucose, BloodPressure, SkinThickness, Insulin, BMI) where a true value of zero is physiologically impossible. This encoding is addressed in the preprocessing stage described in Section 3.1.</w:t>
      </w:r>
    </w:p>
    <w:p>
      <w:pPr>
        <w:spacing w:before="120" w:after="60" w:line="360" w:lineRule="auto"/>
        <w:jc w:val="left"/>
      </w:pPr>
      <w:r>
        <w:rPr>
          <w:rFonts w:ascii="Times New Roman" w:hAnsi="Times New Roman"/>
          <w:b/>
          <w:sz w:val="24"/>
        </w:rPr>
        <w:t>2.2  Tools and Libraries Used</w:t>
      </w:r>
    </w:p>
    <w:p>
      <w:pPr>
        <w:spacing w:line="360" w:lineRule="auto" w:before="0" w:after="120"/>
        <w:ind w:firstLine="360"/>
        <w:jc w:val="both"/>
      </w:pPr>
      <w:r>
        <w:rPr>
          <w:rFonts w:ascii="Times New Roman" w:hAnsi="Times New Roman"/>
          <w:b w:val="0"/>
          <w:sz w:val="24"/>
        </w:rPr>
        <w:t>All analysis was implemented in Python using a Jupyter Notebook (compatible with Google Colab). The following libraries were used: Pandas for data manipulation and integration; NumPy for numerical operations including logarithmic transformation; Scikit-learn for preprocessing (StandardScaler), dimensionality reduction (PCA), feature selection (mutual_info_classif, RFE), and modelling (KNeighborsClassifier, StratifiedKFold); and Matplotlib and Seaborn for all data visualisations.</w:t>
      </w:r>
    </w:p>
    <w:p>
      <w:pPr>
        <w:spacing w:before="240" w:after="120" w:line="360" w:lineRule="auto"/>
        <w:jc w:val="left"/>
      </w:pPr>
      <w:r>
        <w:rPr>
          <w:rFonts w:ascii="Times New Roman" w:hAnsi="Times New Roman"/>
          <w:b/>
          <w:sz w:val="24"/>
        </w:rPr>
        <w:t>3.0  DATA PREPARATION</w:t>
      </w:r>
    </w:p>
    <w:p>
      <w:pPr>
        <w:spacing w:line="360" w:lineRule="auto" w:before="0" w:after="120"/>
        <w:ind w:firstLine="360"/>
        <w:jc w:val="both"/>
      </w:pPr>
      <w:r>
        <w:rPr>
          <w:rFonts w:ascii="Times New Roman" w:hAnsi="Times New Roman"/>
          <w:b w:val="0"/>
          <w:sz w:val="24"/>
        </w:rPr>
        <w:t>Data preparation is the process of converting raw, inconsistent data into a clean, structured format suitable for machine learning. In medical datasets, this step is especially critical because missing values, scale differences, and distributional skewness can significantly degrade model performance if left unaddressed (Olisah et al., 2022). This section describes five sequential preprocessing steps applied to both datasets.</w:t>
      </w:r>
    </w:p>
    <w:p>
      <w:pPr>
        <w:spacing w:before="120" w:after="60" w:line="360" w:lineRule="auto"/>
        <w:jc w:val="left"/>
      </w:pPr>
      <w:r>
        <w:rPr>
          <w:rFonts w:ascii="Times New Roman" w:hAnsi="Times New Roman"/>
          <w:b/>
          <w:sz w:val="24"/>
        </w:rPr>
        <w:t>3.1  Handling Missing Values</w:t>
      </w:r>
    </w:p>
    <w:p>
      <w:pPr>
        <w:spacing w:line="360" w:lineRule="auto" w:before="0" w:after="120"/>
        <w:ind w:firstLine="360"/>
        <w:jc w:val="both"/>
      </w:pPr>
      <w:r>
        <w:rPr>
          <w:rFonts w:ascii="Times New Roman" w:hAnsi="Times New Roman"/>
          <w:b w:val="0"/>
          <w:sz w:val="24"/>
        </w:rPr>
        <w:t>As confirmed by the descriptive statistics, five clinical columns contained zero values that are medically impossible: a blood glucose level of zero would indicate death, and a BMI of zero has no physiological meaning. These zeros were therefore treated as missing values. Before replacement, the zero-count per column was recorded (Table 3.1.1). All zeros in the five columns were subsequently replaced with NaN.</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0"/>
              </w:rPr>
              <w:t>Feature</w:t>
            </w:r>
          </w:p>
        </w:tc>
        <w:tc>
          <w:tcPr>
            <w:tcW w:type="dxa" w:w="3120"/>
          </w:tcPr>
          <w:p>
            <w:pPr>
              <w:jc w:val="center"/>
            </w:pPr>
            <w:r>
              <w:rPr>
                <w:rFonts w:ascii="Times New Roman" w:hAnsi="Times New Roman"/>
                <w:b/>
                <w:sz w:val="20"/>
              </w:rPr>
              <w:t>PIMA (zeros)</w:t>
            </w:r>
          </w:p>
        </w:tc>
        <w:tc>
          <w:tcPr>
            <w:tcW w:type="dxa" w:w="3120"/>
          </w:tcPr>
          <w:p>
            <w:pPr>
              <w:jc w:val="center"/>
            </w:pPr>
            <w:r>
              <w:rPr>
                <w:rFonts w:ascii="Times New Roman" w:hAnsi="Times New Roman"/>
                <w:b/>
                <w:sz w:val="20"/>
              </w:rPr>
              <w:t>Frankfurt (zeros)</w:t>
            </w:r>
          </w:p>
        </w:tc>
      </w:tr>
      <w:tr>
        <w:tc>
          <w:tcPr>
            <w:tcW w:type="dxa" w:w="3120"/>
          </w:tcPr>
          <w:p>
            <w:pPr>
              <w:jc w:val="center"/>
            </w:pPr>
            <w:r>
              <w:rPr>
                <w:rFonts w:ascii="Times New Roman" w:hAnsi="Times New Roman"/>
                <w:sz w:val="20"/>
              </w:rPr>
              <w:t>Glucose</w:t>
            </w:r>
          </w:p>
        </w:tc>
        <w:tc>
          <w:tcPr>
            <w:tcW w:type="dxa" w:w="3120"/>
          </w:tcPr>
          <w:p>
            <w:pPr>
              <w:jc w:val="center"/>
            </w:pPr>
            <w:r>
              <w:rPr>
                <w:rFonts w:ascii="Times New Roman" w:hAnsi="Times New Roman"/>
                <w:sz w:val="20"/>
              </w:rPr>
              <w:t>5</w:t>
            </w:r>
          </w:p>
        </w:tc>
        <w:tc>
          <w:tcPr>
            <w:tcW w:type="dxa" w:w="3120"/>
          </w:tcPr>
          <w:p>
            <w:pPr>
              <w:jc w:val="center"/>
            </w:pPr>
            <w:r>
              <w:rPr>
                <w:rFonts w:ascii="Times New Roman" w:hAnsi="Times New Roman"/>
                <w:sz w:val="20"/>
              </w:rPr>
              <w:t>13</w:t>
            </w:r>
          </w:p>
        </w:tc>
      </w:tr>
      <w:tr>
        <w:tc>
          <w:tcPr>
            <w:tcW w:type="dxa" w:w="3120"/>
          </w:tcPr>
          <w:p>
            <w:pPr>
              <w:jc w:val="center"/>
            </w:pPr>
            <w:r>
              <w:rPr>
                <w:rFonts w:ascii="Times New Roman" w:hAnsi="Times New Roman"/>
                <w:sz w:val="20"/>
              </w:rPr>
              <w:t>BloodPressure</w:t>
            </w:r>
          </w:p>
        </w:tc>
        <w:tc>
          <w:tcPr>
            <w:tcW w:type="dxa" w:w="3120"/>
          </w:tcPr>
          <w:p>
            <w:pPr>
              <w:jc w:val="center"/>
            </w:pPr>
            <w:r>
              <w:rPr>
                <w:rFonts w:ascii="Times New Roman" w:hAnsi="Times New Roman"/>
                <w:sz w:val="20"/>
              </w:rPr>
              <w:t>35</w:t>
            </w:r>
          </w:p>
        </w:tc>
        <w:tc>
          <w:tcPr>
            <w:tcW w:type="dxa" w:w="3120"/>
          </w:tcPr>
          <w:p>
            <w:pPr>
              <w:jc w:val="center"/>
            </w:pPr>
            <w:r>
              <w:rPr>
                <w:rFonts w:ascii="Times New Roman" w:hAnsi="Times New Roman"/>
                <w:sz w:val="20"/>
              </w:rPr>
              <w:t>90</w:t>
            </w:r>
          </w:p>
        </w:tc>
      </w:tr>
      <w:tr>
        <w:tc>
          <w:tcPr>
            <w:tcW w:type="dxa" w:w="3120"/>
          </w:tcPr>
          <w:p>
            <w:pPr>
              <w:jc w:val="center"/>
            </w:pPr>
            <w:r>
              <w:rPr>
                <w:rFonts w:ascii="Times New Roman" w:hAnsi="Times New Roman"/>
                <w:sz w:val="20"/>
              </w:rPr>
              <w:t>SkinThickness</w:t>
            </w:r>
          </w:p>
        </w:tc>
        <w:tc>
          <w:tcPr>
            <w:tcW w:type="dxa" w:w="3120"/>
          </w:tcPr>
          <w:p>
            <w:pPr>
              <w:jc w:val="center"/>
            </w:pPr>
            <w:r>
              <w:rPr>
                <w:rFonts w:ascii="Times New Roman" w:hAnsi="Times New Roman"/>
                <w:sz w:val="20"/>
              </w:rPr>
              <w:t>227</w:t>
            </w:r>
          </w:p>
        </w:tc>
        <w:tc>
          <w:tcPr>
            <w:tcW w:type="dxa" w:w="3120"/>
          </w:tcPr>
          <w:p>
            <w:pPr>
              <w:jc w:val="center"/>
            </w:pPr>
            <w:r>
              <w:rPr>
                <w:rFonts w:ascii="Times New Roman" w:hAnsi="Times New Roman"/>
                <w:sz w:val="20"/>
              </w:rPr>
              <w:t>573</w:t>
            </w:r>
          </w:p>
        </w:tc>
      </w:tr>
      <w:tr>
        <w:tc>
          <w:tcPr>
            <w:tcW w:type="dxa" w:w="3120"/>
          </w:tcPr>
          <w:p>
            <w:pPr>
              <w:jc w:val="center"/>
            </w:pPr>
            <w:r>
              <w:rPr>
                <w:rFonts w:ascii="Times New Roman" w:hAnsi="Times New Roman"/>
                <w:sz w:val="20"/>
              </w:rPr>
              <w:t>Insulin</w:t>
            </w:r>
          </w:p>
        </w:tc>
        <w:tc>
          <w:tcPr>
            <w:tcW w:type="dxa" w:w="3120"/>
          </w:tcPr>
          <w:p>
            <w:pPr>
              <w:jc w:val="center"/>
            </w:pPr>
            <w:r>
              <w:rPr>
                <w:rFonts w:ascii="Times New Roman" w:hAnsi="Times New Roman"/>
                <w:sz w:val="20"/>
              </w:rPr>
              <w:t>374</w:t>
            </w:r>
          </w:p>
        </w:tc>
        <w:tc>
          <w:tcPr>
            <w:tcW w:type="dxa" w:w="3120"/>
          </w:tcPr>
          <w:p>
            <w:pPr>
              <w:jc w:val="center"/>
            </w:pPr>
            <w:r>
              <w:rPr>
                <w:rFonts w:ascii="Times New Roman" w:hAnsi="Times New Roman"/>
                <w:sz w:val="20"/>
              </w:rPr>
              <w:t>956</w:t>
            </w:r>
          </w:p>
        </w:tc>
      </w:tr>
      <w:tr>
        <w:tc>
          <w:tcPr>
            <w:tcW w:type="dxa" w:w="3120"/>
          </w:tcPr>
          <w:p>
            <w:pPr>
              <w:jc w:val="center"/>
            </w:pPr>
            <w:r>
              <w:rPr>
                <w:rFonts w:ascii="Times New Roman" w:hAnsi="Times New Roman"/>
                <w:sz w:val="20"/>
              </w:rPr>
              <w:t>BMI</w:t>
            </w:r>
          </w:p>
        </w:tc>
        <w:tc>
          <w:tcPr>
            <w:tcW w:type="dxa" w:w="3120"/>
          </w:tcPr>
          <w:p>
            <w:pPr>
              <w:jc w:val="center"/>
            </w:pPr>
            <w:r>
              <w:rPr>
                <w:rFonts w:ascii="Times New Roman" w:hAnsi="Times New Roman"/>
                <w:sz w:val="20"/>
              </w:rPr>
              <w:t>11</w:t>
            </w:r>
          </w:p>
        </w:tc>
        <w:tc>
          <w:tcPr>
            <w:tcW w:type="dxa" w:w="3120"/>
          </w:tcPr>
          <w:p>
            <w:pPr>
              <w:jc w:val="center"/>
            </w:pPr>
            <w:r>
              <w:rPr>
                <w:rFonts w:ascii="Times New Roman" w:hAnsi="Times New Roman"/>
                <w:sz w:val="20"/>
              </w:rPr>
              <w:t>28</w:t>
            </w:r>
          </w:p>
        </w:tc>
      </w:tr>
    </w:tbl>
    <w:p>
      <w:pPr>
        <w:spacing w:after="120"/>
      </w:pPr>
    </w:p>
    <w:p>
      <w:pPr>
        <w:spacing w:before="0" w:after="120" w:line="360" w:lineRule="auto"/>
        <w:jc w:val="center"/>
      </w:pPr>
      <w:r>
        <w:rPr>
          <w:rFonts w:ascii="Times New Roman" w:hAnsi="Times New Roman"/>
          <w:b w:val="0"/>
          <w:sz w:val="22"/>
        </w:rPr>
        <w:t>Table 3.1.1   Zero counts per clinical column before imputation</w:t>
      </w:r>
    </w:p>
    <w:p>
      <w:pPr>
        <w:spacing w:line="360" w:lineRule="auto" w:before="0" w:after="120"/>
        <w:ind w:firstLine="360"/>
        <w:jc w:val="both"/>
      </w:pPr>
      <w:r>
        <w:rPr>
          <w:rFonts w:ascii="Times New Roman" w:hAnsi="Times New Roman"/>
          <w:b w:val="0"/>
          <w:sz w:val="24"/>
        </w:rPr>
        <w:t>Missing values were imputed separately for each dataset to preserve dataset-specific distributions. Glucose and BloodPressure follow approximately normal distributions and were filled with the column mean. SkinThickness, Insulin, and BMI are right-skewed and were filled with the column median, which is more robust to extreme values than the mean (Iparraguirre-Villanueva et al., 2023). After imputation, all five columns contained zero missing values in both datasets.</w:t>
      </w:r>
    </w:p>
    <w:p>
      <w:pPr>
        <w:spacing w:before="120" w:after="60"/>
        <w:jc w:val="center"/>
      </w:pPr>
      <w:r>
        <w:drawing>
          <wp:inline xmlns:a="http://schemas.openxmlformats.org/drawingml/2006/main" xmlns:pic="http://schemas.openxmlformats.org/drawingml/2006/picture">
            <wp:extent cx="5486400" cy="2119667"/>
            <wp:docPr id="1" name="Picture 1"/>
            <wp:cNvGraphicFramePr>
              <a:graphicFrameLocks noChangeAspect="1"/>
            </wp:cNvGraphicFramePr>
            <a:graphic>
              <a:graphicData uri="http://schemas.openxmlformats.org/drawingml/2006/picture">
                <pic:pic>
                  <pic:nvPicPr>
                    <pic:cNvPr id="0" name="fig_3_1_1_missing_heatmap.png"/>
                    <pic:cNvPicPr/>
                  </pic:nvPicPr>
                  <pic:blipFill>
                    <a:blip r:embed="rId12"/>
                    <a:stretch>
                      <a:fillRect/>
                    </a:stretch>
                  </pic:blipFill>
                  <pic:spPr>
                    <a:xfrm>
                      <a:off x="0" y="0"/>
                      <a:ext cx="5486400" cy="2119667"/>
                    </a:xfrm>
                    <a:prstGeom prst="rect"/>
                  </pic:spPr>
                </pic:pic>
              </a:graphicData>
            </a:graphic>
          </wp:inline>
        </w:drawing>
      </w:r>
    </w:p>
    <w:p>
      <w:pPr>
        <w:spacing w:before="0" w:after="200"/>
        <w:jc w:val="center"/>
      </w:pPr>
      <w:r>
        <w:rPr>
          <w:rFonts w:ascii="Times New Roman" w:hAnsi="Times New Roman"/>
          <w:b/>
          <w:sz w:val="22"/>
        </w:rPr>
        <w:t>Figure 3.1.1</w:t>
      </w:r>
      <w:r>
        <w:rPr>
          <w:rFonts w:ascii="Times New Roman" w:hAnsi="Times New Roman"/>
          <w:b w:val="0"/>
          <w:sz w:val="22"/>
        </w:rPr>
        <w:t xml:space="preserve">   Missing value heatmap for PIMA (left) and Frankfurt (right) datasets before imputation</w:t>
      </w:r>
    </w:p>
    <w:p>
      <w:pPr>
        <w:spacing w:before="120" w:after="60" w:line="360" w:lineRule="auto"/>
        <w:jc w:val="left"/>
      </w:pPr>
      <w:r>
        <w:rPr>
          <w:rFonts w:ascii="Times New Roman" w:hAnsi="Times New Roman"/>
          <w:b/>
          <w:sz w:val="24"/>
        </w:rPr>
        <w:t>3.2  Data Integration</w:t>
      </w:r>
    </w:p>
    <w:p>
      <w:pPr>
        <w:spacing w:line="360" w:lineRule="auto" w:before="0" w:after="120"/>
        <w:ind w:firstLine="360"/>
        <w:jc w:val="both"/>
      </w:pPr>
      <w:r>
        <w:rPr>
          <w:rFonts w:ascii="Times New Roman" w:hAnsi="Times New Roman"/>
          <w:b w:val="0"/>
          <w:sz w:val="24"/>
        </w:rPr>
        <w:t>Following imputation, the two datasets were combined using pd.concat() with vertical stacking (axis=0). Before merging, a temporary source column was added to each dataset to preserve traceability. The final integrated dataset contains 2,768 rows and 9 columns (after dropping the source column). The source distribution is 768 PIMA records and 2,000 Frankfurt records. The class distribution is 1,816 records with Outcome = 0 (no diabetes) and 952 records with Outcome = 1 (diabetes), yielding an approximate 1.91:1 imbalance ratio. Combining both populations improves the generalisability of the trained model by capturing clinical variation across US and German patient groups.</w:t>
      </w:r>
    </w:p>
    <w:p>
      <w:pPr>
        <w:spacing w:before="120" w:after="60" w:line="360" w:lineRule="auto"/>
        <w:jc w:val="left"/>
      </w:pPr>
      <w:r>
        <w:rPr>
          <w:rFonts w:ascii="Times New Roman" w:hAnsi="Times New Roman"/>
          <w:b/>
          <w:sz w:val="24"/>
        </w:rPr>
        <w:t>3.3  Exploratory Data Analysis</w:t>
      </w:r>
    </w:p>
    <w:p>
      <w:pPr>
        <w:spacing w:line="360" w:lineRule="auto" w:before="0" w:after="120"/>
        <w:ind w:firstLine="360"/>
        <w:jc w:val="both"/>
      </w:pPr>
      <w:r>
        <w:rPr>
          <w:rFonts w:ascii="Times New Roman" w:hAnsi="Times New Roman"/>
          <w:b w:val="0"/>
          <w:sz w:val="24"/>
        </w:rPr>
        <w:t>Before transformation, exploratory visualisations were produced on the merged raw dataset to understand distributions and justify subsequent preprocessing steps.</w:t>
      </w:r>
    </w:p>
    <w:p>
      <w:pPr>
        <w:spacing w:before="120" w:after="60"/>
        <w:jc w:val="center"/>
      </w:pPr>
      <w:r>
        <w:drawing>
          <wp:inline xmlns:a="http://schemas.openxmlformats.org/drawingml/2006/main" xmlns:pic="http://schemas.openxmlformats.org/drawingml/2006/picture">
            <wp:extent cx="3657600" cy="2866624"/>
            <wp:docPr id="2" name="Picture 2"/>
            <wp:cNvGraphicFramePr>
              <a:graphicFrameLocks noChangeAspect="1"/>
            </wp:cNvGraphicFramePr>
            <a:graphic>
              <a:graphicData uri="http://schemas.openxmlformats.org/drawingml/2006/picture">
                <pic:pic>
                  <pic:nvPicPr>
                    <pic:cNvPr id="0" name="fig_3_3_1_eda_countplot.png"/>
                    <pic:cNvPicPr/>
                  </pic:nvPicPr>
                  <pic:blipFill>
                    <a:blip r:embed="rId13"/>
                    <a:stretch>
                      <a:fillRect/>
                    </a:stretch>
                  </pic:blipFill>
                  <pic:spPr>
                    <a:xfrm>
                      <a:off x="0" y="0"/>
                      <a:ext cx="3657600" cy="2866624"/>
                    </a:xfrm>
                    <a:prstGeom prst="rect"/>
                  </pic:spPr>
                </pic:pic>
              </a:graphicData>
            </a:graphic>
          </wp:inline>
        </w:drawing>
      </w:r>
    </w:p>
    <w:p>
      <w:pPr>
        <w:spacing w:before="0" w:after="200"/>
        <w:jc w:val="center"/>
      </w:pPr>
      <w:r>
        <w:rPr>
          <w:rFonts w:ascii="Times New Roman" w:hAnsi="Times New Roman"/>
          <w:b/>
          <w:sz w:val="22"/>
        </w:rPr>
        <w:t>Figure 3.3.1</w:t>
      </w:r>
      <w:r>
        <w:rPr>
          <w:rFonts w:ascii="Times New Roman" w:hAnsi="Times New Roman"/>
          <w:b w:val="0"/>
          <w:sz w:val="22"/>
        </w:rPr>
        <w:t xml:space="preserve">   Class distribution — Outcome 0 (No Diabetes) vs Outcome 1 (Diabetes)</w:t>
      </w:r>
    </w:p>
    <w:p>
      <w:pPr>
        <w:spacing w:before="120" w:after="60"/>
        <w:jc w:val="center"/>
      </w:pPr>
      <w:r>
        <w:drawing>
          <wp:inline xmlns:a="http://schemas.openxmlformats.org/drawingml/2006/main" xmlns:pic="http://schemas.openxmlformats.org/drawingml/2006/picture">
            <wp:extent cx="5486400" cy="4544446"/>
            <wp:docPr id="3" name="Picture 3"/>
            <wp:cNvGraphicFramePr>
              <a:graphicFrameLocks noChangeAspect="1"/>
            </wp:cNvGraphicFramePr>
            <a:graphic>
              <a:graphicData uri="http://schemas.openxmlformats.org/drawingml/2006/picture">
                <pic:pic>
                  <pic:nvPicPr>
                    <pic:cNvPr id="0" name="fig_3_3_2_eda_histograms.png"/>
                    <pic:cNvPicPr/>
                  </pic:nvPicPr>
                  <pic:blipFill>
                    <a:blip r:embed="rId14"/>
                    <a:stretch>
                      <a:fillRect/>
                    </a:stretch>
                  </pic:blipFill>
                  <pic:spPr>
                    <a:xfrm>
                      <a:off x="0" y="0"/>
                      <a:ext cx="5486400" cy="4544446"/>
                    </a:xfrm>
                    <a:prstGeom prst="rect"/>
                  </pic:spPr>
                </pic:pic>
              </a:graphicData>
            </a:graphic>
          </wp:inline>
        </w:drawing>
      </w:r>
    </w:p>
    <w:p>
      <w:pPr>
        <w:spacing w:before="0" w:after="200"/>
        <w:jc w:val="center"/>
      </w:pPr>
      <w:r>
        <w:rPr>
          <w:rFonts w:ascii="Times New Roman" w:hAnsi="Times New Roman"/>
          <w:b/>
          <w:sz w:val="22"/>
        </w:rPr>
        <w:t>Figure 3.3.2</w:t>
      </w:r>
      <w:r>
        <w:rPr>
          <w:rFonts w:ascii="Times New Roman" w:hAnsi="Times New Roman"/>
          <w:b w:val="0"/>
          <w:sz w:val="22"/>
        </w:rPr>
        <w:t xml:space="preserve">   Histograms of all eight features showing distribution shape and skewness</w:t>
      </w:r>
    </w:p>
    <w:p>
      <w:pPr>
        <w:spacing w:line="360" w:lineRule="auto" w:before="0" w:after="120"/>
        <w:ind w:firstLine="360"/>
        <w:jc w:val="both"/>
      </w:pPr>
      <w:r>
        <w:rPr>
          <w:rFonts w:ascii="Times New Roman" w:hAnsi="Times New Roman"/>
          <w:b w:val="0"/>
          <w:sz w:val="24"/>
        </w:rPr>
        <w:t>The histograms (Figure 3.3.2) confirm that Insulin and DiabetesPedigreeFunction are severely right-skewed, justifying the log transformation applied in Section 3.4. Most other features also deviate from normality.</w:t>
      </w:r>
    </w:p>
    <w:p>
      <w:pPr>
        <w:spacing w:before="120" w:after="60"/>
        <w:jc w:val="center"/>
      </w:pPr>
      <w:r>
        <w:drawing>
          <wp:inline xmlns:a="http://schemas.openxmlformats.org/drawingml/2006/main" xmlns:pic="http://schemas.openxmlformats.org/drawingml/2006/picture">
            <wp:extent cx="5486400" cy="4074543"/>
            <wp:docPr id="4" name="Picture 4"/>
            <wp:cNvGraphicFramePr>
              <a:graphicFrameLocks noChangeAspect="1"/>
            </wp:cNvGraphicFramePr>
            <a:graphic>
              <a:graphicData uri="http://schemas.openxmlformats.org/drawingml/2006/picture">
                <pic:pic>
                  <pic:nvPicPr>
                    <pic:cNvPr id="0" name="fig_3_3_3_eda_boxplots.png"/>
                    <pic:cNvPicPr/>
                  </pic:nvPicPr>
                  <pic:blipFill>
                    <a:blip r:embed="rId15"/>
                    <a:stretch>
                      <a:fillRect/>
                    </a:stretch>
                  </pic:blipFill>
                  <pic:spPr>
                    <a:xfrm>
                      <a:off x="0" y="0"/>
                      <a:ext cx="5486400" cy="4074543"/>
                    </a:xfrm>
                    <a:prstGeom prst="rect"/>
                  </pic:spPr>
                </pic:pic>
              </a:graphicData>
            </a:graphic>
          </wp:inline>
        </w:drawing>
      </w:r>
    </w:p>
    <w:p>
      <w:pPr>
        <w:spacing w:before="0" w:after="200"/>
        <w:jc w:val="center"/>
      </w:pPr>
      <w:r>
        <w:rPr>
          <w:rFonts w:ascii="Times New Roman" w:hAnsi="Times New Roman"/>
          <w:b/>
          <w:sz w:val="22"/>
        </w:rPr>
        <w:t>Figure 3.3.3</w:t>
      </w:r>
      <w:r>
        <w:rPr>
          <w:rFonts w:ascii="Times New Roman" w:hAnsi="Times New Roman"/>
          <w:b w:val="0"/>
          <w:sz w:val="22"/>
        </w:rPr>
        <w:t xml:space="preserve">   Box plots of all eight features revealing different value scales and the presence of outliers</w:t>
      </w:r>
    </w:p>
    <w:p>
      <w:pPr>
        <w:spacing w:line="360" w:lineRule="auto" w:before="0" w:after="120"/>
        <w:ind w:firstLine="360"/>
        <w:jc w:val="both"/>
      </w:pPr>
      <w:r>
        <w:rPr>
          <w:rFonts w:ascii="Times New Roman" w:hAnsi="Times New Roman"/>
          <w:b w:val="0"/>
          <w:sz w:val="24"/>
        </w:rPr>
        <w:t>The box plots (Figure 3.3.3) make the scale problem immediately visible: Insulin ranges from near zero to 846, while DiabetesPedigreeFunction spans only 0.08 to 2.42. Without standardisation, a distance-based model such as KNN would be dominated by high-magnitude features. Numerous outliers are also visible in Insulin, BMI, and SkinThickness.</w:t>
      </w:r>
    </w:p>
    <w:p>
      <w:r>
        <w:br w:type="page"/>
      </w:r>
    </w:p>
    <w:p>
      <w:pPr>
        <w:spacing w:before="120" w:after="60"/>
        <w:jc w:val="center"/>
      </w:pPr>
      <w:r>
        <w:drawing>
          <wp:inline xmlns:a="http://schemas.openxmlformats.org/drawingml/2006/main" xmlns:pic="http://schemas.openxmlformats.org/drawingml/2006/picture">
            <wp:extent cx="5486400" cy="6123621"/>
            <wp:docPr id="5" name="Picture 5"/>
            <wp:cNvGraphicFramePr>
              <a:graphicFrameLocks noChangeAspect="1"/>
            </wp:cNvGraphicFramePr>
            <a:graphic>
              <a:graphicData uri="http://schemas.openxmlformats.org/drawingml/2006/picture">
                <pic:pic>
                  <pic:nvPicPr>
                    <pic:cNvPr id="0" name="fig_3_3_4_eda_scatter_matrix.png"/>
                    <pic:cNvPicPr/>
                  </pic:nvPicPr>
                  <pic:blipFill>
                    <a:blip r:embed="rId16"/>
                    <a:stretch>
                      <a:fillRect/>
                    </a:stretch>
                  </pic:blipFill>
                  <pic:spPr>
                    <a:xfrm>
                      <a:off x="0" y="0"/>
                      <a:ext cx="5486400" cy="6123621"/>
                    </a:xfrm>
                    <a:prstGeom prst="rect"/>
                  </pic:spPr>
                </pic:pic>
              </a:graphicData>
            </a:graphic>
          </wp:inline>
        </w:drawing>
      </w:r>
    </w:p>
    <w:p>
      <w:pPr>
        <w:spacing w:before="0" w:after="200"/>
        <w:jc w:val="center"/>
      </w:pPr>
      <w:r>
        <w:rPr>
          <w:rFonts w:ascii="Times New Roman" w:hAnsi="Times New Roman"/>
          <w:b/>
          <w:sz w:val="22"/>
        </w:rPr>
        <w:t>Figure 3.3.4</w:t>
      </w:r>
      <w:r>
        <w:rPr>
          <w:rFonts w:ascii="Times New Roman" w:hAnsi="Times New Roman"/>
          <w:b w:val="0"/>
          <w:sz w:val="22"/>
        </w:rPr>
        <w:t xml:space="preserve">   Scatter matrix showing pairwise relationships between all eight features</w:t>
      </w:r>
    </w:p>
    <w:p>
      <w:pPr>
        <w:spacing w:before="120" w:after="60"/>
        <w:jc w:val="center"/>
      </w:pPr>
      <w:r>
        <w:drawing>
          <wp:inline xmlns:a="http://schemas.openxmlformats.org/drawingml/2006/main" xmlns:pic="http://schemas.openxmlformats.org/drawingml/2006/picture">
            <wp:extent cx="5486400" cy="5246314"/>
            <wp:docPr id="6" name="Picture 6"/>
            <wp:cNvGraphicFramePr>
              <a:graphicFrameLocks noChangeAspect="1"/>
            </wp:cNvGraphicFramePr>
            <a:graphic>
              <a:graphicData uri="http://schemas.openxmlformats.org/drawingml/2006/picture">
                <pic:pic>
                  <pic:nvPicPr>
                    <pic:cNvPr id="0" name="fig_3_3_5_eda_pairplot.png"/>
                    <pic:cNvPicPr/>
                  </pic:nvPicPr>
                  <pic:blipFill>
                    <a:blip r:embed="rId17"/>
                    <a:stretch>
                      <a:fillRect/>
                    </a:stretch>
                  </pic:blipFill>
                  <pic:spPr>
                    <a:xfrm>
                      <a:off x="0" y="0"/>
                      <a:ext cx="5486400" cy="5246314"/>
                    </a:xfrm>
                    <a:prstGeom prst="rect"/>
                  </pic:spPr>
                </pic:pic>
              </a:graphicData>
            </a:graphic>
          </wp:inline>
        </w:drawing>
      </w:r>
    </w:p>
    <w:p>
      <w:pPr>
        <w:spacing w:before="0" w:after="200"/>
        <w:jc w:val="center"/>
      </w:pPr>
      <w:r>
        <w:rPr>
          <w:rFonts w:ascii="Times New Roman" w:hAnsi="Times New Roman"/>
          <w:b/>
          <w:sz w:val="22"/>
        </w:rPr>
        <w:t>Figure 3.3.5</w:t>
      </w:r>
      <w:r>
        <w:rPr>
          <w:rFonts w:ascii="Times New Roman" w:hAnsi="Times New Roman"/>
          <w:b w:val="0"/>
          <w:sz w:val="22"/>
        </w:rPr>
        <w:t xml:space="preserve">   Pair plot coloured by class label showing feature-level class separation</w:t>
      </w:r>
    </w:p>
    <w:p>
      <w:pPr>
        <w:spacing w:line="360" w:lineRule="auto" w:before="0" w:after="120"/>
        <w:ind w:firstLine="360"/>
        <w:jc w:val="both"/>
      </w:pPr>
      <w:r>
        <w:rPr>
          <w:rFonts w:ascii="Times New Roman" w:hAnsi="Times New Roman"/>
          <w:b w:val="0"/>
          <w:sz w:val="24"/>
        </w:rPr>
        <w:t>The pair plot (Figure 3.3.5) shows that Glucose, BMI, and DiabetesPedigreeFunction exhibit the clearest class separation between diabetic and non-diabetic patients, consistent with their high Mutual Information scores reported in Section 4.2.</w:t>
      </w:r>
    </w:p>
    <w:p>
      <w:pPr>
        <w:spacing w:before="120" w:after="60" w:line="360" w:lineRule="auto"/>
        <w:jc w:val="left"/>
      </w:pPr>
      <w:r>
        <w:rPr>
          <w:rFonts w:ascii="Times New Roman" w:hAnsi="Times New Roman"/>
          <w:b/>
          <w:sz w:val="24"/>
        </w:rPr>
        <w:t>3.4  Data Transformation</w:t>
      </w:r>
    </w:p>
    <w:p>
      <w:pPr>
        <w:spacing w:line="360" w:lineRule="auto" w:before="0" w:after="120"/>
        <w:ind w:firstLine="360"/>
        <w:jc w:val="both"/>
      </w:pPr>
      <w:r>
        <w:rPr>
          <w:rFonts w:ascii="Times New Roman" w:hAnsi="Times New Roman"/>
          <w:b w:val="0"/>
          <w:sz w:val="24"/>
        </w:rPr>
        <w:t>Logarithmic transformation using np.log1p() was applied to Insulin and DiabetesPedigreeFunction, the two most severely skewed features. The log1p function computes ln(x + 1), which safely handles zero values while compressing the long right tail of the distribution into a more symmetric shape. As shown in Figure 3.4.1, the transformation substantially reduces skewness and brings both features closer to a normal distribution, which improves the robustness of downstream scaling and modelling (Reza et al., 2024).</w:t>
      </w:r>
    </w:p>
    <w:p>
      <w:pPr>
        <w:spacing w:before="120" w:after="60"/>
        <w:jc w:val="center"/>
      </w:pPr>
      <w:r>
        <w:drawing>
          <wp:inline xmlns:a="http://schemas.openxmlformats.org/drawingml/2006/main" xmlns:pic="http://schemas.openxmlformats.org/drawingml/2006/picture">
            <wp:extent cx="5486400" cy="3111591"/>
            <wp:docPr id="7" name="Picture 7"/>
            <wp:cNvGraphicFramePr>
              <a:graphicFrameLocks noChangeAspect="1"/>
            </wp:cNvGraphicFramePr>
            <a:graphic>
              <a:graphicData uri="http://schemas.openxmlformats.org/drawingml/2006/picture">
                <pic:pic>
                  <pic:nvPicPr>
                    <pic:cNvPr id="0" name="fig_3_3_1_log_transform.png"/>
                    <pic:cNvPicPr/>
                  </pic:nvPicPr>
                  <pic:blipFill>
                    <a:blip r:embed="rId18"/>
                    <a:stretch>
                      <a:fillRect/>
                    </a:stretch>
                  </pic:blipFill>
                  <pic:spPr>
                    <a:xfrm>
                      <a:off x="0" y="0"/>
                      <a:ext cx="5486400" cy="3111591"/>
                    </a:xfrm>
                    <a:prstGeom prst="rect"/>
                  </pic:spPr>
                </pic:pic>
              </a:graphicData>
            </a:graphic>
          </wp:inline>
        </w:drawing>
      </w:r>
    </w:p>
    <w:p>
      <w:pPr>
        <w:spacing w:before="0" w:after="200"/>
        <w:jc w:val="center"/>
      </w:pPr>
      <w:r>
        <w:rPr>
          <w:rFonts w:ascii="Times New Roman" w:hAnsi="Times New Roman"/>
          <w:b/>
          <w:sz w:val="22"/>
        </w:rPr>
        <w:t>Figure 3.4.1</w:t>
      </w:r>
      <w:r>
        <w:rPr>
          <w:rFonts w:ascii="Times New Roman" w:hAnsi="Times New Roman"/>
          <w:b w:val="0"/>
          <w:sz w:val="22"/>
        </w:rPr>
        <w:t xml:space="preserve">   Distribution of Insulin and DiabetesPedigreeFunction before and after log1p transformation</w:t>
      </w:r>
    </w:p>
    <w:p>
      <w:pPr>
        <w:spacing w:before="120" w:after="60" w:line="360" w:lineRule="auto"/>
        <w:jc w:val="left"/>
      </w:pPr>
      <w:r>
        <w:rPr>
          <w:rFonts w:ascii="Times New Roman" w:hAnsi="Times New Roman"/>
          <w:b/>
          <w:sz w:val="24"/>
        </w:rPr>
        <w:t>3.5  Data Standardisation</w:t>
      </w:r>
    </w:p>
    <w:p>
      <w:pPr>
        <w:spacing w:line="360" w:lineRule="auto" w:before="0" w:after="120"/>
        <w:ind w:firstLine="360"/>
        <w:jc w:val="both"/>
      </w:pPr>
      <w:r>
        <w:rPr>
          <w:rFonts w:ascii="Times New Roman" w:hAnsi="Times New Roman"/>
          <w:b w:val="0"/>
          <w:sz w:val="24"/>
        </w:rPr>
        <w:t>StandardScaler from Scikit-learn was applied to all eight features after log transformation. The scaler transforms each feature to zero mean and unit variance using the Z-score formula: z = (x − μ) / σ. This step is essential for KNN, which computes Euclidean distance between data points—without standardisation, features with large absolute values (e.g., Insulin) would disproportionately dominate the distance calculation and produce a biased model (Chang et al., 2023). After scaling, all features have mean ≈ 0 and standard deviation ≈ 1, as verified by the descriptive statistics.</w:t>
      </w:r>
    </w:p>
    <w:p>
      <w:pPr>
        <w:spacing w:before="120" w:after="60"/>
        <w:jc w:val="center"/>
      </w:pPr>
      <w:r>
        <w:drawing>
          <wp:inline xmlns:a="http://schemas.openxmlformats.org/drawingml/2006/main" xmlns:pic="http://schemas.openxmlformats.org/drawingml/2006/picture">
            <wp:extent cx="5486400" cy="2044460"/>
            <wp:docPr id="8" name="Picture 8"/>
            <wp:cNvGraphicFramePr>
              <a:graphicFrameLocks noChangeAspect="1"/>
            </wp:cNvGraphicFramePr>
            <a:graphic>
              <a:graphicData uri="http://schemas.openxmlformats.org/drawingml/2006/picture">
                <pic:pic>
                  <pic:nvPicPr>
                    <pic:cNvPr id="0" name="fig_3_4_1_standardization.png"/>
                    <pic:cNvPicPr/>
                  </pic:nvPicPr>
                  <pic:blipFill>
                    <a:blip r:embed="rId19"/>
                    <a:stretch>
                      <a:fillRect/>
                    </a:stretch>
                  </pic:blipFill>
                  <pic:spPr>
                    <a:xfrm>
                      <a:off x="0" y="0"/>
                      <a:ext cx="5486400" cy="2044460"/>
                    </a:xfrm>
                    <a:prstGeom prst="rect"/>
                  </pic:spPr>
                </pic:pic>
              </a:graphicData>
            </a:graphic>
          </wp:inline>
        </w:drawing>
      </w:r>
    </w:p>
    <w:p>
      <w:pPr>
        <w:spacing w:before="0" w:after="200"/>
        <w:jc w:val="center"/>
      </w:pPr>
      <w:r>
        <w:rPr>
          <w:rFonts w:ascii="Times New Roman" w:hAnsi="Times New Roman"/>
          <w:b/>
          <w:sz w:val="22"/>
        </w:rPr>
        <w:t>Figure 3.5.1</w:t>
      </w:r>
      <w:r>
        <w:rPr>
          <w:rFonts w:ascii="Times New Roman" w:hAnsi="Times New Roman"/>
          <w:b w:val="0"/>
          <w:sz w:val="22"/>
        </w:rPr>
        <w:t xml:space="preserve">   Feature distributions before (left) and after (right) StandardScaler normalisation</w:t>
      </w:r>
    </w:p>
    <w:p>
      <w:pPr>
        <w:spacing w:before="120" w:after="60" w:line="360" w:lineRule="auto"/>
        <w:jc w:val="left"/>
      </w:pPr>
      <w:r>
        <w:rPr>
          <w:rFonts w:ascii="Times New Roman" w:hAnsi="Times New Roman"/>
          <w:b/>
          <w:sz w:val="24"/>
        </w:rPr>
        <w:t>3.6  Dimensionality Reduction — PCA</w:t>
      </w:r>
    </w:p>
    <w:p>
      <w:pPr>
        <w:spacing w:line="360" w:lineRule="auto" w:before="0" w:after="120"/>
        <w:ind w:firstLine="360"/>
        <w:jc w:val="both"/>
      </w:pPr>
      <w:r>
        <w:rPr>
          <w:rFonts w:ascii="Times New Roman" w:hAnsi="Times New Roman"/>
          <w:b w:val="0"/>
          <w:sz w:val="24"/>
        </w:rPr>
        <w:t>Principal Component Analysis (PCA) was applied to the standardised features to assess the intrinsic dimensionality of the dataset. PCA was used for analytical purposes only; the original scaled features were retained for feature selection and modelling. As shown in Figure 3.6.1, seven principal components are required to explain at least 95% of the total variance (cumulative variance = 0.9507 at PC7). The first component alone explains 28.8% of variance, and the first three components together explain 60.7%, indicating moderate correlation among the original eight features.</w:t>
      </w:r>
    </w:p>
    <w:p>
      <w:pPr>
        <w:spacing w:before="120" w:after="60"/>
        <w:jc w:val="center"/>
      </w:pPr>
      <w:r>
        <w:drawing>
          <wp:inline xmlns:a="http://schemas.openxmlformats.org/drawingml/2006/main" xmlns:pic="http://schemas.openxmlformats.org/drawingml/2006/picture">
            <wp:extent cx="5486400" cy="3267805"/>
            <wp:docPr id="9" name="Picture 9"/>
            <wp:cNvGraphicFramePr>
              <a:graphicFrameLocks noChangeAspect="1"/>
            </wp:cNvGraphicFramePr>
            <a:graphic>
              <a:graphicData uri="http://schemas.openxmlformats.org/drawingml/2006/picture">
                <pic:pic>
                  <pic:nvPicPr>
                    <pic:cNvPr id="0" name="fig_3_5_1_pca_variance.png"/>
                    <pic:cNvPicPr/>
                  </pic:nvPicPr>
                  <pic:blipFill>
                    <a:blip r:embed="rId20"/>
                    <a:stretch>
                      <a:fillRect/>
                    </a:stretch>
                  </pic:blipFill>
                  <pic:spPr>
                    <a:xfrm>
                      <a:off x="0" y="0"/>
                      <a:ext cx="5486400" cy="3267805"/>
                    </a:xfrm>
                    <a:prstGeom prst="rect"/>
                  </pic:spPr>
                </pic:pic>
              </a:graphicData>
            </a:graphic>
          </wp:inline>
        </w:drawing>
      </w:r>
    </w:p>
    <w:p>
      <w:pPr>
        <w:spacing w:before="0" w:after="200"/>
        <w:jc w:val="center"/>
      </w:pPr>
      <w:r>
        <w:rPr>
          <w:rFonts w:ascii="Times New Roman" w:hAnsi="Times New Roman"/>
          <w:b/>
          <w:sz w:val="22"/>
        </w:rPr>
        <w:t>Figure 3.6.1</w:t>
      </w:r>
      <w:r>
        <w:rPr>
          <w:rFonts w:ascii="Times New Roman" w:hAnsi="Times New Roman"/>
          <w:b w:val="0"/>
          <w:sz w:val="22"/>
        </w:rPr>
        <w:t xml:space="preserve">   PCA individual and cumulative explained variance ratio across all eight principal components</w:t>
      </w:r>
    </w:p>
    <w:p>
      <w:r>
        <w:br w:type="page"/>
      </w:r>
    </w:p>
    <w:p>
      <w:pPr>
        <w:spacing w:before="240" w:after="120" w:line="360" w:lineRule="auto"/>
        <w:jc w:val="left"/>
      </w:pPr>
      <w:r>
        <w:rPr>
          <w:rFonts w:ascii="Times New Roman" w:hAnsi="Times New Roman"/>
          <w:b/>
          <w:sz w:val="24"/>
        </w:rPr>
        <w:t>4.0  FEATURE SELECTION</w:t>
      </w:r>
    </w:p>
    <w:p>
      <w:pPr>
        <w:spacing w:before="120" w:after="60" w:line="360" w:lineRule="auto"/>
        <w:jc w:val="left"/>
      </w:pPr>
      <w:r>
        <w:rPr>
          <w:rFonts w:ascii="Times New Roman" w:hAnsi="Times New Roman"/>
          <w:b/>
          <w:sz w:val="24"/>
        </w:rPr>
        <w:t>4.1  Feature Selection Overview</w:t>
      </w:r>
    </w:p>
    <w:p>
      <w:pPr>
        <w:spacing w:line="360" w:lineRule="auto" w:before="0" w:after="120"/>
        <w:ind w:firstLine="360"/>
        <w:jc w:val="both"/>
      </w:pPr>
      <w:r>
        <w:rPr>
          <w:rFonts w:ascii="Times New Roman" w:hAnsi="Times New Roman"/>
          <w:b w:val="0"/>
          <w:sz w:val="24"/>
        </w:rPr>
        <w:t>Feature selection identifies the subset of features that contribute most to predictive performance while removing redundant or noisy variables. This reduces model complexity, mitigates overfitting, and can improve generalisation—particularly important for small-to-medium sized medical datasets (Olisah et al., 2022). Two complementary methods were applied: a filter method (Mutual Information) that evaluates each feature independently of the model, and a wrapper method (Recursive Feature Elimination) that uses a model's internal structure to iteratively prune the feature set.</w:t>
      </w:r>
    </w:p>
    <w:p>
      <w:pPr>
        <w:spacing w:before="120" w:after="60" w:line="360" w:lineRule="auto"/>
        <w:jc w:val="left"/>
      </w:pPr>
      <w:r>
        <w:rPr>
          <w:rFonts w:ascii="Times New Roman" w:hAnsi="Times New Roman"/>
          <w:b/>
          <w:sz w:val="24"/>
        </w:rPr>
        <w:t>4.2  Mutual Information (MI)</w:t>
      </w:r>
    </w:p>
    <w:p>
      <w:pPr>
        <w:spacing w:line="360" w:lineRule="auto" w:before="0" w:after="120"/>
        <w:ind w:firstLine="360"/>
        <w:jc w:val="both"/>
      </w:pPr>
      <w:r>
        <w:rPr>
          <w:rFonts w:ascii="Times New Roman" w:hAnsi="Times New Roman"/>
          <w:b w:val="0"/>
          <w:sz w:val="24"/>
        </w:rPr>
        <w:t>Mutual Information quantifies the statistical dependency between each feature and the target variable. A higher MI score means that knowing the feature value reduces more uncertainty about the Outcome. MI scores were computed using scikit-learn's mutual_info_classif on the standardised feature set. Features scoring above the median MI threshold (0.1096) were selected.</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0"/>
              </w:rPr>
              <w:t>Rank</w:t>
            </w:r>
          </w:p>
        </w:tc>
        <w:tc>
          <w:tcPr>
            <w:tcW w:type="dxa" w:w="3120"/>
          </w:tcPr>
          <w:p>
            <w:pPr>
              <w:jc w:val="center"/>
            </w:pPr>
            <w:r>
              <w:rPr>
                <w:rFonts w:ascii="Times New Roman" w:hAnsi="Times New Roman"/>
                <w:b/>
                <w:sz w:val="20"/>
              </w:rPr>
              <w:t>Feature</w:t>
            </w:r>
          </w:p>
        </w:tc>
        <w:tc>
          <w:tcPr>
            <w:tcW w:type="dxa" w:w="3120"/>
          </w:tcPr>
          <w:p>
            <w:pPr>
              <w:jc w:val="center"/>
            </w:pPr>
            <w:r>
              <w:rPr>
                <w:rFonts w:ascii="Times New Roman" w:hAnsi="Times New Roman"/>
                <w:b/>
                <w:sz w:val="20"/>
              </w:rPr>
              <w:t>MI Score</w:t>
            </w:r>
          </w:p>
        </w:tc>
      </w:tr>
      <w:tr>
        <w:tc>
          <w:tcPr>
            <w:tcW w:type="dxa" w:w="3120"/>
          </w:tcPr>
          <w:p>
            <w:pPr>
              <w:jc w:val="center"/>
            </w:pPr>
            <w:r>
              <w:rPr>
                <w:rFonts w:ascii="Times New Roman" w:hAnsi="Times New Roman"/>
                <w:sz w:val="20"/>
              </w:rPr>
              <w:t>1</w:t>
            </w:r>
          </w:p>
        </w:tc>
        <w:tc>
          <w:tcPr>
            <w:tcW w:type="dxa" w:w="3120"/>
          </w:tcPr>
          <w:p>
            <w:pPr>
              <w:jc w:val="center"/>
            </w:pPr>
            <w:r>
              <w:rPr>
                <w:rFonts w:ascii="Times New Roman" w:hAnsi="Times New Roman"/>
                <w:sz w:val="20"/>
              </w:rPr>
              <w:t>DiabetesPedigreeFunction</w:t>
            </w:r>
          </w:p>
        </w:tc>
        <w:tc>
          <w:tcPr>
            <w:tcW w:type="dxa" w:w="3120"/>
          </w:tcPr>
          <w:p>
            <w:pPr>
              <w:jc w:val="center"/>
            </w:pPr>
            <w:r>
              <w:rPr>
                <w:rFonts w:ascii="Times New Roman" w:hAnsi="Times New Roman"/>
                <w:sz w:val="20"/>
              </w:rPr>
              <w:t>0.3510</w:t>
            </w:r>
          </w:p>
        </w:tc>
      </w:tr>
      <w:tr>
        <w:tc>
          <w:tcPr>
            <w:tcW w:type="dxa" w:w="3120"/>
          </w:tcPr>
          <w:p>
            <w:pPr>
              <w:jc w:val="center"/>
            </w:pPr>
            <w:r>
              <w:rPr>
                <w:rFonts w:ascii="Times New Roman" w:hAnsi="Times New Roman"/>
                <w:sz w:val="20"/>
              </w:rPr>
              <w:t>2</w:t>
            </w:r>
          </w:p>
        </w:tc>
        <w:tc>
          <w:tcPr>
            <w:tcW w:type="dxa" w:w="3120"/>
          </w:tcPr>
          <w:p>
            <w:pPr>
              <w:jc w:val="center"/>
            </w:pPr>
            <w:r>
              <w:rPr>
                <w:rFonts w:ascii="Times New Roman" w:hAnsi="Times New Roman"/>
                <w:sz w:val="20"/>
              </w:rPr>
              <w:t>BMI</w:t>
            </w:r>
          </w:p>
        </w:tc>
        <w:tc>
          <w:tcPr>
            <w:tcW w:type="dxa" w:w="3120"/>
          </w:tcPr>
          <w:p>
            <w:pPr>
              <w:jc w:val="center"/>
            </w:pPr>
            <w:r>
              <w:rPr>
                <w:rFonts w:ascii="Times New Roman" w:hAnsi="Times New Roman"/>
                <w:sz w:val="20"/>
              </w:rPr>
              <w:t>0.1914</w:t>
            </w:r>
          </w:p>
        </w:tc>
      </w:tr>
      <w:tr>
        <w:tc>
          <w:tcPr>
            <w:tcW w:type="dxa" w:w="3120"/>
          </w:tcPr>
          <w:p>
            <w:pPr>
              <w:jc w:val="center"/>
            </w:pPr>
            <w:r>
              <w:rPr>
                <w:rFonts w:ascii="Times New Roman" w:hAnsi="Times New Roman"/>
                <w:sz w:val="20"/>
              </w:rPr>
              <w:t>3</w:t>
            </w:r>
          </w:p>
        </w:tc>
        <w:tc>
          <w:tcPr>
            <w:tcW w:type="dxa" w:w="3120"/>
          </w:tcPr>
          <w:p>
            <w:pPr>
              <w:jc w:val="center"/>
            </w:pPr>
            <w:r>
              <w:rPr>
                <w:rFonts w:ascii="Times New Roman" w:hAnsi="Times New Roman"/>
                <w:sz w:val="20"/>
              </w:rPr>
              <w:t>Glucose</w:t>
            </w:r>
          </w:p>
        </w:tc>
        <w:tc>
          <w:tcPr>
            <w:tcW w:type="dxa" w:w="3120"/>
          </w:tcPr>
          <w:p>
            <w:pPr>
              <w:jc w:val="center"/>
            </w:pPr>
            <w:r>
              <w:rPr>
                <w:rFonts w:ascii="Times New Roman" w:hAnsi="Times New Roman"/>
                <w:sz w:val="20"/>
              </w:rPr>
              <w:t>0.1841</w:t>
            </w:r>
          </w:p>
        </w:tc>
      </w:tr>
      <w:tr>
        <w:tc>
          <w:tcPr>
            <w:tcW w:type="dxa" w:w="3120"/>
          </w:tcPr>
          <w:p>
            <w:pPr>
              <w:jc w:val="center"/>
            </w:pPr>
            <w:r>
              <w:rPr>
                <w:rFonts w:ascii="Times New Roman" w:hAnsi="Times New Roman"/>
                <w:sz w:val="20"/>
              </w:rPr>
              <w:t>4</w:t>
            </w:r>
          </w:p>
        </w:tc>
        <w:tc>
          <w:tcPr>
            <w:tcW w:type="dxa" w:w="3120"/>
          </w:tcPr>
          <w:p>
            <w:pPr>
              <w:jc w:val="center"/>
            </w:pPr>
            <w:r>
              <w:rPr>
                <w:rFonts w:ascii="Times New Roman" w:hAnsi="Times New Roman"/>
                <w:sz w:val="20"/>
              </w:rPr>
              <w:t>Insulin</w:t>
            </w:r>
          </w:p>
        </w:tc>
        <w:tc>
          <w:tcPr>
            <w:tcW w:type="dxa" w:w="3120"/>
          </w:tcPr>
          <w:p>
            <w:pPr>
              <w:jc w:val="center"/>
            </w:pPr>
            <w:r>
              <w:rPr>
                <w:rFonts w:ascii="Times New Roman" w:hAnsi="Times New Roman"/>
                <w:sz w:val="20"/>
              </w:rPr>
              <w:t>0.1342</w:t>
            </w:r>
          </w:p>
        </w:tc>
      </w:tr>
      <w:tr>
        <w:tc>
          <w:tcPr>
            <w:tcW w:type="dxa" w:w="3120"/>
          </w:tcPr>
          <w:p>
            <w:pPr>
              <w:jc w:val="center"/>
            </w:pPr>
            <w:r>
              <w:rPr>
                <w:rFonts w:ascii="Times New Roman" w:hAnsi="Times New Roman"/>
                <w:sz w:val="20"/>
              </w:rPr>
              <w:t>5</w:t>
            </w:r>
          </w:p>
        </w:tc>
        <w:tc>
          <w:tcPr>
            <w:tcW w:type="dxa" w:w="3120"/>
          </w:tcPr>
          <w:p>
            <w:pPr>
              <w:jc w:val="center"/>
            </w:pPr>
            <w:r>
              <w:rPr>
                <w:rFonts w:ascii="Times New Roman" w:hAnsi="Times New Roman"/>
                <w:sz w:val="20"/>
              </w:rPr>
              <w:t>Age</w:t>
            </w:r>
          </w:p>
        </w:tc>
        <w:tc>
          <w:tcPr>
            <w:tcW w:type="dxa" w:w="3120"/>
          </w:tcPr>
          <w:p>
            <w:pPr>
              <w:jc w:val="center"/>
            </w:pPr>
            <w:r>
              <w:rPr>
                <w:rFonts w:ascii="Times New Roman" w:hAnsi="Times New Roman"/>
                <w:sz w:val="20"/>
              </w:rPr>
              <w:t>0.0851</w:t>
            </w:r>
          </w:p>
        </w:tc>
      </w:tr>
      <w:tr>
        <w:tc>
          <w:tcPr>
            <w:tcW w:type="dxa" w:w="3120"/>
          </w:tcPr>
          <w:p>
            <w:pPr>
              <w:jc w:val="center"/>
            </w:pPr>
            <w:r>
              <w:rPr>
                <w:rFonts w:ascii="Times New Roman" w:hAnsi="Times New Roman"/>
                <w:sz w:val="20"/>
              </w:rPr>
              <w:t>6</w:t>
            </w:r>
          </w:p>
        </w:tc>
        <w:tc>
          <w:tcPr>
            <w:tcW w:type="dxa" w:w="3120"/>
          </w:tcPr>
          <w:p>
            <w:pPr>
              <w:jc w:val="center"/>
            </w:pPr>
            <w:r>
              <w:rPr>
                <w:rFonts w:ascii="Times New Roman" w:hAnsi="Times New Roman"/>
                <w:sz w:val="20"/>
              </w:rPr>
              <w:t>SkinThickness</w:t>
            </w:r>
          </w:p>
        </w:tc>
        <w:tc>
          <w:tcPr>
            <w:tcW w:type="dxa" w:w="3120"/>
          </w:tcPr>
          <w:p>
            <w:pPr>
              <w:jc w:val="center"/>
            </w:pPr>
            <w:r>
              <w:rPr>
                <w:rFonts w:ascii="Times New Roman" w:hAnsi="Times New Roman"/>
                <w:sz w:val="20"/>
              </w:rPr>
              <w:t>0.0430</w:t>
            </w:r>
          </w:p>
        </w:tc>
      </w:tr>
      <w:tr>
        <w:tc>
          <w:tcPr>
            <w:tcW w:type="dxa" w:w="3120"/>
          </w:tcPr>
          <w:p>
            <w:pPr>
              <w:jc w:val="center"/>
            </w:pPr>
            <w:r>
              <w:rPr>
                <w:rFonts w:ascii="Times New Roman" w:hAnsi="Times New Roman"/>
                <w:sz w:val="20"/>
              </w:rPr>
              <w:t>7</w:t>
            </w:r>
          </w:p>
        </w:tc>
        <w:tc>
          <w:tcPr>
            <w:tcW w:type="dxa" w:w="3120"/>
          </w:tcPr>
          <w:p>
            <w:pPr>
              <w:jc w:val="center"/>
            </w:pPr>
            <w:r>
              <w:rPr>
                <w:rFonts w:ascii="Times New Roman" w:hAnsi="Times New Roman"/>
                <w:sz w:val="20"/>
              </w:rPr>
              <w:t>Pregnancies</w:t>
            </w:r>
          </w:p>
        </w:tc>
        <w:tc>
          <w:tcPr>
            <w:tcW w:type="dxa" w:w="3120"/>
          </w:tcPr>
          <w:p>
            <w:pPr>
              <w:jc w:val="center"/>
            </w:pPr>
            <w:r>
              <w:rPr>
                <w:rFonts w:ascii="Times New Roman" w:hAnsi="Times New Roman"/>
                <w:sz w:val="20"/>
              </w:rPr>
              <w:t>0.0291</w:t>
            </w:r>
          </w:p>
        </w:tc>
      </w:tr>
      <w:tr>
        <w:tc>
          <w:tcPr>
            <w:tcW w:type="dxa" w:w="3120"/>
          </w:tcPr>
          <w:p>
            <w:pPr>
              <w:jc w:val="center"/>
            </w:pPr>
            <w:r>
              <w:rPr>
                <w:rFonts w:ascii="Times New Roman" w:hAnsi="Times New Roman"/>
                <w:sz w:val="20"/>
              </w:rPr>
              <w:t>8</w:t>
            </w:r>
          </w:p>
        </w:tc>
        <w:tc>
          <w:tcPr>
            <w:tcW w:type="dxa" w:w="3120"/>
          </w:tcPr>
          <w:p>
            <w:pPr>
              <w:jc w:val="center"/>
            </w:pPr>
            <w:r>
              <w:rPr>
                <w:rFonts w:ascii="Times New Roman" w:hAnsi="Times New Roman"/>
                <w:sz w:val="20"/>
              </w:rPr>
              <w:t>BloodPressure</w:t>
            </w:r>
          </w:p>
        </w:tc>
        <w:tc>
          <w:tcPr>
            <w:tcW w:type="dxa" w:w="3120"/>
          </w:tcPr>
          <w:p>
            <w:pPr>
              <w:jc w:val="center"/>
            </w:pPr>
            <w:r>
              <w:rPr>
                <w:rFonts w:ascii="Times New Roman" w:hAnsi="Times New Roman"/>
                <w:sz w:val="20"/>
              </w:rPr>
              <w:t>0.0273</w:t>
            </w:r>
          </w:p>
        </w:tc>
      </w:tr>
    </w:tbl>
    <w:p>
      <w:pPr>
        <w:spacing w:after="120"/>
      </w:pPr>
    </w:p>
    <w:p>
      <w:pPr>
        <w:spacing w:before="0" w:after="120" w:line="360" w:lineRule="auto"/>
        <w:jc w:val="center"/>
      </w:pPr>
      <w:r>
        <w:rPr>
          <w:rFonts w:ascii="Times New Roman" w:hAnsi="Times New Roman"/>
          <w:b w:val="0"/>
          <w:sz w:val="22"/>
        </w:rPr>
        <w:t>Table 4.2.1   Mutual Information scores for all eight features (sorted descending)</w:t>
      </w:r>
    </w:p>
    <w:p>
      <w:pPr>
        <w:spacing w:line="360" w:lineRule="auto" w:before="0" w:after="120"/>
        <w:ind w:firstLine="360"/>
        <w:jc w:val="both"/>
      </w:pPr>
      <w:r>
        <w:rPr>
          <w:rFonts w:ascii="Times New Roman" w:hAnsi="Times New Roman"/>
          <w:b w:val="0"/>
          <w:sz w:val="24"/>
        </w:rPr>
        <w:t>The four features selected by MI are: DiabetesPedigreeFunction, BMI, Glucose, and Insulin. DiabetesPedigreeFunction achieves the highest score (0.3510), reflecting its strong genetic link to diabetes risk. BMI and Glucose are established clinical predictors, while Insulin's elevated score reflects the central role of insulin resistance in Type 2 diabetes pathophysiology.</w:t>
      </w:r>
    </w:p>
    <w:p>
      <w:pPr>
        <w:spacing w:before="120" w:after="60"/>
        <w:jc w:val="center"/>
      </w:pPr>
      <w:r>
        <w:drawing>
          <wp:inline xmlns:a="http://schemas.openxmlformats.org/drawingml/2006/main" xmlns:pic="http://schemas.openxmlformats.org/drawingml/2006/picture">
            <wp:extent cx="5029200" cy="2487060"/>
            <wp:docPr id="10" name="Picture 10"/>
            <wp:cNvGraphicFramePr>
              <a:graphicFrameLocks noChangeAspect="1"/>
            </wp:cNvGraphicFramePr>
            <a:graphic>
              <a:graphicData uri="http://schemas.openxmlformats.org/drawingml/2006/picture">
                <pic:pic>
                  <pic:nvPicPr>
                    <pic:cNvPr id="0" name="fig_4_2_1_mi_barplot.png"/>
                    <pic:cNvPicPr/>
                  </pic:nvPicPr>
                  <pic:blipFill>
                    <a:blip r:embed="rId21"/>
                    <a:stretch>
                      <a:fillRect/>
                    </a:stretch>
                  </pic:blipFill>
                  <pic:spPr>
                    <a:xfrm>
                      <a:off x="0" y="0"/>
                      <a:ext cx="5029200" cy="2487060"/>
                    </a:xfrm>
                    <a:prstGeom prst="rect"/>
                  </pic:spPr>
                </pic:pic>
              </a:graphicData>
            </a:graphic>
          </wp:inline>
        </w:drawing>
      </w:r>
    </w:p>
    <w:p>
      <w:pPr>
        <w:spacing w:before="0" w:after="200"/>
        <w:jc w:val="center"/>
      </w:pPr>
      <w:r>
        <w:rPr>
          <w:rFonts w:ascii="Times New Roman" w:hAnsi="Times New Roman"/>
          <w:b/>
          <w:sz w:val="22"/>
        </w:rPr>
        <w:t>Figure 4.2.1</w:t>
      </w:r>
      <w:r>
        <w:rPr>
          <w:rFonts w:ascii="Times New Roman" w:hAnsi="Times New Roman"/>
          <w:b w:val="0"/>
          <w:sz w:val="22"/>
        </w:rPr>
        <w:t xml:space="preserve">   Mutual Information feature scores — green bars indicate selected features (above median threshold)</w:t>
      </w:r>
    </w:p>
    <w:p>
      <w:pPr>
        <w:spacing w:before="120" w:after="60" w:line="360" w:lineRule="auto"/>
        <w:jc w:val="left"/>
      </w:pPr>
      <w:r>
        <w:rPr>
          <w:rFonts w:ascii="Times New Roman" w:hAnsi="Times New Roman"/>
          <w:b/>
          <w:sz w:val="24"/>
        </w:rPr>
        <w:t>4.3  Recursive Feature Elimination (RFE)</w:t>
      </w:r>
    </w:p>
    <w:p>
      <w:pPr>
        <w:spacing w:line="360" w:lineRule="auto" w:before="0" w:after="120"/>
        <w:ind w:firstLine="360"/>
        <w:jc w:val="both"/>
      </w:pPr>
      <w:r>
        <w:rPr>
          <w:rFonts w:ascii="Times New Roman" w:hAnsi="Times New Roman"/>
          <w:b w:val="0"/>
          <w:sz w:val="24"/>
        </w:rPr>
        <w:t>RFE iteratively trains a base estimator, ranks features by their coefficient magnitudes, and removes the weakest feature at each step until the target count is reached. Logistic Regression (max_iter=1000) was used as the base estimator because it provides stable coefficient-based feature rankings. RFE was configured to select 4 features to match the MI selection count, enabling a direct comparison.</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0"/>
              </w:rPr>
              <w:t>Feature</w:t>
            </w:r>
          </w:p>
        </w:tc>
        <w:tc>
          <w:tcPr>
            <w:tcW w:type="dxa" w:w="3120"/>
          </w:tcPr>
          <w:p>
            <w:pPr>
              <w:jc w:val="center"/>
            </w:pPr>
            <w:r>
              <w:rPr>
                <w:rFonts w:ascii="Times New Roman" w:hAnsi="Times New Roman"/>
                <w:b/>
                <w:sz w:val="20"/>
              </w:rPr>
              <w:t>Selected</w:t>
            </w:r>
          </w:p>
        </w:tc>
        <w:tc>
          <w:tcPr>
            <w:tcW w:type="dxa" w:w="3120"/>
          </w:tcPr>
          <w:p>
            <w:pPr>
              <w:jc w:val="center"/>
            </w:pPr>
            <w:r>
              <w:rPr>
                <w:rFonts w:ascii="Times New Roman" w:hAnsi="Times New Roman"/>
                <w:b/>
                <w:sz w:val="20"/>
              </w:rPr>
              <w:t>Ranking</w:t>
            </w:r>
          </w:p>
        </w:tc>
      </w:tr>
      <w:tr>
        <w:tc>
          <w:tcPr>
            <w:tcW w:type="dxa" w:w="3120"/>
          </w:tcPr>
          <w:p>
            <w:pPr>
              <w:jc w:val="center"/>
            </w:pPr>
            <w:r>
              <w:rPr>
                <w:rFonts w:ascii="Times New Roman" w:hAnsi="Times New Roman"/>
                <w:sz w:val="20"/>
              </w:rPr>
              <w:t>BMI</w:t>
            </w:r>
          </w:p>
        </w:tc>
        <w:tc>
          <w:tcPr>
            <w:tcW w:type="dxa" w:w="3120"/>
          </w:tcPr>
          <w:p>
            <w:pPr>
              <w:jc w:val="center"/>
            </w:pPr>
            <w:r>
              <w:rPr>
                <w:rFonts w:ascii="Times New Roman" w:hAnsi="Times New Roman"/>
                <w:sz w:val="20"/>
              </w:rPr>
              <w:t>Yes</w:t>
            </w:r>
          </w:p>
        </w:tc>
        <w:tc>
          <w:tcPr>
            <w:tcW w:type="dxa" w:w="3120"/>
          </w:tcPr>
          <w:p>
            <w:pPr>
              <w:jc w:val="center"/>
            </w:pPr>
            <w:r>
              <w:rPr>
                <w:rFonts w:ascii="Times New Roman" w:hAnsi="Times New Roman"/>
                <w:sz w:val="20"/>
              </w:rPr>
              <w:t>1</w:t>
            </w:r>
          </w:p>
        </w:tc>
      </w:tr>
      <w:tr>
        <w:tc>
          <w:tcPr>
            <w:tcW w:type="dxa" w:w="3120"/>
          </w:tcPr>
          <w:p>
            <w:pPr>
              <w:jc w:val="center"/>
            </w:pPr>
            <w:r>
              <w:rPr>
                <w:rFonts w:ascii="Times New Roman" w:hAnsi="Times New Roman"/>
                <w:sz w:val="20"/>
              </w:rPr>
              <w:t>DiabetesPedigreeFunction</w:t>
            </w:r>
          </w:p>
        </w:tc>
        <w:tc>
          <w:tcPr>
            <w:tcW w:type="dxa" w:w="3120"/>
          </w:tcPr>
          <w:p>
            <w:pPr>
              <w:jc w:val="center"/>
            </w:pPr>
            <w:r>
              <w:rPr>
                <w:rFonts w:ascii="Times New Roman" w:hAnsi="Times New Roman"/>
                <w:sz w:val="20"/>
              </w:rPr>
              <w:t>Yes</w:t>
            </w:r>
          </w:p>
        </w:tc>
        <w:tc>
          <w:tcPr>
            <w:tcW w:type="dxa" w:w="3120"/>
          </w:tcPr>
          <w:p>
            <w:pPr>
              <w:jc w:val="center"/>
            </w:pPr>
            <w:r>
              <w:rPr>
                <w:rFonts w:ascii="Times New Roman" w:hAnsi="Times New Roman"/>
                <w:sz w:val="20"/>
              </w:rPr>
              <w:t>1</w:t>
            </w:r>
          </w:p>
        </w:tc>
      </w:tr>
      <w:tr>
        <w:tc>
          <w:tcPr>
            <w:tcW w:type="dxa" w:w="3120"/>
          </w:tcPr>
          <w:p>
            <w:pPr>
              <w:jc w:val="center"/>
            </w:pPr>
            <w:r>
              <w:rPr>
                <w:rFonts w:ascii="Times New Roman" w:hAnsi="Times New Roman"/>
                <w:sz w:val="20"/>
              </w:rPr>
              <w:t>Glucose</w:t>
            </w:r>
          </w:p>
        </w:tc>
        <w:tc>
          <w:tcPr>
            <w:tcW w:type="dxa" w:w="3120"/>
          </w:tcPr>
          <w:p>
            <w:pPr>
              <w:jc w:val="center"/>
            </w:pPr>
            <w:r>
              <w:rPr>
                <w:rFonts w:ascii="Times New Roman" w:hAnsi="Times New Roman"/>
                <w:sz w:val="20"/>
              </w:rPr>
              <w:t>Yes</w:t>
            </w:r>
          </w:p>
        </w:tc>
        <w:tc>
          <w:tcPr>
            <w:tcW w:type="dxa" w:w="3120"/>
          </w:tcPr>
          <w:p>
            <w:pPr>
              <w:jc w:val="center"/>
            </w:pPr>
            <w:r>
              <w:rPr>
                <w:rFonts w:ascii="Times New Roman" w:hAnsi="Times New Roman"/>
                <w:sz w:val="20"/>
              </w:rPr>
              <w:t>1</w:t>
            </w:r>
          </w:p>
        </w:tc>
      </w:tr>
      <w:tr>
        <w:tc>
          <w:tcPr>
            <w:tcW w:type="dxa" w:w="3120"/>
          </w:tcPr>
          <w:p>
            <w:pPr>
              <w:jc w:val="center"/>
            </w:pPr>
            <w:r>
              <w:rPr>
                <w:rFonts w:ascii="Times New Roman" w:hAnsi="Times New Roman"/>
                <w:sz w:val="20"/>
              </w:rPr>
              <w:t>Pregnancies</w:t>
            </w:r>
          </w:p>
        </w:tc>
        <w:tc>
          <w:tcPr>
            <w:tcW w:type="dxa" w:w="3120"/>
          </w:tcPr>
          <w:p>
            <w:pPr>
              <w:jc w:val="center"/>
            </w:pPr>
            <w:r>
              <w:rPr>
                <w:rFonts w:ascii="Times New Roman" w:hAnsi="Times New Roman"/>
                <w:sz w:val="20"/>
              </w:rPr>
              <w:t>Yes</w:t>
            </w:r>
          </w:p>
        </w:tc>
        <w:tc>
          <w:tcPr>
            <w:tcW w:type="dxa" w:w="3120"/>
          </w:tcPr>
          <w:p>
            <w:pPr>
              <w:jc w:val="center"/>
            </w:pPr>
            <w:r>
              <w:rPr>
                <w:rFonts w:ascii="Times New Roman" w:hAnsi="Times New Roman"/>
                <w:sz w:val="20"/>
              </w:rPr>
              <w:t>1</w:t>
            </w:r>
          </w:p>
        </w:tc>
      </w:tr>
      <w:tr>
        <w:tc>
          <w:tcPr>
            <w:tcW w:type="dxa" w:w="3120"/>
          </w:tcPr>
          <w:p>
            <w:pPr>
              <w:jc w:val="center"/>
            </w:pPr>
            <w:r>
              <w:rPr>
                <w:rFonts w:ascii="Times New Roman" w:hAnsi="Times New Roman"/>
                <w:sz w:val="20"/>
              </w:rPr>
              <w:t>Age</w:t>
            </w:r>
          </w:p>
        </w:tc>
        <w:tc>
          <w:tcPr>
            <w:tcW w:type="dxa" w:w="3120"/>
          </w:tcPr>
          <w:p>
            <w:pPr>
              <w:jc w:val="center"/>
            </w:pPr>
            <w:r>
              <w:rPr>
                <w:rFonts w:ascii="Times New Roman" w:hAnsi="Times New Roman"/>
                <w:sz w:val="20"/>
              </w:rPr>
              <w:t>No</w:t>
            </w:r>
          </w:p>
        </w:tc>
        <w:tc>
          <w:tcPr>
            <w:tcW w:type="dxa" w:w="3120"/>
          </w:tcPr>
          <w:p>
            <w:pPr>
              <w:jc w:val="center"/>
            </w:pPr>
            <w:r>
              <w:rPr>
                <w:rFonts w:ascii="Times New Roman" w:hAnsi="Times New Roman"/>
                <w:sz w:val="20"/>
              </w:rPr>
              <w:t>2</w:t>
            </w:r>
          </w:p>
        </w:tc>
      </w:tr>
      <w:tr>
        <w:tc>
          <w:tcPr>
            <w:tcW w:type="dxa" w:w="3120"/>
          </w:tcPr>
          <w:p>
            <w:pPr>
              <w:jc w:val="center"/>
            </w:pPr>
            <w:r>
              <w:rPr>
                <w:rFonts w:ascii="Times New Roman" w:hAnsi="Times New Roman"/>
                <w:sz w:val="20"/>
              </w:rPr>
              <w:t>Insulin</w:t>
            </w:r>
          </w:p>
        </w:tc>
        <w:tc>
          <w:tcPr>
            <w:tcW w:type="dxa" w:w="3120"/>
          </w:tcPr>
          <w:p>
            <w:pPr>
              <w:jc w:val="center"/>
            </w:pPr>
            <w:r>
              <w:rPr>
                <w:rFonts w:ascii="Times New Roman" w:hAnsi="Times New Roman"/>
                <w:sz w:val="20"/>
              </w:rPr>
              <w:t>No</w:t>
            </w:r>
          </w:p>
        </w:tc>
        <w:tc>
          <w:tcPr>
            <w:tcW w:type="dxa" w:w="3120"/>
          </w:tcPr>
          <w:p>
            <w:pPr>
              <w:jc w:val="center"/>
            </w:pPr>
            <w:r>
              <w:rPr>
                <w:rFonts w:ascii="Times New Roman" w:hAnsi="Times New Roman"/>
                <w:sz w:val="20"/>
              </w:rPr>
              <w:t>3</w:t>
            </w:r>
          </w:p>
        </w:tc>
      </w:tr>
      <w:tr>
        <w:tc>
          <w:tcPr>
            <w:tcW w:type="dxa" w:w="3120"/>
          </w:tcPr>
          <w:p>
            <w:pPr>
              <w:jc w:val="center"/>
            </w:pPr>
            <w:r>
              <w:rPr>
                <w:rFonts w:ascii="Times New Roman" w:hAnsi="Times New Roman"/>
                <w:sz w:val="20"/>
              </w:rPr>
              <w:t>SkinThickness</w:t>
            </w:r>
          </w:p>
        </w:tc>
        <w:tc>
          <w:tcPr>
            <w:tcW w:type="dxa" w:w="3120"/>
          </w:tcPr>
          <w:p>
            <w:pPr>
              <w:jc w:val="center"/>
            </w:pPr>
            <w:r>
              <w:rPr>
                <w:rFonts w:ascii="Times New Roman" w:hAnsi="Times New Roman"/>
                <w:sz w:val="20"/>
              </w:rPr>
              <w:t>No</w:t>
            </w:r>
          </w:p>
        </w:tc>
        <w:tc>
          <w:tcPr>
            <w:tcW w:type="dxa" w:w="3120"/>
          </w:tcPr>
          <w:p>
            <w:pPr>
              <w:jc w:val="center"/>
            </w:pPr>
            <w:r>
              <w:rPr>
                <w:rFonts w:ascii="Times New Roman" w:hAnsi="Times New Roman"/>
                <w:sz w:val="20"/>
              </w:rPr>
              <w:t>4</w:t>
            </w:r>
          </w:p>
        </w:tc>
      </w:tr>
      <w:tr>
        <w:tc>
          <w:tcPr>
            <w:tcW w:type="dxa" w:w="3120"/>
          </w:tcPr>
          <w:p>
            <w:pPr>
              <w:jc w:val="center"/>
            </w:pPr>
            <w:r>
              <w:rPr>
                <w:rFonts w:ascii="Times New Roman" w:hAnsi="Times New Roman"/>
                <w:sz w:val="20"/>
              </w:rPr>
              <w:t>BloodPressure</w:t>
            </w:r>
          </w:p>
        </w:tc>
        <w:tc>
          <w:tcPr>
            <w:tcW w:type="dxa" w:w="3120"/>
          </w:tcPr>
          <w:p>
            <w:pPr>
              <w:jc w:val="center"/>
            </w:pPr>
            <w:r>
              <w:rPr>
                <w:rFonts w:ascii="Times New Roman" w:hAnsi="Times New Roman"/>
                <w:sz w:val="20"/>
              </w:rPr>
              <w:t>No</w:t>
            </w:r>
          </w:p>
        </w:tc>
        <w:tc>
          <w:tcPr>
            <w:tcW w:type="dxa" w:w="3120"/>
          </w:tcPr>
          <w:p>
            <w:pPr>
              <w:jc w:val="center"/>
            </w:pPr>
            <w:r>
              <w:rPr>
                <w:rFonts w:ascii="Times New Roman" w:hAnsi="Times New Roman"/>
                <w:sz w:val="20"/>
              </w:rPr>
              <w:t>5</w:t>
            </w:r>
          </w:p>
        </w:tc>
      </w:tr>
    </w:tbl>
    <w:p>
      <w:pPr>
        <w:spacing w:after="120"/>
      </w:pPr>
    </w:p>
    <w:p>
      <w:pPr>
        <w:spacing w:before="0" w:after="120" w:line="360" w:lineRule="auto"/>
        <w:jc w:val="center"/>
      </w:pPr>
      <w:r>
        <w:rPr>
          <w:rFonts w:ascii="Times New Roman" w:hAnsi="Times New Roman"/>
          <w:b w:val="0"/>
          <w:sz w:val="22"/>
        </w:rPr>
        <w:t>Table 4.3.1   RFE feature rankings (Rank 1 = selected)</w:t>
      </w:r>
    </w:p>
    <w:p>
      <w:pPr>
        <w:spacing w:line="360" w:lineRule="auto" w:before="0" w:after="120"/>
        <w:ind w:firstLine="360"/>
        <w:jc w:val="both"/>
      </w:pPr>
      <w:r>
        <w:rPr>
          <w:rFonts w:ascii="Times New Roman" w:hAnsi="Times New Roman"/>
          <w:b w:val="0"/>
          <w:sz w:val="24"/>
        </w:rPr>
        <w:t>The four features selected by RFE are: BMI, DiabetesPedigreeFunction, Glucose, and Pregnancies. Pregnancies replaces Insulin compared with the MI selection, reflecting the known association between gestational diabetes and long-term diabetes risk in the Pima population (Ahmed et al., 2025).</w:t>
      </w:r>
    </w:p>
    <w:p>
      <w:pPr>
        <w:spacing w:before="120" w:after="60"/>
        <w:jc w:val="center"/>
      </w:pPr>
      <w:r>
        <w:drawing>
          <wp:inline xmlns:a="http://schemas.openxmlformats.org/drawingml/2006/main" xmlns:pic="http://schemas.openxmlformats.org/drawingml/2006/picture">
            <wp:extent cx="5029200" cy="2487060"/>
            <wp:docPr id="11" name="Picture 11"/>
            <wp:cNvGraphicFramePr>
              <a:graphicFrameLocks noChangeAspect="1"/>
            </wp:cNvGraphicFramePr>
            <a:graphic>
              <a:graphicData uri="http://schemas.openxmlformats.org/drawingml/2006/picture">
                <pic:pic>
                  <pic:nvPicPr>
                    <pic:cNvPr id="0" name="fig_4_3_1_rfe_ranking.png"/>
                    <pic:cNvPicPr/>
                  </pic:nvPicPr>
                  <pic:blipFill>
                    <a:blip r:embed="rId22"/>
                    <a:stretch>
                      <a:fillRect/>
                    </a:stretch>
                  </pic:blipFill>
                  <pic:spPr>
                    <a:xfrm>
                      <a:off x="0" y="0"/>
                      <a:ext cx="5029200" cy="2487060"/>
                    </a:xfrm>
                    <a:prstGeom prst="rect"/>
                  </pic:spPr>
                </pic:pic>
              </a:graphicData>
            </a:graphic>
          </wp:inline>
        </w:drawing>
      </w:r>
    </w:p>
    <w:p>
      <w:pPr>
        <w:spacing w:before="0" w:after="200"/>
        <w:jc w:val="center"/>
      </w:pPr>
      <w:r>
        <w:rPr>
          <w:rFonts w:ascii="Times New Roman" w:hAnsi="Times New Roman"/>
          <w:b/>
          <w:sz w:val="22"/>
        </w:rPr>
        <w:t>Figure 4.3.1</w:t>
      </w:r>
      <w:r>
        <w:rPr>
          <w:rFonts w:ascii="Times New Roman" w:hAnsi="Times New Roman"/>
          <w:b w:val="0"/>
          <w:sz w:val="22"/>
        </w:rPr>
        <w:t xml:space="preserve">   RFE feature ranking chart — green bars indicate selected features, blue bars indicate rejected features</w:t>
      </w:r>
    </w:p>
    <w:p>
      <w:pPr>
        <w:spacing w:before="120" w:after="60" w:line="360" w:lineRule="auto"/>
        <w:jc w:val="left"/>
      </w:pPr>
      <w:r>
        <w:rPr>
          <w:rFonts w:ascii="Times New Roman" w:hAnsi="Times New Roman"/>
          <w:b/>
          <w:sz w:val="24"/>
        </w:rPr>
        <w:t>4.4  Comparison of MI and RFE Results</w:t>
      </w:r>
    </w:p>
    <w:p>
      <w:pPr>
        <w:spacing w:line="360" w:lineRule="auto" w:before="0" w:after="120"/>
        <w:ind w:firstLine="360"/>
        <w:jc w:val="both"/>
      </w:pPr>
      <w:r>
        <w:rPr>
          <w:rFonts w:ascii="Times New Roman" w:hAnsi="Times New Roman"/>
          <w:b w:val="0"/>
          <w:sz w:val="24"/>
        </w:rPr>
        <w:t>Table 4.4.1 summarises the features selected by each method. Both methods agree on three features — DiabetesPedigreeFunction, BMI, and Glucose — confirming these as the core predictors. MI additionally selects Insulin (emphasising metabolic signal), while RFE selects Pregnancies (emphasising reproductive history). The overlap of three out of four features indicates strong consistency between the two approaches.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0"/>
              </w:rPr>
              <w:t>Method</w:t>
            </w:r>
          </w:p>
        </w:tc>
        <w:tc>
          <w:tcPr>
            <w:tcW w:type="dxa" w:w="3120"/>
          </w:tcPr>
          <w:p>
            <w:pPr>
              <w:jc w:val="center"/>
            </w:pPr>
            <w:r>
              <w:rPr>
                <w:rFonts w:ascii="Times New Roman" w:hAnsi="Times New Roman"/>
                <w:b/>
                <w:sz w:val="20"/>
              </w:rPr>
              <w:t>Selected Features</w:t>
            </w:r>
          </w:p>
        </w:tc>
        <w:tc>
          <w:tcPr>
            <w:tcW w:type="dxa" w:w="3120"/>
          </w:tcPr>
          <w:p>
            <w:pPr>
              <w:jc w:val="center"/>
            </w:pPr>
            <w:r>
              <w:rPr>
                <w:rFonts w:ascii="Times New Roman" w:hAnsi="Times New Roman"/>
                <w:b/>
                <w:sz w:val="20"/>
              </w:rPr>
              <w:t>Overlap with Other Method</w:t>
            </w:r>
          </w:p>
        </w:tc>
      </w:tr>
      <w:tr>
        <w:tc>
          <w:tcPr>
            <w:tcW w:type="dxa" w:w="3120"/>
          </w:tcPr>
          <w:p>
            <w:pPr>
              <w:jc w:val="center"/>
            </w:pPr>
            <w:r>
              <w:rPr>
                <w:rFonts w:ascii="Times New Roman" w:hAnsi="Times New Roman"/>
                <w:sz w:val="20"/>
              </w:rPr>
              <w:t>Mutual Information</w:t>
            </w:r>
          </w:p>
        </w:tc>
        <w:tc>
          <w:tcPr>
            <w:tcW w:type="dxa" w:w="3120"/>
          </w:tcPr>
          <w:p>
            <w:pPr>
              <w:jc w:val="center"/>
            </w:pPr>
            <w:r>
              <w:rPr>
                <w:rFonts w:ascii="Times New Roman" w:hAnsi="Times New Roman"/>
                <w:sz w:val="20"/>
              </w:rPr>
              <w:t>DiabetesPedigreeFunction, BMI, Glucose, Insulin</w:t>
            </w:r>
          </w:p>
        </w:tc>
        <w:tc>
          <w:tcPr>
            <w:tcW w:type="dxa" w:w="3120"/>
          </w:tcPr>
          <w:p>
            <w:pPr>
              <w:jc w:val="center"/>
            </w:pPr>
            <w:r>
              <w:rPr>
                <w:rFonts w:ascii="Times New Roman" w:hAnsi="Times New Roman"/>
                <w:sz w:val="20"/>
              </w:rPr>
              <w:t>DiabetesPedigreeFunction, BMI, Glucose</w:t>
            </w:r>
          </w:p>
        </w:tc>
      </w:tr>
      <w:tr>
        <w:tc>
          <w:tcPr>
            <w:tcW w:type="dxa" w:w="3120"/>
          </w:tcPr>
          <w:p>
            <w:pPr>
              <w:jc w:val="center"/>
            </w:pPr>
            <w:r>
              <w:rPr>
                <w:rFonts w:ascii="Times New Roman" w:hAnsi="Times New Roman"/>
                <w:sz w:val="20"/>
              </w:rPr>
              <w:t>RFE</w:t>
            </w:r>
          </w:p>
        </w:tc>
        <w:tc>
          <w:tcPr>
            <w:tcW w:type="dxa" w:w="3120"/>
          </w:tcPr>
          <w:p>
            <w:pPr>
              <w:jc w:val="center"/>
            </w:pPr>
            <w:r>
              <w:rPr>
                <w:rFonts w:ascii="Times New Roman" w:hAnsi="Times New Roman"/>
                <w:sz w:val="20"/>
              </w:rPr>
              <w:t>BMI, DiabetesPedigreeFunction, Glucose, Pregnancies</w:t>
            </w:r>
          </w:p>
        </w:tc>
        <w:tc>
          <w:tcPr>
            <w:tcW w:type="dxa" w:w="3120"/>
          </w:tcPr>
          <w:p>
            <w:pPr>
              <w:jc w:val="center"/>
            </w:pPr>
            <w:r>
              <w:rPr>
                <w:rFonts w:ascii="Times New Roman" w:hAnsi="Times New Roman"/>
                <w:sz w:val="20"/>
              </w:rPr>
              <w:t>DiabetesPedigreeFunction, BMI, Glucose</w:t>
            </w:r>
          </w:p>
        </w:tc>
      </w:tr>
    </w:tbl>
    <w:p>
      <w:pPr>
        <w:spacing w:after="120"/>
      </w:pPr>
    </w:p>
    <w:p>
      <w:pPr>
        <w:spacing w:before="0" w:after="120" w:line="360" w:lineRule="auto"/>
        <w:jc w:val="center"/>
      </w:pPr>
      <w:r>
        <w:rPr>
          <w:rFonts w:ascii="Times New Roman" w:hAnsi="Times New Roman"/>
          <w:b w:val="0"/>
          <w:sz w:val="22"/>
        </w:rPr>
        <w:t>Table 4.4.1   Comparison of features selected by MI and RFE</w:t>
      </w:r>
    </w:p>
    <w:p>
      <w:pPr>
        <w:spacing w:before="240" w:after="120" w:line="360" w:lineRule="auto"/>
        <w:jc w:val="left"/>
      </w:pPr>
      <w:r>
        <w:rPr>
          <w:rFonts w:ascii="Times New Roman" w:hAnsi="Times New Roman"/>
          <w:b/>
          <w:sz w:val="24"/>
        </w:rPr>
        <w:t>5.0  MODEL PERFORMANCE ANALYSIS</w:t>
      </w:r>
    </w:p>
    <w:p>
      <w:pPr>
        <w:spacing w:line="360" w:lineRule="auto" w:before="0" w:after="120"/>
        <w:ind w:firstLine="360"/>
        <w:jc w:val="both"/>
      </w:pPr>
      <w:r>
        <w:rPr>
          <w:rFonts w:ascii="Times New Roman" w:hAnsi="Times New Roman"/>
          <w:b w:val="0"/>
          <w:sz w:val="24"/>
        </w:rPr>
        <w:t>A K-Nearest Neighbours (KNN) classifier with k = 5 was evaluated under three feature scenarios using 5-fold stratified cross-validation. Stratified folds preserve the class ratio (≈65:35) in each split, preventing optimistic bias from fold-level imbalance. Four metrics were computed: Accuracy, Precision, Recall, and F1-score.</w:t>
      </w:r>
    </w:p>
    <w:p>
      <w:pPr>
        <w:spacing w:before="120" w:after="60" w:line="360" w:lineRule="auto"/>
        <w:jc w:val="left"/>
      </w:pPr>
      <w:r>
        <w:rPr>
          <w:rFonts w:ascii="Times New Roman" w:hAnsi="Times New Roman"/>
          <w:b/>
          <w:sz w:val="24"/>
        </w:rPr>
        <w:t>5.1  Baseline Model — All Features</w:t>
      </w:r>
    </w:p>
    <w:p>
      <w:pPr>
        <w:spacing w:line="360" w:lineRule="auto" w:before="0" w:after="120"/>
        <w:ind w:firstLine="360"/>
        <w:jc w:val="both"/>
      </w:pPr>
      <w:r>
        <w:rPr>
          <w:rFonts w:ascii="Times New Roman" w:hAnsi="Times New Roman"/>
          <w:b w:val="0"/>
          <w:sz w:val="24"/>
        </w:rPr>
        <w:t>The baseline model uses all eight standardised features. It achieved Accuracy = 0.8425, Precision = 0.7634, Recall = 0.7879, and F1 = 0.7750. This provides the upper-bound reference for comparing the impact of feature selection.</w:t>
      </w:r>
    </w:p>
    <w:p>
      <w:pPr>
        <w:spacing w:before="120" w:after="60" w:line="360" w:lineRule="auto"/>
        <w:jc w:val="left"/>
      </w:pPr>
      <w:r>
        <w:rPr>
          <w:rFonts w:ascii="Times New Roman" w:hAnsi="Times New Roman"/>
          <w:b/>
          <w:sz w:val="24"/>
        </w:rPr>
        <w:t>5.2  After MI Feature Selection</w:t>
      </w:r>
    </w:p>
    <w:p>
      <w:pPr>
        <w:spacing w:line="360" w:lineRule="auto" w:before="0" w:after="120"/>
        <w:ind w:firstLine="360"/>
        <w:jc w:val="both"/>
      </w:pPr>
      <w:r>
        <w:rPr>
          <w:rFonts w:ascii="Times New Roman" w:hAnsi="Times New Roman"/>
          <w:b w:val="0"/>
          <w:sz w:val="24"/>
        </w:rPr>
        <w:t>Using the four MI-selected features (DiabetesPedigreeFunction, BMI, Glucose, Insulin), the model achieved Accuracy = 0.8284, Precision = 0.7489, Recall = 0.7553, and F1 = 0.7517. All four metrics are slightly below the baseline, suggesting that Insulin alone does not fully compensate for the information lost by dropping four features.</w:t>
      </w:r>
    </w:p>
    <w:p>
      <w:pPr>
        <w:spacing w:before="120" w:after="60" w:line="360" w:lineRule="auto"/>
        <w:jc w:val="left"/>
      </w:pPr>
      <w:r>
        <w:rPr>
          <w:rFonts w:ascii="Times New Roman" w:hAnsi="Times New Roman"/>
          <w:b/>
          <w:sz w:val="24"/>
        </w:rPr>
        <w:t>5.3  After RFE Feature Selection</w:t>
      </w:r>
    </w:p>
    <w:p>
      <w:pPr>
        <w:spacing w:line="360" w:lineRule="auto" w:before="0" w:after="120"/>
        <w:ind w:firstLine="360"/>
        <w:jc w:val="both"/>
      </w:pPr>
      <w:r>
        <w:rPr>
          <w:rFonts w:ascii="Times New Roman" w:hAnsi="Times New Roman"/>
          <w:b w:val="0"/>
          <w:sz w:val="24"/>
        </w:rPr>
        <w:t>Using the four RFE-selected features (BMI, DiabetesPedigreeFunction, Glucose, Pregnancies), the model achieved Accuracy = 0.8382, Precision = 0.7611, Recall = 0.7721, and F1 = 0.7663. This is the strongest result among the two feature-selection scenarios and comes closest to the baseline.</w:t>
      </w:r>
    </w:p>
    <w:p>
      <w:pPr>
        <w:spacing w:before="120" w:after="60" w:line="360" w:lineRule="auto"/>
        <w:jc w:val="left"/>
      </w:pPr>
      <w:r>
        <w:rPr>
          <w:rFonts w:ascii="Times New Roman" w:hAnsi="Times New Roman"/>
          <w:b/>
          <w:sz w:val="24"/>
        </w:rPr>
        <w:t>5.4  Performance Comparison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20"/>
              </w:rPr>
              <w:t>Scenario</w:t>
            </w:r>
          </w:p>
        </w:tc>
        <w:tc>
          <w:tcPr>
            <w:tcW w:type="dxa" w:w="1872"/>
          </w:tcPr>
          <w:p>
            <w:pPr>
              <w:jc w:val="center"/>
            </w:pPr>
            <w:r>
              <w:rPr>
                <w:rFonts w:ascii="Times New Roman" w:hAnsi="Times New Roman"/>
                <w:b/>
                <w:sz w:val="20"/>
              </w:rPr>
              <w:t>Accuracy</w:t>
            </w:r>
          </w:p>
        </w:tc>
        <w:tc>
          <w:tcPr>
            <w:tcW w:type="dxa" w:w="1872"/>
          </w:tcPr>
          <w:p>
            <w:pPr>
              <w:jc w:val="center"/>
            </w:pPr>
            <w:r>
              <w:rPr>
                <w:rFonts w:ascii="Times New Roman" w:hAnsi="Times New Roman"/>
                <w:b/>
                <w:sz w:val="20"/>
              </w:rPr>
              <w:t>Precision</w:t>
            </w:r>
          </w:p>
        </w:tc>
        <w:tc>
          <w:tcPr>
            <w:tcW w:type="dxa" w:w="1872"/>
          </w:tcPr>
          <w:p>
            <w:pPr>
              <w:jc w:val="center"/>
            </w:pPr>
            <w:r>
              <w:rPr>
                <w:rFonts w:ascii="Times New Roman" w:hAnsi="Times New Roman"/>
                <w:b/>
                <w:sz w:val="20"/>
              </w:rPr>
              <w:t>Recall</w:t>
            </w:r>
          </w:p>
        </w:tc>
        <w:tc>
          <w:tcPr>
            <w:tcW w:type="dxa" w:w="1872"/>
          </w:tcPr>
          <w:p>
            <w:pPr>
              <w:jc w:val="center"/>
            </w:pPr>
            <w:r>
              <w:rPr>
                <w:rFonts w:ascii="Times New Roman" w:hAnsi="Times New Roman"/>
                <w:b/>
                <w:sz w:val="20"/>
              </w:rPr>
              <w:t>F1</w:t>
            </w:r>
          </w:p>
        </w:tc>
      </w:tr>
      <w:tr>
        <w:tc>
          <w:tcPr>
            <w:tcW w:type="dxa" w:w="1872"/>
          </w:tcPr>
          <w:p>
            <w:pPr>
              <w:jc w:val="center"/>
            </w:pPr>
            <w:r>
              <w:rPr>
                <w:rFonts w:ascii="Times New Roman" w:hAnsi="Times New Roman"/>
                <w:sz w:val="20"/>
              </w:rPr>
              <w:t>All Features (Baseline)</w:t>
            </w:r>
          </w:p>
        </w:tc>
        <w:tc>
          <w:tcPr>
            <w:tcW w:type="dxa" w:w="1872"/>
          </w:tcPr>
          <w:p>
            <w:pPr>
              <w:jc w:val="center"/>
            </w:pPr>
            <w:r>
              <w:rPr>
                <w:rFonts w:ascii="Times New Roman" w:hAnsi="Times New Roman"/>
                <w:sz w:val="20"/>
              </w:rPr>
              <w:t>0.8425</w:t>
            </w:r>
          </w:p>
        </w:tc>
        <w:tc>
          <w:tcPr>
            <w:tcW w:type="dxa" w:w="1872"/>
          </w:tcPr>
          <w:p>
            <w:pPr>
              <w:jc w:val="center"/>
            </w:pPr>
            <w:r>
              <w:rPr>
                <w:rFonts w:ascii="Times New Roman" w:hAnsi="Times New Roman"/>
                <w:sz w:val="20"/>
              </w:rPr>
              <w:t>0.7634</w:t>
            </w:r>
          </w:p>
        </w:tc>
        <w:tc>
          <w:tcPr>
            <w:tcW w:type="dxa" w:w="1872"/>
          </w:tcPr>
          <w:p>
            <w:pPr>
              <w:jc w:val="center"/>
            </w:pPr>
            <w:r>
              <w:rPr>
                <w:rFonts w:ascii="Times New Roman" w:hAnsi="Times New Roman"/>
                <w:sz w:val="20"/>
              </w:rPr>
              <w:t>0.7879</w:t>
            </w:r>
          </w:p>
        </w:tc>
        <w:tc>
          <w:tcPr>
            <w:tcW w:type="dxa" w:w="1872"/>
          </w:tcPr>
          <w:p>
            <w:pPr>
              <w:jc w:val="center"/>
            </w:pPr>
            <w:r>
              <w:rPr>
                <w:rFonts w:ascii="Times New Roman" w:hAnsi="Times New Roman"/>
                <w:sz w:val="20"/>
              </w:rPr>
              <w:t>0.7750</w:t>
            </w:r>
          </w:p>
        </w:tc>
      </w:tr>
      <w:tr>
        <w:tc>
          <w:tcPr>
            <w:tcW w:type="dxa" w:w="1872"/>
          </w:tcPr>
          <w:p>
            <w:pPr>
              <w:jc w:val="center"/>
            </w:pPr>
            <w:r>
              <w:rPr>
                <w:rFonts w:ascii="Times New Roman" w:hAnsi="Times New Roman"/>
                <w:sz w:val="20"/>
              </w:rPr>
              <w:t>MI-Selected Features</w:t>
            </w:r>
          </w:p>
        </w:tc>
        <w:tc>
          <w:tcPr>
            <w:tcW w:type="dxa" w:w="1872"/>
          </w:tcPr>
          <w:p>
            <w:pPr>
              <w:jc w:val="center"/>
            </w:pPr>
            <w:r>
              <w:rPr>
                <w:rFonts w:ascii="Times New Roman" w:hAnsi="Times New Roman"/>
                <w:sz w:val="20"/>
              </w:rPr>
              <w:t>0.8284</w:t>
            </w:r>
          </w:p>
        </w:tc>
        <w:tc>
          <w:tcPr>
            <w:tcW w:type="dxa" w:w="1872"/>
          </w:tcPr>
          <w:p>
            <w:pPr>
              <w:jc w:val="center"/>
            </w:pPr>
            <w:r>
              <w:rPr>
                <w:rFonts w:ascii="Times New Roman" w:hAnsi="Times New Roman"/>
                <w:sz w:val="20"/>
              </w:rPr>
              <w:t>0.7489</w:t>
            </w:r>
          </w:p>
        </w:tc>
        <w:tc>
          <w:tcPr>
            <w:tcW w:type="dxa" w:w="1872"/>
          </w:tcPr>
          <w:p>
            <w:pPr>
              <w:jc w:val="center"/>
            </w:pPr>
            <w:r>
              <w:rPr>
                <w:rFonts w:ascii="Times New Roman" w:hAnsi="Times New Roman"/>
                <w:sz w:val="20"/>
              </w:rPr>
              <w:t>0.7553</w:t>
            </w:r>
          </w:p>
        </w:tc>
        <w:tc>
          <w:tcPr>
            <w:tcW w:type="dxa" w:w="1872"/>
          </w:tcPr>
          <w:p>
            <w:pPr>
              <w:jc w:val="center"/>
            </w:pPr>
            <w:r>
              <w:rPr>
                <w:rFonts w:ascii="Times New Roman" w:hAnsi="Times New Roman"/>
                <w:sz w:val="20"/>
              </w:rPr>
              <w:t>0.7517</w:t>
            </w:r>
          </w:p>
        </w:tc>
      </w:tr>
      <w:tr>
        <w:tc>
          <w:tcPr>
            <w:tcW w:type="dxa" w:w="1872"/>
          </w:tcPr>
          <w:p>
            <w:pPr>
              <w:jc w:val="center"/>
            </w:pPr>
            <w:r>
              <w:rPr>
                <w:rFonts w:ascii="Times New Roman" w:hAnsi="Times New Roman"/>
                <w:sz w:val="20"/>
              </w:rPr>
              <w:t>RFE-Selected Features</w:t>
            </w:r>
          </w:p>
        </w:tc>
        <w:tc>
          <w:tcPr>
            <w:tcW w:type="dxa" w:w="1872"/>
          </w:tcPr>
          <w:p>
            <w:pPr>
              <w:jc w:val="center"/>
            </w:pPr>
            <w:r>
              <w:rPr>
                <w:rFonts w:ascii="Times New Roman" w:hAnsi="Times New Roman"/>
                <w:sz w:val="20"/>
              </w:rPr>
              <w:t>0.8382</w:t>
            </w:r>
          </w:p>
        </w:tc>
        <w:tc>
          <w:tcPr>
            <w:tcW w:type="dxa" w:w="1872"/>
          </w:tcPr>
          <w:p>
            <w:pPr>
              <w:jc w:val="center"/>
            </w:pPr>
            <w:r>
              <w:rPr>
                <w:rFonts w:ascii="Times New Roman" w:hAnsi="Times New Roman"/>
                <w:sz w:val="20"/>
              </w:rPr>
              <w:t>0.7611</w:t>
            </w:r>
          </w:p>
        </w:tc>
        <w:tc>
          <w:tcPr>
            <w:tcW w:type="dxa" w:w="1872"/>
          </w:tcPr>
          <w:p>
            <w:pPr>
              <w:jc w:val="center"/>
            </w:pPr>
            <w:r>
              <w:rPr>
                <w:rFonts w:ascii="Times New Roman" w:hAnsi="Times New Roman"/>
                <w:sz w:val="20"/>
              </w:rPr>
              <w:t>0.7721</w:t>
            </w:r>
          </w:p>
        </w:tc>
        <w:tc>
          <w:tcPr>
            <w:tcW w:type="dxa" w:w="1872"/>
          </w:tcPr>
          <w:p>
            <w:pPr>
              <w:jc w:val="center"/>
            </w:pPr>
            <w:r>
              <w:rPr>
                <w:rFonts w:ascii="Times New Roman" w:hAnsi="Times New Roman"/>
                <w:sz w:val="20"/>
              </w:rPr>
              <w:t>0.7663</w:t>
            </w:r>
          </w:p>
        </w:tc>
      </w:tr>
    </w:tbl>
    <w:p>
      <w:pPr>
        <w:spacing w:after="120"/>
      </w:pPr>
    </w:p>
    <w:p>
      <w:pPr>
        <w:spacing w:before="0" w:after="120" w:line="360" w:lineRule="auto"/>
        <w:jc w:val="center"/>
      </w:pPr>
      <w:r>
        <w:rPr>
          <w:rFonts w:ascii="Times New Roman" w:hAnsi="Times New Roman"/>
          <w:b w:val="0"/>
          <w:sz w:val="22"/>
        </w:rPr>
        <w:t>Table 5.4.1   KNN (k=5) performance across three feature scenarios — 5-fold stratified CV</w:t>
      </w:r>
    </w:p>
    <w:p>
      <w:pPr>
        <w:spacing w:before="120" w:after="60"/>
        <w:jc w:val="center"/>
      </w:pPr>
      <w:r>
        <w:drawing>
          <wp:inline xmlns:a="http://schemas.openxmlformats.org/drawingml/2006/main" xmlns:pic="http://schemas.openxmlformats.org/drawingml/2006/picture">
            <wp:extent cx="5486400" cy="2716306"/>
            <wp:docPr id="12" name="Picture 12"/>
            <wp:cNvGraphicFramePr>
              <a:graphicFrameLocks noChangeAspect="1"/>
            </wp:cNvGraphicFramePr>
            <a:graphic>
              <a:graphicData uri="http://schemas.openxmlformats.org/drawingml/2006/picture">
                <pic:pic>
                  <pic:nvPicPr>
                    <pic:cNvPr id="0" name="fig_5_1_performance_comparison.png"/>
                    <pic:cNvPicPr/>
                  </pic:nvPicPr>
                  <pic:blipFill>
                    <a:blip r:embed="rId23"/>
                    <a:stretch>
                      <a:fillRect/>
                    </a:stretch>
                  </pic:blipFill>
                  <pic:spPr>
                    <a:xfrm>
                      <a:off x="0" y="0"/>
                      <a:ext cx="5486400" cy="2716306"/>
                    </a:xfrm>
                    <a:prstGeom prst="rect"/>
                  </pic:spPr>
                </pic:pic>
              </a:graphicData>
            </a:graphic>
          </wp:inline>
        </w:drawing>
      </w:r>
    </w:p>
    <w:p>
      <w:pPr>
        <w:spacing w:before="0" w:after="200"/>
        <w:jc w:val="center"/>
      </w:pPr>
      <w:r>
        <w:rPr>
          <w:rFonts w:ascii="Times New Roman" w:hAnsi="Times New Roman"/>
          <w:b/>
          <w:sz w:val="22"/>
        </w:rPr>
        <w:t>Figure 5.4.1</w:t>
      </w:r>
      <w:r>
        <w:rPr>
          <w:rFonts w:ascii="Times New Roman" w:hAnsi="Times New Roman"/>
          <w:b w:val="0"/>
          <w:sz w:val="22"/>
        </w:rPr>
        <w:t xml:space="preserve">   KNN performance comparison across all three feature scenarios and four evaluation metrics</w:t>
      </w:r>
    </w:p>
    <w:p>
      <w:pPr>
        <w:spacing w:line="360" w:lineRule="auto" w:before="0" w:after="120"/>
        <w:ind w:firstLine="360"/>
        <w:jc w:val="both"/>
      </w:pPr>
      <w:r>
        <w:rPr>
          <w:rFonts w:ascii="Times New Roman" w:hAnsi="Times New Roman"/>
          <w:b w:val="0"/>
          <w:sz w:val="24"/>
        </w:rPr>
        <w:t>The results show that feature selection with RFE incurs only a minor accuracy cost (−0.43%) while reducing the feature space by 50%. This trade-off is acceptable in clinical settings where simpler models are easier to interpret and deploy. The MI-selected model shows a larger drop (−1.41% accuracy), primarily because Insulin, while metabolically relevant, introduces more noise than Pregnancies for the KNN distance computation. Both feature-selected models substantially outperform baseline Logistic Regression results (≈0.77 accuracy) reported in the prior literature for these datasets, confirming the advantage of KNN for this classification task.</w:t>
      </w:r>
    </w:p>
    <w:p>
      <w:pPr>
        <w:spacing w:before="240" w:after="120" w:line="360" w:lineRule="auto"/>
        <w:jc w:val="left"/>
      </w:pPr>
      <w:r>
        <w:rPr>
          <w:rFonts w:ascii="Times New Roman" w:hAnsi="Times New Roman"/>
          <w:b/>
          <w:sz w:val="24"/>
        </w:rPr>
        <w:t>6.0  CONCLUSION</w:t>
      </w:r>
    </w:p>
    <w:p>
      <w:pPr>
        <w:spacing w:before="120" w:after="60" w:line="360" w:lineRule="auto"/>
        <w:jc w:val="left"/>
      </w:pPr>
      <w:r>
        <w:rPr>
          <w:rFonts w:ascii="Times New Roman" w:hAnsi="Times New Roman"/>
          <w:b/>
          <w:sz w:val="24"/>
        </w:rPr>
        <w:t>6.1  Summary of Findings</w:t>
      </w:r>
    </w:p>
    <w:p>
      <w:pPr>
        <w:spacing w:line="360" w:lineRule="auto" w:before="0" w:after="120"/>
        <w:ind w:firstLine="360"/>
        <w:jc w:val="both"/>
      </w:pPr>
      <w:r>
        <w:rPr>
          <w:rFonts w:ascii="Times New Roman" w:hAnsi="Times New Roman"/>
          <w:b w:val="0"/>
          <w:sz w:val="24"/>
        </w:rPr>
        <w:t>This study applied a systematic data preprocessing and feature selection pipeline to two diabetes datasets comprising 2,768 combined patient records. Missing values encoded as zeros were identified in five clinical columns and imputed using column means (Glucose, BloodPressure) or medians (SkinThickness, Insulin, BMI). Log transformation reduced the severe right-skewness of Insulin and DiabetesPedigreeFunction, and StandardScaler normalised all features to unit scale — a prerequisite for KNN's distance-based computation. PCA analysis revealed that seven components are needed to capture 95% of variance, indicating moderate feature redundancy.</w:t>
      </w:r>
    </w:p>
    <w:p>
      <w:pPr>
        <w:spacing w:line="360" w:lineRule="auto" w:before="0" w:after="120"/>
        <w:ind w:firstLine="360"/>
        <w:jc w:val="both"/>
      </w:pPr>
      <w:r>
        <w:rPr>
          <w:rFonts w:ascii="Times New Roman" w:hAnsi="Times New Roman"/>
          <w:b w:val="0"/>
          <w:sz w:val="24"/>
        </w:rPr>
        <w:t>Feature selection identified DiabetesPedigreeFunction, BMI, and Glucose as the three most consistently important predictors, selected by both MI and RFE. The KNN classifier (k=5) achieved 84.25% accuracy using all features, with RFE-selected features closely matching at 83.82% — a competitive performance using only four features. RFE outperformed MI feature selection across all metrics, suggesting that wrapper methods better capture the interaction effects relevant to KNN's neighbourhood-based decision boundary.</w:t>
      </w:r>
    </w:p>
    <w:p>
      <w:pPr>
        <w:spacing w:before="120" w:after="60" w:line="360" w:lineRule="auto"/>
        <w:jc w:val="left"/>
      </w:pPr>
      <w:r>
        <w:rPr>
          <w:rFonts w:ascii="Times New Roman" w:hAnsi="Times New Roman"/>
          <w:b/>
          <w:sz w:val="24"/>
        </w:rPr>
        <w:t>6.2  Limitations and Future Work</w:t>
      </w:r>
    </w:p>
    <w:p>
      <w:pPr>
        <w:spacing w:line="360" w:lineRule="auto" w:before="0" w:after="120"/>
        <w:ind w:firstLine="360"/>
        <w:jc w:val="both"/>
      </w:pPr>
      <w:r>
        <w:rPr>
          <w:rFonts w:ascii="Times New Roman" w:hAnsi="Times New Roman"/>
          <w:b w:val="0"/>
          <w:sz w:val="24"/>
        </w:rPr>
        <w:t>Several limitations should be acknowledged. The PIMA dataset is restricted to female patients of Pima Indian heritage aged 21 and above, limiting generalisability to broader populations. The Frankfurt dataset, while larger, shares the same nine-column schema and may not introduce sufficient clinical diversity. Additionally, KNN is sensitive to the choice of k and to the presence of irrelevant features even after standardisation; future work should explore optimal k selection via grid search. More powerful ensemble methods such as Random Forest or XGBoost may further improve predictive performance. Advanced feature selection techniques such as SHAP-based importance or Boruta could also be evaluated to complement the MI and RFE methods used here.</w:t>
      </w:r>
    </w:p>
    <w:p>
      <w:pPr>
        <w:spacing w:before="240" w:after="120" w:line="360" w:lineRule="auto"/>
        <w:jc w:val="left"/>
      </w:pPr>
      <w:r>
        <w:rPr>
          <w:rFonts w:ascii="Times New Roman" w:hAnsi="Times New Roman"/>
          <w:b/>
          <w:sz w:val="24"/>
        </w:rPr>
        <w:t>REFERENCES</w:t>
      </w:r>
    </w:p>
    <w:p>
      <w:pPr>
        <w:spacing w:line="360" w:lineRule="auto" w:before="0" w:after="80"/>
        <w:ind w:left="576" w:hanging="576"/>
        <w:jc w:val="both"/>
      </w:pPr>
      <w:r>
        <w:rPr>
          <w:rFonts w:ascii="Times New Roman" w:hAnsi="Times New Roman"/>
          <w:b w:val="0"/>
          <w:sz w:val="22"/>
        </w:rPr>
        <w:t>Ahmed, A., Aziz, S., &amp; Qidwai, U. (2025). Machine Learning Algorithm-Based Prediction of Diabetes Among Female Population Using PIMA Dataset. Healthcare, 13(1), 37. https://doi.org/10.3390/healthcare13010037</w:t>
      </w:r>
    </w:p>
    <w:p>
      <w:pPr>
        <w:spacing w:line="360" w:lineRule="auto" w:before="0" w:after="80"/>
        <w:ind w:left="576" w:hanging="576"/>
        <w:jc w:val="both"/>
      </w:pPr>
      <w:r>
        <w:rPr>
          <w:rFonts w:ascii="Times New Roman" w:hAnsi="Times New Roman"/>
          <w:b w:val="0"/>
          <w:sz w:val="22"/>
        </w:rPr>
        <w:t>Chang, V., Bailey, J., Xu, Q. A., &amp; Sun, Z. (2023). Pima Indians diabetes mellitus classification based on machine learning (ML) algorithms. Neural Computing and Applications, 35(22), 16157–16173. https://doi.org/10.1007/s00521-022-07049-z</w:t>
      </w:r>
    </w:p>
    <w:p>
      <w:pPr>
        <w:spacing w:line="360" w:lineRule="auto" w:before="0" w:after="80"/>
        <w:ind w:left="576" w:hanging="576"/>
        <w:jc w:val="both"/>
      </w:pPr>
      <w:r>
        <w:rPr>
          <w:rFonts w:ascii="Times New Roman" w:hAnsi="Times New Roman"/>
          <w:b w:val="0"/>
          <w:sz w:val="22"/>
        </w:rPr>
        <w:t>Iparraguirre-Villanueva, O., Espinola-Linares, K., Castañeda, R. O. F., &amp; Cabanillas-Carbonell, M. (2023). Application of Machine Learning Models for Early Detection and Accurate Classification of Type 2 Diabetes. Diagnostics, 13(14), 2383. https://doi.org/10.3390/diagnostics13142383</w:t>
      </w:r>
    </w:p>
    <w:p>
      <w:pPr>
        <w:spacing w:line="360" w:lineRule="auto" w:before="0" w:after="80"/>
        <w:ind w:left="576" w:hanging="576"/>
        <w:jc w:val="both"/>
      </w:pPr>
      <w:r>
        <w:rPr>
          <w:rFonts w:ascii="Times New Roman" w:hAnsi="Times New Roman"/>
          <w:b w:val="0"/>
          <w:sz w:val="22"/>
        </w:rPr>
        <w:t>Olisah, C. C., Smith, L., &amp; Smith, M. (2022). Diabetes mellitus prediction and diagnosis from a data preprocessing and machine learning perspective. Computer Methods and Programs in Biomedicine, 220, 106773. https://doi.org/10.1016/j.cmpb.2022.106773</w:t>
      </w:r>
    </w:p>
    <w:p>
      <w:pPr>
        <w:spacing w:line="360" w:lineRule="auto" w:before="0" w:after="80"/>
        <w:ind w:left="576" w:hanging="576"/>
        <w:jc w:val="both"/>
      </w:pPr>
      <w:r>
        <w:rPr>
          <w:rFonts w:ascii="Times New Roman" w:hAnsi="Times New Roman"/>
          <w:b w:val="0"/>
          <w:sz w:val="22"/>
        </w:rPr>
        <w:t>Reza, M. S., Amin, R., Yasmin, R., Kulsum, W., &amp; Ruhi, S. (2024). Improving diabetes disease patients classification using stacking ensemble method with PIMA and local healthcare data. Heliyon, 10(2), e24536. https://doi.org/10.1016/j.heliyon.2024.e24536</w:t>
      </w:r>
    </w:p>
    <w:p>
      <w:pPr>
        <w:spacing w:line="360" w:lineRule="auto" w:before="0" w:after="80"/>
        <w:ind w:left="576" w:hanging="576"/>
        <w:jc w:val="both"/>
      </w:pPr>
      <w:r>
        <w:rPr>
          <w:rFonts w:ascii="Times New Roman" w:hAnsi="Times New Roman"/>
          <w:b w:val="0"/>
          <w:sz w:val="22"/>
        </w:rPr>
        <w:t>Tasin, I., Nabil, T. U., Islam, S., &amp; Khan, R. (2023). Diabetes prediction using machine learning and explainable AI techniques. Healthcare Technology Letters, 10(1–2), 1–10. https://doi.org/10.1049/htl2.12039</w:t>
      </w:r>
    </w:p>
    <w:sectPr w:rsidR="00FC693F" w:rsidRPr="0006063C" w:rsidSect="00034616">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sz w:val="18"/>
      </w:rPr>
      <w:t>TC6414 | DATA PREPROCESSING AND FEATURE SELECTION | ASSOC. PROF. DR. ZALINDA OTHMAN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