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B组其他费用服务实现说明</w:t>
      </w:r>
    </w:p>
    <w:p>
      <w:pPr>
        <w:pStyle w:val="Subtitle"/>
      </w:pPr>
      <w:r>
        <w:t>其他费用录入 导入 导出  2026年10月11日</w:t>
      </w:r>
    </w:p>
    <w:p>
      <w:r>
        <w:t>本服务实现“录入或导入其他费用，保存到SQLite，再导出项目汇总清单”的完整链路。本文供代码审查和本地复现使用，说明现有分层、领域模型、导入行识别与容错、汇总生成方式以及运行证据。</w:t>
      </w:r>
    </w:p>
    <w:p>
      <w:r>
        <w:t>应用使用C# 7.3和.NET Framework 4.8，运行于Windows x64；WebAPI 2与OWIN提供本地HTTP服务，NPOI 2.7.6负责Excel解析和生成。当前1.0.1统一名称规则并更新健康接口；旧版验证记录保留。</w:t>
      </w:r>
    </w:p>
    <w:p>
      <w:pPr>
        <w:pStyle w:val="Heading2"/>
      </w:pPr>
      <w:r>
        <w:t>1 分层及请求流转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8712"/>
      </w:tblGrid>
      <w:tr>
        <w:trPr>
          <w:cantSplit/>
          <w:tblHeader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层</w:t>
            </w:r>
          </w:p>
        </w:tc>
        <w:tc>
          <w:tcPr>
            <w:tcW w:type="dxa" w:w="87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职责及关键实现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接口层</w:t>
            </w:r>
          </w:p>
        </w:tc>
        <w:tc>
          <w:tcPr>
            <w:tcW w:type="dxa" w:w="87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OtherFees.Api接收JSON、上传和下载请求；将业务错误映射成HTTP状态及Code、Message、Field。Controller调用应用服务，不拼SQL。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应用层</w:t>
            </w:r>
          </w:p>
        </w:tc>
        <w:tc>
          <w:tcPr>
            <w:tcW w:type="dxa" w:w="87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OtherFeeService组织CRUD；OtherFeeImportService组织逐行导入；ProjectSummaryExportService组织汇总读取和文件生成。Ports定义仓储与表格接口。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领域层</w:t>
            </w:r>
          </w:p>
        </w:tc>
        <w:tc>
          <w:tcPr>
            <w:tcW w:type="dxa" w:w="87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OtherFee、Money封装金额与校验；Project、FixedWorkItem、DesignFee表示基础数据；ProjectSummary负责章节、汇总、税金及利润率。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基础设施层</w:t>
            </w:r>
          </w:p>
        </w:tc>
        <w:tc>
          <w:tcPr>
            <w:tcW w:type="dxa" w:w="871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Sqlite仓储实现参数化SQL、事务和实体恢复；OtherFeeWorkbookReader与ProjectSummaryWorkbookWriter实现NPOI读写。</w:t>
            </w:r>
          </w:p>
        </w:tc>
      </w:tr>
    </w:tbl>
    <w:p>
      <w:pPr>
        <w:spacing w:line="20" w:lineRule="exact" w:after="80" w:before="0"/>
      </w:pPr>
    </w:p>
    <w:p>
      <w:pPr>
        <w:pStyle w:val="Heading2"/>
      </w:pPr>
      <w:r>
        <w:t>2 模型设计理由</w:t>
      </w:r>
    </w:p>
    <w:p>
      <w:r>
        <w:t>其他费用以Id追踪记录，以ProjectId关联项目，并以项目内规范化名称作为业务键。独立的记录Id使修改、删除与导出来源可追溯；导入覆盖使用业务键，但保留已有Id和创建位置。</w:t>
      </w:r>
    </w:p>
    <w:p>
      <w:r>
        <w:t>六个固定工项及设计费与其他费用分开建模、持久化，避免把章节标题、基础项和可维护费用混为一类。项目保存名称、面积和税率；导出标题与汇总从这些持久化记录生成。</w:t>
      </w:r>
    </w:p>
    <w:p>
      <w:r>
        <w:t>Money将金额转换为整数分，领域计算仍使用decimal元。将利润规则放入领域对象，使CRUD和导入共享校验，也使Excel输出与接口返回的计算依据一致。</w:t>
      </w:r>
    </w:p>
    <w:p>
      <w:pPr>
        <w:pStyle w:val="Heading1"/>
        <w:pageBreakBefore/>
      </w:pPr>
      <w:r>
        <w:t>3 金额规则及SQLite持久化</w:t>
      </w:r>
    </w:p>
    <w:p>
      <w:pPr>
        <w:pStyle w:val="Heading2"/>
      </w:pPr>
      <w:r>
        <w:t>输入验证与计算</w:t>
      </w:r>
    </w:p>
    <w:p>
      <w:r>
        <w:t>名称必填，去首尾空白并进行Unicode NFC规范化，项目内唯一，冲突返回409。SummaryNames统一费用校验与导入识别，保留固定工项、章节、合计、小计及税金百分比名称；合计审核费等正常名称允许。旧保留名称仍可读取，修改时须改名。</w:t>
      </w:r>
    </w:p>
    <w:p>
      <w:r>
        <w:t>成本必填且原始输入不得为负；收入可以为空，也允许负数。验证全部成功后才修改实体字段，避免部分更新。输入金额先舍入至分，半分时远离零取整。</w:t>
      </w:r>
    </w:p>
    <w:p>
      <w:r>
        <w:t>利润等于收入减成本。空收入保存null，计算利润时暂按零处理；这是对题目未单独说明的空收入利润作出的实现约定。空或零收入的利润率为0，其余利润率以收入为分母。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2736"/>
        <w:gridCol w:w="2808"/>
      </w:tblGrid>
      <w:tr>
        <w:trPr>
          <w:cantSplit/>
          <w:tblHeader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收入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成本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利润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API百分数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Excel显示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521.00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520.00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1.00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0.19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0.19%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50.00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70.00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-20.00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-40.00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-40.00%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null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25.00</w:t>
            </w:r>
          </w:p>
        </w:tc>
        <w:tc>
          <w:tcPr>
            <w:tcW w:type="dxa" w:w="144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-25.00</w:t>
            </w:r>
          </w:p>
        </w:tc>
        <w:tc>
          <w:tcPr>
            <w:tcW w:type="dxa" w:w="273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0.00</w:t>
            </w:r>
          </w:p>
        </w:tc>
        <w:tc>
          <w:tcPr>
            <w:tcW w:type="dxa" w:w="28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0.00%</w:t>
            </w:r>
          </w:p>
        </w:tc>
      </w:tr>
    </w:tbl>
    <w:p>
      <w:pPr>
        <w:spacing w:line="20" w:lineRule="exact" w:after="80" w:before="0"/>
      </w:pPr>
    </w:p>
    <w:p>
      <w:r>
        <w:t>API的ProfitRatePercent是百分数值，按两位小数返回。Excel保存未经API百分数舍入的原始比例，以0.00%显示，避免把0.19误写成19%。利润和利润率不作为数据库字段保存，而由当前金额重算。</w:t>
      </w:r>
    </w:p>
    <w:p>
      <w:pPr>
        <w:pStyle w:val="Heading2"/>
      </w:pPr>
      <w:r>
        <w:t>数据库约束与事务</w:t>
      </w:r>
    </w:p>
    <w:p>
      <w:r>
        <w:t>schema.sql建立Projects、FixedWorkItems、DesignFees、OtherFees四张表，并通过ProjectId外键关联。金额字段保存整数分，空收入为SQL NULL。OtherFees的项目和NormalizedName组合唯一；成本设置非负CHECK，领域与数据库共同约束数据。</w:t>
      </w:r>
    </w:p>
    <w:p>
      <w:r>
        <w:t>仓储使用参数绑定，读数据时经Restore恢复领域实体。新增、修改、删除在事务中保存；导入的ImportUpsert在单行事务内查找同名、插入或覆盖，再返回持久化对象。覆盖保留Id和rowid，查询按rowid排序；删除后导出重新连续编号。</w:t>
      </w:r>
    </w:p>
    <w:p>
      <w:pPr>
        <w:pStyle w:val="Heading2"/>
      </w:pPr>
      <w:r>
        <w:t>HTTP及初始化行为</w:t>
      </w:r>
    </w:p>
    <w:p>
      <w:r>
        <w:t>新增201、查询及修改200、删除204；输入错误400、项目或记录不存在404、同名冲突409。客户端传Profit或ProfitRatePercent等未知字段返回400。PUT替换名称、收入、成本和备注，省略可空字段即变为null，不改变所属项目。</w:t>
      </w:r>
    </w:p>
    <w:p>
      <w:r>
        <w:t>首次启动自动建表并对空库初始化两个项目、各六个固定工项及一笔设计费。正常重启保留记录；Reset清空业务数据后重建种子，用于确定的演示初始状态。</w:t>
      </w:r>
    </w:p>
    <w:p>
      <w:pPr>
        <w:pStyle w:val="Heading1"/>
        <w:pageBreakBefore/>
      </w:pPr>
      <w:r>
        <w:t>4 Excel导入行识别与容错</w:t>
      </w:r>
    </w:p>
    <w:p>
      <w:pPr>
        <w:pStyle w:val="Heading2"/>
      </w:pPr>
      <w:r>
        <w:t>先确认结构再逐行保存</w:t>
      </w:r>
    </w:p>
    <w:p>
      <w:r>
        <w:t>必须存在“项目汇总清单”工作表。读取器按完整表头名称定位列，拒绝重复字段、缺少完整表头或损坏文件。工作簿先完整读取为候选行，结构错误在任何写入前拒绝；结构正确后应用服务按行验证并提交。</w:t>
      </w:r>
    </w:p>
    <w:p>
      <w:r>
        <w:t>实际题目附件为五列：项目Id、费用名称、收入价、成本价、描述。每行项目Id必须与路径参数一致。程序同时支持合并需求描述的十列汇总清单：序号、工项名称、收入价、成本价、利润、建造面积、单方收入、单方成本、利润率、备注。输入中的利润和汇总数值不作为业务计算来源。</w:t>
      </w:r>
    </w:p>
    <w:p>
      <w:pPr>
        <w:pStyle w:val="Heading2"/>
      </w:pPr>
      <w:r>
        <w:t>十列清单的章节归属</w:t>
      </w:r>
    </w:p>
    <w:p>
      <w:r>
        <w:t>读取器维护Unknown、Construction、Outside三种状态。确认处于“一 建设安装工程费”且序号为正整数的其他费用才可导入。正常章节、对应序号的六个固定项和非明细合计跳过；数字序号明细使用保留名称时报告行号与NAME_RESERVED，不静默跳过。</w:t>
      </w:r>
    </w:p>
    <w:p>
      <w:r>
        <w:t>章节损坏时报告错误并将归属变为Unknown，不让后续费用沿用旧章节；遇到完整有效章节后可恢复。无法确认归属、序号非法或其他可疑业务行均报告Excel从1开始的行号，避免静默丢弃或误入库。</w:t>
      </w:r>
    </w:p>
    <w:p>
      <w:pPr>
        <w:pStyle w:val="Heading2"/>
      </w:pPr>
      <w:r>
        <w:t>单元格类型与失败报告</w:t>
      </w:r>
    </w:p>
    <w:p>
      <w:r>
        <w:t>NPOI读取数值、合法金额文本及可计算公式。收入空单元格或公式返回空文本保持null；空成本失败。日期、布尔值、错误公式、非法金额文本不转换成0。费用名称和备注作为文本处理。</w:t>
      </w:r>
    </w:p>
    <w:p>
      <w:r>
        <w:t>报告包含SuccessCount、CreatedCount、UpdatedCount、FailureCount以及Errors。Errors给出RowNumber、Field、Code、Reason，一行可有多个错误；FailureCount统计失败行。失败行不覆盖数据，不撤销此前成功行，也不阻止后续有效行。</w:t>
      </w:r>
    </w:p>
    <w:p>
      <w:pPr>
        <w:pStyle w:val="Heading2"/>
      </w:pPr>
      <w:r>
        <w:t>同名覆盖及原附件结果</w:t>
      </w:r>
    </w:p>
    <w:p>
      <w:r>
        <w:t>导入复用OtherFee领域验证，再以ProjectId和NormalizedName查找。不存在则新增，已存在则覆盖金额和备注。原附件两行同名，先100/233后50/70：首次成功2、新增1、更新1，数据库最终一条50/70；再次导入成功2、更新2，仍只一条。成功行数与最终记录数分别表示不同含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3456"/>
        <w:gridCol w:w="4104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独立异常测试行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错误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处理结果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第2行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COST_NEGATIVE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负成本行拒绝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第3行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PROJECT_MISMATCH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项目不一致行拒绝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第5行</w:t>
            </w:r>
          </w:p>
        </w:tc>
        <w:tc>
          <w:tcPr>
            <w:tcW w:type="dxa" w:w="345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COST_REQUIRED</w:t>
            </w:r>
          </w:p>
        </w:tc>
        <w:tc>
          <w:tcPr>
            <w:tcW w:type="dxa" w:w="41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缺成本行拒绝</w:t>
            </w:r>
          </w:p>
        </w:tc>
      </w:tr>
    </w:tbl>
    <w:p>
      <w:pPr>
        <w:spacing w:line="20" w:lineRule="exact" w:after="80" w:before="0"/>
      </w:pPr>
    </w:p>
    <w:p>
      <w:r>
        <w:t>独立异常表共成功2、失败3，可继续导入有效的空收入及后续正常行。原题附件保持不变，异常表单独交付。</w:t>
      </w:r>
    </w:p>
    <w:p>
      <w:pPr>
        <w:pStyle w:val="Heading1"/>
        <w:pageBreakBefore/>
      </w:pPr>
      <w:r>
        <w:t>5 从数据库生成汇总清单</w:t>
      </w:r>
    </w:p>
    <w:p>
      <w:pPr>
        <w:pStyle w:val="Heading2"/>
      </w:pPr>
      <w:r>
        <w:t>一致快照及领域计算</w:t>
      </w:r>
    </w:p>
    <w:p>
      <w:r>
        <w:t>SqliteProjectSummaryRepository在同一数据库事务中读取项目、固定工项、设计费和其他费用，得到一致快照后释放连接。ProjectSummary验证六个固定项及关联数据完整，再计算清单；NPOI生成器只接收已计算的领域汇总，不直接使用请求JSON或上传文件。</w:t>
      </w:r>
    </w:p>
    <w:p>
      <w:r>
        <w:t>六个固定项按1至6排序，其他费用按创建顺序从7续排。建设安装工程费为全部明细求和；不含税合计为建设安装工程费加设计费。收入和成本分别乘项目税率并舍入至分，税金利润等于税金收入减税金成本，含税合计再相加。</w:t>
      </w:r>
    </w:p>
    <w:p>
      <w:r>
        <w:t>各汇总利润率以该行利润除以该行收入重算，不求和或平均明细率。缺少基础项或关联数据不完整返回SUMMARY_DATA_INCOMPLETE；项目不存在返回404，不默默补齐金额。</w:t>
      </w:r>
    </w:p>
    <w:p>
      <w:pPr>
        <w:pStyle w:val="Heading2"/>
      </w:pPr>
      <w:r>
        <w:t>原附件导入后的关键金额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04"/>
        <w:gridCol w:w="2520"/>
        <w:gridCol w:w="2520"/>
        <w:gridCol w:w="2520"/>
      </w:tblGrid>
      <w:tr>
        <w:trPr>
          <w:cantSplit/>
          <w:tblHeader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项目行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收入 元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成本 元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利润 元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测试费用1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50.00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70.00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-20.00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不含税合计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34558.40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122765.73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-88207.33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税金 9%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3110.26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11048.92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-7938.66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含税合计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37668.66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133814.65</w:t>
            </w:r>
          </w:p>
        </w:tc>
        <w:tc>
          <w:tcPr>
            <w:tcW w:type="dxa" w:w="252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right"/>
            </w:pPr>
            <w:r>
              <w:rPr>
                <w:b w:val="0"/>
                <w:sz w:val="19"/>
              </w:rPr>
              <w:t>-96145.99</w:t>
            </w:r>
          </w:p>
        </w:tc>
      </w:tr>
    </w:tbl>
    <w:p>
      <w:pPr>
        <w:spacing w:line="20" w:lineRule="exact" w:after="80" w:before="0"/>
      </w:pPr>
    </w:p>
    <w:p>
      <w:r>
        <w:t>测试费用1利润率显示-40.00%；不含税及含税汇总利润率显示-255.24%。这些结果与实际打开的终端演示导出Excel一致。样例中的错误汇总按业务公式重算，其他费用编号按当前持久化明细续排。</w:t>
      </w:r>
    </w:p>
    <w:p>
      <w:pPr>
        <w:pStyle w:val="Heading2"/>
      </w:pPr>
      <w:r>
        <w:t>NPOI生成格式</w:t>
      </w:r>
    </w:p>
    <w:p>
      <w:r>
        <w:t>ProjectSummaryWorkbookWriter生成名为“项目汇总清单”的工作表，合并A1:J1并写项目标题；第二行写十列表头。使用微软雅黑、灰色表头、橙色章节、绿色前两固定项、蓝色明细、黄色合计，保留细边框、列宽及28/24磅行高。</w:t>
      </w:r>
    </w:p>
    <w:p>
      <w:r>
        <w:t>金额与面积为数值并用0.00格式，数值列右对齐；利润率用0.00%。空收入明细C列留空，参与汇总时按0处理。面积为空或0时面积及单方收入成本为0.00，税金行F至I留空；有正面积时按项目面积计算单方数值。名称及备注按文本写入。</w:t>
      </w:r>
    </w:p>
    <w:p>
      <w:r>
        <w:t>原样例未显式设置纸张、方向及缩放，实现保留默认值与样例页边距，增加A1:J末行动态打印范围。样式按类别复用，避免随明细数量不断新增样式。导出无需安装Excel，也不依赖原始附件或外部模板。</w:t>
      </w:r>
    </w:p>
    <w:p>
      <w:pPr>
        <w:pStyle w:val="Heading1"/>
        <w:pageBreakBefore/>
      </w:pPr>
      <w:r>
        <w:t>6 运行及交付验证</w:t>
      </w:r>
    </w:p>
    <w:p>
      <w:pPr>
        <w:pStyle w:val="Heading2"/>
      </w:pPr>
      <w:r>
        <w:t>本地启动</w:t>
      </w:r>
    </w:p>
    <w:p>
      <w:r>
        <w:t>预编译包在“运行程序”中，用PowerShell执行：</w:t>
      </w:r>
    </w:p>
    <w:p>
      <w:r>
        <w:t>powershell -ExecutionPolicy Bypass -File .\启动服务.ps1</w:t>
      </w:r>
    </w:p>
    <w:p>
      <w:r>
        <w:t>默认http://localhost:5080/api/health，返回Status与实际API程序集Version，当前1.0.1。初次启动初始化自己的数据库。源码用scripts/build.ps1及scripts/run.ps1运行；首次构建联网准备SDK并锁定还原NuGet，目标运行时仍为.NET Framework 4.8。</w:t>
      </w:r>
    </w:p>
    <w:p>
      <w:r>
        <w:t>启动脚本支持-Url更换端口和-ResetDisabled禁用Reset。直接运行exe时相对数据库路径基于exe目录；源码run.ps1显式使用源码目录下App_Data。正常重启保留数据，开始独立验收时可调用Reset恢复种子。配置项及复验命令详见提交说明。</w:t>
      </w:r>
    </w:p>
    <w:p>
      <w:pPr>
        <w:pStyle w:val="Heading2"/>
      </w:pPr>
      <w:r>
        <w:t>验证记录及适用范围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7704"/>
      </w:tblGrid>
      <w:tr>
        <w:trPr>
          <w:cantSplit/>
          <w:tblHeader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记录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  <w:shd w:fill="E7EDF2"/>
          </w:tcPr>
          <w:p>
            <w:pPr>
              <w:spacing w:after="40" w:before="40" w:line="259" w:lineRule="auto"/>
              <w:jc w:val="left"/>
            </w:pPr>
            <w:r>
              <w:rPr>
                <w:b/>
                <w:sz w:val="19"/>
              </w:rPr>
              <w:t>已经执行的结果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自动化测试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91项执行、91项通过、0失败、0跳过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真实HTTP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CRUD 9项、导入8项、导出15项，共32项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手工演示</w:t>
            </w:r>
          </w:p>
        </w:tc>
        <w:tc>
          <w:tcPr>
            <w:tcW w:type="dxa" w:w="770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bottom w:w="90" w:type="dxa"/>
              <w:left w:w="90" w:type="dxa"/>
              <w:right w:w="90" w:type="dxa"/>
            </w:tcMar>
          </w:tcPr>
          <w:p>
            <w:pPr>
              <w:spacing w:after="40" w:before="40" w:line="259" w:lineRule="auto"/>
              <w:jc w:val="left"/>
            </w:pPr>
            <w:r>
              <w:rPr>
                <w:b w:val="0"/>
                <w:sz w:val="19"/>
              </w:rPr>
              <w:t>实际PowerShell调用及打开真实下载Excel，最终选用7张截图</w:t>
            </w:r>
          </w:p>
        </w:tc>
      </w:tr>
    </w:tbl>
    <w:p>
      <w:pPr>
        <w:spacing w:line="20" w:lineRule="exact" w:after="80" w:before="0"/>
      </w:pPr>
    </w:p>
    <w:p>
      <w:r>
        <w:t>历史91项测试及32项HTTP记录来自4d54e7c的git archive，在当前Windows机器复用NuGet缓存完成，不等同于全新系统或离线还原。1.0.1使用锁定依赖独立Release构建，0警告、0错误；本次未新增或运行测试，历史记录不代表本次回归结果。</w:t>
      </w:r>
    </w:p>
    <w:p>
      <w:pPr>
        <w:pStyle w:val="Heading2"/>
      </w:pPr>
      <w:r>
        <w:t>截图与Excel对照</w:t>
      </w:r>
    </w:p>
    <w:p>
      <w:r>
        <w:t>运行证据保留新增、修改、删除后查询、负成本校验、原附件导入后查询、异常行报告和打开导出Excel共7张截图。图像保持实际操作内容，包含操作时原中文目录名；改名后目录为houduankaoti，程序逻辑不变。另保留原附件导入后及终端下载的两份Excel，可逐列核对格式和金额。</w:t>
      </w:r>
    </w:p>
    <w:p>
      <w:r>
        <w:t>原题6.2要求CRUD、校验失败、导入入库及失败报告、导入到导出并打开文件对照，没有规定视频录制。本交付按用户选择提供截图、原始报告和可复现脚本。</w:t>
      </w:r>
    </w:p>
    <w:p>
      <w:pPr>
        <w:pStyle w:val="Heading2"/>
      </w:pPr>
      <w:r>
        <w:t>复现材料</w:t>
      </w:r>
    </w:p>
    <w:p>
      <w:r>
        <w:t>接口示例在examples/other-fees.http，数据库初始化文件在database，验收及证据索引在docs。提交包包含源码、运行程序、两份Word、测试记录、7张截图及Excel成果；原始考题附件由接收者提供。</w:t>
      </w:r>
    </w:p>
    <w:sectPr w:rsidR="00FC693F" w:rsidRPr="0006063C" w:rsidSect="00034616">
      <w:footerReference w:type="default" r:id="rId9"/>
      <w:pgSz w:w="11909" w:h="16834"/>
      <w:pgMar w:top="936" w:right="1008" w:bottom="936" w:left="1008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B组实现说明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pageBreakBefore w:val="0"/>
      <w:widowControl/>
      <w:spacing w:after="100" w:line="259" w:lineRule="auto"/>
    </w:pPr>
    <w:rPr>
      <w:rFonts w:ascii="Microsoft YaHei" w:hAnsi="Microsoft YaHei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100" w:line="259" w:lineRule="auto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pageBreakBefore w:val="0"/>
      <w:spacing w:before="200" w:after="100" w:line="259" w:lineRule="auto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ageBreakBefore w:val="0"/>
      <w:spacing w:after="100" w:line="259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pageBreakBefore w:val="0"/>
      <w:numPr>
        <w:ilvl w:val="1"/>
      </w:numPr>
      <w:spacing w:after="100" w:line="259" w:lineRule="auto"/>
    </w:pPr>
    <w:rPr>
      <w:rFonts w:asciiTheme="majorHAnsi" w:eastAsiaTheme="majorEastAsia" w:hAnsiTheme="majorHAnsi" w:cstheme="majorBidi" w:ascii="Microsoft YaHei" w:hAnsi="Microsoft YaHei" w:eastAsia="微软雅黑"/>
      <w:i w:val="0"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pageBreakBefore w:val="0"/>
      <w:spacing w:line="259" w:lineRule="auto" w:after="100"/>
    </w:pPr>
    <w:rPr>
      <w:rFonts w:ascii="Microsoft YaHei" w:hAnsi="Microsoft YaHei" w:eastAsia="微软雅黑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B组其他费用服务实现说明</dc:title>
  <dc:subject>领域模型 导入容错 数据持久化 项目汇总导出 运行与验证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