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2462F"/>
        </w:rPr>
        <w:t>Decommission Plan</w:t>
      </w:r>
    </w:p>
    <w:p>
      <w:r>
        <w:rPr>
          <w:b/>
          <w:color w:val="0D6A4B"/>
        </w:rPr>
        <w:t xml:space="preserve">Product / Service: </w:t>
      </w:r>
      <w:r>
        <w:rPr>
          <w:color w:val="999999"/>
        </w:rPr>
        <w:t>[Product / Service]</w:t>
      </w:r>
    </w:p>
    <w:p>
      <w:r>
        <w:rPr>
          <w:b/>
          <w:color w:val="0D6A4B"/>
        </w:rPr>
        <w:t xml:space="preserve">Date: </w:t>
      </w:r>
      <w:r>
        <w:rPr>
          <w:color w:val="999999"/>
        </w:rPr>
        <w:t>[Date]</w:t>
      </w:r>
    </w:p>
    <w:p>
      <w:r>
        <w:rPr>
          <w:b/>
          <w:color w:val="0D6A4B"/>
        </w:rPr>
        <w:t xml:space="preserve">Owner: </w:t>
      </w:r>
      <w:r>
        <w:rPr>
          <w:color w:val="999999"/>
        </w:rPr>
        <w:t>[Owner]</w:t>
      </w:r>
    </w:p>
    <w:p>
      <w:r>
        <w:rPr>
          <w:b/>
          <w:color w:val="0D6A4B"/>
        </w:rPr>
        <w:t xml:space="preserve">Target Decommission Date: </w:t>
      </w:r>
      <w:r>
        <w:rPr>
          <w:color w:val="999999"/>
        </w:rPr>
        <w:t>[Target Decommission Date]</w:t>
      </w:r>
    </w:p>
    <w:p/>
    <w:p>
      <w:pPr>
        <w:pStyle w:val="Heading2"/>
      </w:pPr>
      <w:r>
        <w:rPr>
          <w:color w:val="0D6A4B"/>
        </w:rPr>
        <w:t>Reason for Decommission</w:t>
      </w:r>
    </w:p>
    <w:p>
      <w:pPr>
        <w:pStyle w:val="ListBullet"/>
      </w:pPr>
      <w:r>
        <w:rPr>
          <w:color w:val="0D6A4B"/>
        </w:rPr>
        <w:t xml:space="preserve">☐  </w:t>
      </w:r>
      <w:r>
        <w:t>End of product life — superseded by [replacement]</w:t>
      </w:r>
    </w:p>
    <w:p>
      <w:pPr>
        <w:pStyle w:val="ListBullet"/>
      </w:pPr>
      <w:r>
        <w:rPr>
          <w:color w:val="0D6A4B"/>
        </w:rPr>
        <w:t xml:space="preserve">☐  </w:t>
      </w:r>
      <w:r>
        <w:t>Low usage — does not justify ongoing operating cost</w:t>
      </w:r>
    </w:p>
    <w:p>
      <w:pPr>
        <w:pStyle w:val="ListBullet"/>
      </w:pPr>
      <w:r>
        <w:rPr>
          <w:color w:val="0D6A4B"/>
        </w:rPr>
        <w:t xml:space="preserve">☐  </w:t>
      </w:r>
      <w:r>
        <w:t>Strategic change — no longer aligned with direction</w:t>
      </w:r>
    </w:p>
    <w:p>
      <w:pPr>
        <w:pStyle w:val="ListBullet"/>
      </w:pPr>
      <w:r>
        <w:rPr>
          <w:color w:val="0D6A4B"/>
        </w:rPr>
        <w:t xml:space="preserve">☐  </w:t>
      </w:r>
      <w:r>
        <w:t>Technical — cannot be maintained sustainably</w:t>
      </w:r>
    </w:p>
    <w:p>
      <w:pPr>
        <w:pStyle w:val="ListBullet"/>
      </w:pPr>
      <w:r>
        <w:rPr>
          <w:color w:val="0D6A4B"/>
        </w:rPr>
        <w:t xml:space="preserve">☐  </w:t>
      </w:r>
      <w:r>
        <w:t>Other: [Describe]</w:t>
      </w:r>
    </w:p>
    <w:p>
      <w:pPr>
        <w:pStyle w:val="Heading2"/>
      </w:pPr>
      <w:r>
        <w:rPr>
          <w:color w:val="0D6A4B"/>
        </w:rPr>
        <w:t>Impact Assessment</w:t>
      </w:r>
    </w:p>
    <w:p>
      <w:pPr>
        <w:pStyle w:val="Heading3"/>
      </w:pPr>
      <w:r>
        <w:rPr>
          <w:color w:val="0D6A4B"/>
        </w:rPr>
        <w:t>Users and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Number Affected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Current Usage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Migration Path</w:t>
            </w:r>
          </w:p>
        </w:tc>
      </w:tr>
      <w:tr>
        <w:tc>
          <w:tcPr>
            <w:tcW w:type="dxa" w:w="2160"/>
          </w:tcPr>
          <w:p>
            <w:r>
              <w:t>[Segment]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[What they should use instead]</w:t>
            </w:r>
          </w:p>
        </w:tc>
      </w:tr>
    </w:tbl>
    <w:p/>
    <w:p>
      <w:pPr>
        <w:pStyle w:val="Heading3"/>
      </w:pPr>
      <w:r>
        <w:rPr>
          <w:color w:val="0D6A4B"/>
        </w:rPr>
        <w:t>Dependent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Integration Type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Action Required</w:t>
            </w:r>
          </w:p>
        </w:tc>
      </w:tr>
      <w:tr>
        <w:tc>
          <w:tcPr>
            <w:tcW w:type="dxa" w:w="2160"/>
          </w:tcPr>
          <w:p>
            <w:r>
              <w:t>[System]</w:t>
            </w:r>
          </w:p>
        </w:tc>
        <w:tc>
          <w:tcPr>
            <w:tcW w:type="dxa" w:w="2160"/>
          </w:tcPr>
          <w:p>
            <w:r>
              <w:t>[Team]</w:t>
            </w:r>
          </w:p>
        </w:tc>
        <w:tc>
          <w:tcPr>
            <w:tcW w:type="dxa" w:w="2160"/>
          </w:tcPr>
          <w:p>
            <w:r>
              <w:t>[API / Data feed]</w:t>
            </w:r>
          </w:p>
        </w:tc>
        <w:tc>
          <w:tcPr>
            <w:tcW w:type="dxa" w:w="2160"/>
          </w:tcPr>
          <w:p>
            <w:r>
              <w:t>[Migrate / Update / Remove]</w:t>
            </w:r>
          </w:p>
        </w:tc>
      </w:tr>
    </w:tbl>
    <w:p/>
    <w:p>
      <w:pPr>
        <w:pStyle w:val="Heading3"/>
      </w:pPr>
      <w:r>
        <w:rPr>
          <w:color w:val="0D6A4B"/>
        </w:rPr>
        <w:t>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Retention Requirement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[Dataset]</w:t>
            </w:r>
          </w:p>
        </w:tc>
        <w:tc>
          <w:tcPr>
            <w:tcW w:type="dxa" w:w="2160"/>
          </w:tcPr>
          <w:p>
            <w:r>
              <w:t>[X years / None]</w:t>
            </w:r>
          </w:p>
        </w:tc>
        <w:tc>
          <w:tcPr>
            <w:tcW w:type="dxa" w:w="2160"/>
          </w:tcPr>
          <w:p>
            <w:r>
              <w:t>Archive / Delete / Migrate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</w:tr>
    </w:tbl>
    <w:p/>
    <w:p>
      <w:pPr>
        <w:pStyle w:val="Heading2"/>
      </w:pPr>
      <w:r>
        <w:rPr>
          <w:color w:val="0D6A4B"/>
        </w:rPr>
        <w:t>Communication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[Audience]</w:t>
            </w:r>
          </w:p>
        </w:tc>
        <w:tc>
          <w:tcPr>
            <w:tcW w:type="dxa" w:w="2160"/>
          </w:tcPr>
          <w:p>
            <w:r>
              <w:t>[Key message]</w:t>
            </w:r>
          </w:p>
        </w:tc>
        <w:tc>
          <w:tcPr>
            <w:tcW w:type="dxa" w:w="2160"/>
          </w:tcPr>
          <w:p>
            <w:r>
              <w:t>[Email / In-app / Blog]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</w:tbl>
    <w:p/>
    <w:p>
      <w:pPr>
        <w:pStyle w:val="Heading2"/>
      </w:pPr>
      <w:r>
        <w:rPr>
          <w:color w:val="0D6A4B"/>
        </w:rPr>
        <w:t>Decommission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2462F" w:color="auto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728"/>
            <w:shd w:fill="02462F" w:color="auto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fill="02462F" w:color="auto" w:val="clear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28"/>
            <w:shd w:fill="02462F" w:color="auto" w:val="clear"/>
          </w:tcPr>
          <w:p>
            <w:r>
              <w:rPr>
                <w:b/>
                <w:color w:val="FFFFFF"/>
              </w:rPr>
              <w:t>Target Date</w:t>
            </w:r>
          </w:p>
        </w:tc>
        <w:tc>
          <w:tcPr>
            <w:tcW w:type="dxa" w:w="1728"/>
            <w:shd w:fill="02462F" w:color="auto" w:val="clear"/>
          </w:tcPr>
          <w:p>
            <w:r>
              <w:rPr>
                <w:b/>
                <w:color w:val="FFFFFF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Final comms sent to affected users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New inflow blocked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Data archived or migrated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Service removed from production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DNS / routing cleaned up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Monitoring and alerting removed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Documentation marked as archived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Post-decommission review completed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