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left"/>
      </w:pP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val="0"/>
          <w:sz w:val="24"/>
        </w:rPr>
        <w:t>Charles Danner</w:t>
      </w:r>
    </w:p>
    <w:p>
      <w:pPr>
        <w:spacing w:before="0" w:after="0" w:line="480" w:lineRule="exact"/>
        <w:jc w:val="center"/>
      </w:pPr>
      <w:r>
        <w:rPr>
          <w:rFonts w:ascii="Times New Roman" w:hAnsi="Times New Roman"/>
          <w:b w:val="0"/>
          <w:sz w:val="24"/>
        </w:rPr>
        <w:t>CIS 405: Cloud Computing</w:t>
      </w:r>
    </w:p>
    <w:p>
      <w:pPr>
        <w:spacing w:before="0" w:after="0" w:line="480" w:lineRule="exact"/>
        <w:jc w:val="center"/>
      </w:pPr>
      <w:r>
        <w:rPr>
          <w:rFonts w:ascii="Times New Roman" w:hAnsi="Times New Roman"/>
          <w:b w:val="0"/>
          <w:sz w:val="24"/>
        </w:rPr>
        <w:t>March 25, 2026</w:t>
      </w:r>
    </w:p>
    <w:p>
      <w:r>
        <w:br w:type="page"/>
      </w:r>
    </w:p>
    <w:p>
      <w:pPr>
        <w:spacing w:before="0" w:after="0" w:line="480" w:lineRule="exact"/>
        <w:jc w:val="center"/>
      </w:pPr>
      <w:r>
        <w:rPr>
          <w:rFonts w:ascii="Times New Roman" w:hAnsi="Times New Roman"/>
          <w:b/>
          <w:sz w:val="24"/>
        </w:rPr>
        <w:t>Cloud Deployable Collegiate Cyber Defense Competition Practice Range</w:t>
      </w:r>
    </w:p>
    <w:p>
      <w:pPr>
        <w:spacing w:before="0" w:after="0" w:line="480" w:lineRule="exact"/>
        <w:jc w:val="left"/>
      </w:pPr>
    </w:p>
    <w:p>
      <w:pPr>
        <w:spacing w:before="0" w:after="0" w:line="480" w:lineRule="exact"/>
        <w:jc w:val="center"/>
      </w:pPr>
      <w:r>
        <w:rPr>
          <w:rFonts w:ascii="Times New Roman" w:hAnsi="Times New Roman"/>
          <w:b/>
          <w:sz w:val="24"/>
        </w:rPr>
        <w:t>Original Project Definition</w:t>
      </w:r>
    </w:p>
    <w:p>
      <w:pPr>
        <w:spacing w:before="0" w:after="0" w:line="480" w:lineRule="exact"/>
        <w:ind w:firstLine="720"/>
        <w:jc w:val="left"/>
      </w:pPr>
      <w:r>
        <w:rPr>
          <w:rFonts w:ascii="Times New Roman" w:hAnsi="Times New Roman"/>
          <w:b w:val="0"/>
          <w:sz w:val="24"/>
        </w:rPr>
        <w:t>The goal was to build a practice environment that looked and felt like a real Collegiate Cyber Defense Competition (CCDC) network and could be deployed repeatedly on demand. The five week plan covered installing Ludus on a local Proxmox server, building a small range, expanding to a medium range, adding blue and red team components, and finishing with documentation. The primary tools listed in the proposal were Proxmox, Ludus, Ansible, and Claude Code. The final deliverable was a working demo and a teaching walkthrough (Winterknight, n.d.).</w:t>
      </w:r>
    </w:p>
    <w:p>
      <w:pPr>
        <w:spacing w:before="0" w:after="0" w:line="480" w:lineRule="exact"/>
        <w:jc w:val="center"/>
      </w:pPr>
      <w:r>
        <w:rPr>
          <w:rFonts w:ascii="Times New Roman" w:hAnsi="Times New Roman"/>
          <w:b/>
          <w:sz w:val="24"/>
        </w:rPr>
        <w:t>Changes Made During the Project</w:t>
      </w:r>
    </w:p>
    <w:p>
      <w:pPr>
        <w:spacing w:before="0" w:after="0" w:line="480" w:lineRule="exact"/>
        <w:ind w:firstLine="720"/>
        <w:jc w:val="left"/>
      </w:pPr>
      <w:r>
        <w:rPr>
          <w:rFonts w:ascii="Times New Roman" w:hAnsi="Times New Roman"/>
          <w:b w:val="0"/>
          <w:sz w:val="24"/>
        </w:rPr>
        <w:t>The project was completed on schedule but the scope grew beyond the original proposal. The most significant addition was a custom scoring engine, which was not planned at the start. At a real CCDC competition, an automated system checks whether services are still running and awards points for uptime (Sshell, 2025). Adding one to the practice range made training much more realistic. A referee toggle was also added to the scoring dashboard to hide IP addresses and check details from the blue team during sessions, which reflects how real competitions work. The range stayed on local Proxmox hardware rather than being moved to a cloud provider, since local hardware was faster and more practical for development.</w:t>
      </w:r>
    </w:p>
    <w:p>
      <w:pPr>
        <w:spacing w:before="0" w:after="0" w:line="480" w:lineRule="exact"/>
        <w:jc w:val="center"/>
      </w:pPr>
      <w:r>
        <w:rPr>
          <w:rFonts w:ascii="Times New Roman" w:hAnsi="Times New Roman"/>
          <w:b/>
          <w:sz w:val="24"/>
        </w:rPr>
        <w:t>Final Scope</w:t>
      </w:r>
    </w:p>
    <w:p>
      <w:pPr>
        <w:spacing w:before="0" w:after="0" w:line="480" w:lineRule="exact"/>
        <w:ind w:firstLine="720"/>
        <w:jc w:val="left"/>
      </w:pPr>
      <w:r>
        <w:rPr>
          <w:rFonts w:ascii="Times New Roman" w:hAnsi="Times New Roman"/>
          <w:b w:val="0"/>
          <w:sz w:val="24"/>
        </w:rPr>
        <w:t>By the end of the project the following was completed: Ludus installed and running on a local Proxmox host; a Windows Active Directory domain with a domain controller and a Windows 11 workstation; five Linux service machines running web, database, file sharing, mail, and FTP services; a Kali Linux attacker machine loaded with a full penetration testing toolset; a custom Python based scoring engine that checks eleven services every thirty seconds; a live web dashboard showing service status and uptime history; and a referee toggle to hide diagnostic details from blue team players. All nine virtual machines are spread across two isolated networks and configured entirely through Ansible roles stored in the project repository (Western Regional CCDC, n.d.).</w:t>
      </w:r>
    </w:p>
    <w:p>
      <w:pPr>
        <w:spacing w:before="0" w:after="0" w:line="480" w:lineRule="exact"/>
        <w:jc w:val="center"/>
      </w:pPr>
      <w:r>
        <w:rPr>
          <w:rFonts w:ascii="Times New Roman" w:hAnsi="Times New Roman"/>
          <w:b/>
          <w:sz w:val="24"/>
        </w:rPr>
        <w:t>Key Decisions and Why</w:t>
      </w:r>
    </w:p>
    <w:p>
      <w:pPr>
        <w:spacing w:before="0" w:after="0" w:line="480" w:lineRule="exact"/>
        <w:ind w:firstLine="720"/>
        <w:jc w:val="left"/>
      </w:pPr>
      <w:r>
        <w:rPr>
          <w:rFonts w:ascii="Times New Roman" w:hAnsi="Times New Roman"/>
          <w:b w:val="0"/>
          <w:sz w:val="24"/>
        </w:rPr>
        <w:t>The most important decision was to use Ansible roles for all configuration rather than setting up machines by hand. Without Ansible, rebuilding the range would require manually touching each of the nine virtual machines every time, which would take hours and produce inconsistent results. Ansible makes the environment fully repeatable and allows a complete rebuild from scratch with a single command.</w:t>
      </w:r>
    </w:p>
    <w:p>
      <w:pPr>
        <w:spacing w:before="0" w:after="0" w:line="480" w:lineRule="exact"/>
        <w:ind w:firstLine="720"/>
        <w:jc w:val="left"/>
      </w:pPr>
      <w:r>
        <w:rPr>
          <w:rFonts w:ascii="Times New Roman" w:hAnsi="Times New Roman"/>
          <w:b w:val="0"/>
          <w:sz w:val="24"/>
        </w:rPr>
        <w:t>The choice to use Ludus as the base platform was equally important. Ludus handles creating virtual machines from templates, placing them on the correct virtual networks, and calling the Ansible roles automatically. Without Ludus, all of that provisioning logic would have needed to be built from scratch. Running a full system upgrade before installing tools on the Kali Linux machine was a decision made after package dependency errors blocked installation. Upgrading the system first resolved all conflicts reliably.</w:t>
      </w:r>
    </w:p>
    <w:p>
      <w:pPr>
        <w:spacing w:before="0" w:after="0" w:line="480" w:lineRule="exact"/>
        <w:jc w:val="center"/>
      </w:pPr>
      <w:r>
        <w:rPr>
          <w:rFonts w:ascii="Times New Roman" w:hAnsi="Times New Roman"/>
          <w:b/>
          <w:sz w:val="24"/>
        </w:rPr>
        <w:t>Tools and Software Used</w:t>
      </w:r>
    </w:p>
    <w:p>
      <w:pPr>
        <w:spacing w:before="0" w:after="0" w:line="480" w:lineRule="exact"/>
        <w:ind w:firstLine="720"/>
        <w:jc w:val="left"/>
      </w:pPr>
      <w:r>
        <w:rPr>
          <w:rFonts w:ascii="Times New Roman" w:hAnsi="Times New Roman"/>
          <w:b w:val="0"/>
          <w:sz w:val="24"/>
        </w:rPr>
        <w:t>Proxmox Virtual Environment is the hypervisor that runs all of the virtual machines in the range. It handles creating and managing VMs and provides the virtual networking that keeps the corporate network and the attacker network separated.</w:t>
      </w:r>
    </w:p>
    <w:p>
      <w:pPr>
        <w:spacing w:before="0" w:after="0" w:line="480" w:lineRule="exact"/>
        <w:ind w:firstLine="720"/>
        <w:jc w:val="left"/>
      </w:pPr>
      <w:r>
        <w:rPr>
          <w:rFonts w:ascii="Times New Roman" w:hAnsi="Times New Roman"/>
          <w:b w:val="0"/>
          <w:sz w:val="24"/>
        </w:rPr>
        <w:t>Ludus Cyber Range sits on top of Proxmox and automates range creation. Ludus reads the YAML configuration file, creates each machine from a template, places it on the correct network, and hands off to Ansible to finish configuration. Ludus is what makes a single command rebuild possible (Ludus, n.d.).</w:t>
      </w:r>
    </w:p>
    <w:p>
      <w:pPr>
        <w:spacing w:before="0" w:after="0" w:line="480" w:lineRule="exact"/>
        <w:ind w:firstLine="720"/>
        <w:jc w:val="left"/>
      </w:pPr>
      <w:r>
        <w:rPr>
          <w:rFonts w:ascii="Times New Roman" w:hAnsi="Times New Roman"/>
          <w:b w:val="0"/>
          <w:sz w:val="24"/>
        </w:rPr>
        <w:t>Ansible configures each virtual machine after it is created. The ten Ansible roles written for this project cover every machine in the range, from the domain controller to the FTP server. Ansible makes the configuration repeatable because it always runs the same steps in the same order from files stored in the repository.</w:t>
      </w:r>
    </w:p>
    <w:p>
      <w:pPr>
        <w:spacing w:before="0" w:after="0" w:line="480" w:lineRule="exact"/>
        <w:ind w:firstLine="720"/>
        <w:jc w:val="left"/>
      </w:pPr>
      <w:r>
        <w:rPr>
          <w:rFonts w:ascii="Times New Roman" w:hAnsi="Times New Roman"/>
          <w:b w:val="0"/>
          <w:sz w:val="24"/>
        </w:rPr>
        <w:t>Claude Code was used to write and debug the Ansible roles and the Ludus configuration file. Writing roles for Windows Active Directory and multiple Linux services involves many tasks, module options, and edge cases. Claude Code generated role structure, suggested fixes when tasks failed, and translated competition service requirements into working Ansible code. It made completing all ten roles within the project timeline possible.</w:t>
      </w:r>
    </w:p>
    <w:p>
      <w:pPr>
        <w:spacing w:before="0" w:after="0" w:line="480" w:lineRule="exact"/>
        <w:jc w:val="center"/>
      </w:pPr>
      <w:r>
        <w:rPr>
          <w:rFonts w:ascii="Times New Roman" w:hAnsi="Times New Roman"/>
          <w:b/>
          <w:sz w:val="24"/>
        </w:rPr>
        <w:t>Diagrams</w:t>
      </w:r>
    </w:p>
    <w:p>
      <w:pPr>
        <w:spacing w:before="0" w:after="0" w:line="480" w:lineRule="exact"/>
        <w:ind w:firstLine="720"/>
        <w:jc w:val="left"/>
      </w:pPr>
      <w:r>
        <w:rPr>
          <w:rFonts w:ascii="Times New Roman" w:hAnsi="Times New Roman"/>
          <w:b w:val="0"/>
          <w:sz w:val="24"/>
        </w:rPr>
        <w:t>Figure 1 below shows the full network layout of the range. It includes the Debian router that connects the WAN, VLAN 10, and VLAN 99, along with each virtual machine labeled with its IP address, operating system, purpose, and key ports.</w:t>
      </w:r>
    </w:p>
    <w:p>
      <w:pPr>
        <w:spacing w:before="0" w:after="0" w:line="480" w:lineRule="exact"/>
        <w:jc w:val="center"/>
      </w:pPr>
      <w:r>
        <w:drawing>
          <wp:inline xmlns:a="http://schemas.openxmlformats.org/drawingml/2006/main" xmlns:pic="http://schemas.openxmlformats.org/drawingml/2006/picture">
            <wp:extent cx="5486400" cy="4325155"/>
            <wp:docPr id="1" name="Picture 1"/>
            <wp:cNvGraphicFramePr>
              <a:graphicFrameLocks noChangeAspect="1"/>
            </wp:cNvGraphicFramePr>
            <a:graphic>
              <a:graphicData uri="http://schemas.openxmlformats.org/drawingml/2006/picture">
                <pic:pic>
                  <pic:nvPicPr>
                    <pic:cNvPr id="0" name="network_diagram.png"/>
                    <pic:cNvPicPr/>
                  </pic:nvPicPr>
                  <pic:blipFill>
                    <a:blip r:embed="rId9"/>
                    <a:stretch>
                      <a:fillRect/>
                    </a:stretch>
                  </pic:blipFill>
                  <pic:spPr>
                    <a:xfrm>
                      <a:off x="0" y="0"/>
                      <a:ext cx="5486400" cy="4325155"/>
                    </a:xfrm>
                    <a:prstGeom prst="rect"/>
                  </pic:spPr>
                </pic:pic>
              </a:graphicData>
            </a:graphic>
          </wp:inline>
        </w:drawing>
      </w:r>
    </w:p>
    <w:p>
      <w:pPr>
        <w:spacing w:before="0" w:after="0" w:line="480" w:lineRule="exact"/>
        <w:jc w:val="center"/>
      </w:pPr>
      <w:r>
        <w:rPr>
          <w:rFonts w:ascii="Times New Roman" w:hAnsi="Times New Roman"/>
          <w:i/>
          <w:sz w:val="24"/>
        </w:rPr>
        <w:t>Figure 1. CCDC Practice Range Network Diagram</w:t>
      </w:r>
    </w:p>
    <w:p>
      <w:pPr>
        <w:spacing w:before="0" w:after="0" w:line="480" w:lineRule="exact"/>
        <w:jc w:val="center"/>
      </w:pPr>
      <w:r>
        <w:rPr>
          <w:rFonts w:ascii="Times New Roman" w:hAnsi="Times New Roman"/>
          <w:b/>
          <w:sz w:val="24"/>
        </w:rPr>
        <w:t>Code and Configuration Steps</w:t>
      </w:r>
    </w:p>
    <w:p>
      <w:pPr>
        <w:spacing w:before="0" w:after="0" w:line="480" w:lineRule="exact"/>
        <w:ind w:firstLine="720"/>
        <w:jc w:val="left"/>
      </w:pPr>
      <w:r>
        <w:rPr>
          <w:rFonts w:ascii="Times New Roman" w:hAnsi="Times New Roman"/>
          <w:b w:val="0"/>
          <w:sz w:val="24"/>
        </w:rPr>
        <w:t>All configuration files live in the project repository. The main range configuration file defines every virtual machine, its VLAN, its IP address, and which Ansible roles to run on it. The ten Ansible roles are in the roles folder, one subfolder per machine. Each role subfolder contains a tasks file with the configuration steps, a defaults file with variable defaults, and a templates folder with config files for services like Apache, Postfix, and the scoring engine. No configuration is done by hand; every setting is driven by these files.</w:t>
      </w:r>
    </w:p>
    <w:p>
      <w:pPr>
        <w:spacing w:before="0" w:after="0" w:line="480" w:lineRule="exact"/>
        <w:jc w:val="center"/>
      </w:pPr>
      <w:r>
        <w:rPr>
          <w:rFonts w:ascii="Times New Roman" w:hAnsi="Times New Roman"/>
          <w:b/>
          <w:sz w:val="24"/>
        </w:rPr>
        <w:t>Installation and Deployment Instructions</w:t>
      </w:r>
    </w:p>
    <w:p>
      <w:pPr>
        <w:spacing w:before="0" w:after="0" w:line="480" w:lineRule="exact"/>
        <w:ind w:firstLine="720"/>
        <w:jc w:val="left"/>
      </w:pPr>
      <w:r>
        <w:rPr>
          <w:rFonts w:ascii="Times New Roman" w:hAnsi="Times New Roman"/>
          <w:b w:val="0"/>
          <w:sz w:val="24"/>
        </w:rPr>
        <w:t xml:space="preserve">For teams setting up Proxmox and Ludus for the first time, the Ludus quick start guide is at </w:t>
      </w:r>
      <w:hyperlink r:id="rId10">
        <w:r>
          <w:rPr>
            <w:rStyle w:val="Hyperlink"/>
          </w:rPr>
          <w:t>https://docs.ludus.cloud/docs/quick-start/</w:t>
        </w:r>
      </w:hyperlink>
      <w:r>
        <w:rPr>
          <w:rFonts w:ascii="Times New Roman" w:hAnsi="Times New Roman"/>
          <w:sz w:val="24"/>
        </w:rPr>
      </w:r>
      <w:r>
        <w:rPr>
          <w:rFonts w:ascii="Times New Roman" w:hAnsi="Times New Roman"/>
          <w:b w:val="0"/>
          <w:sz w:val="24"/>
        </w:rPr>
        <w:t xml:space="preserve">. For step by step instructions specific to this range, see </w:t>
      </w:r>
      <w:hyperlink r:id="rId11">
        <w:r>
          <w:rPr>
            <w:rStyle w:val="Hyperlink"/>
          </w:rPr>
          <w:t>SETUP.md</w:t>
        </w:r>
      </w:hyperlink>
      <w:r>
        <w:rPr>
          <w:rFonts w:ascii="Times New Roman" w:hAnsi="Times New Roman"/>
          <w:sz w:val="24"/>
        </w:rPr>
      </w:r>
      <w:r>
        <w:rPr>
          <w:rFonts w:ascii="Times New Roman" w:hAnsi="Times New Roman"/>
          <w:b w:val="0"/>
          <w:sz w:val="24"/>
        </w:rPr>
        <w:t xml:space="preserve"> in this repository. At a high level: install Ludus on a Proxmox host (Ludus, n.d.); clone this repository; register the Ansible roles with Ludus; run the range deploy command with the provided configuration file; and let Ansible configure the machines automatically. The scoring engine starts as a system service on its own and is reachable on port 8080 from a web browser.</w:t>
      </w:r>
    </w:p>
    <w:p>
      <w:pPr>
        <w:spacing w:before="0" w:after="0" w:line="480" w:lineRule="exact"/>
        <w:jc w:val="left"/>
      </w:pPr>
    </w:p>
    <w:p>
      <w:pPr>
        <w:spacing w:before="0" w:after="0" w:line="480" w:lineRule="exact"/>
        <w:jc w:val="center"/>
      </w:pPr>
      <w:r>
        <w:rPr>
          <w:rFonts w:ascii="Times New Roman" w:hAnsi="Times New Roman"/>
          <w:b/>
          <w:sz w:val="24"/>
        </w:rPr>
        <w:t>References</w:t>
      </w:r>
    </w:p>
    <w:p>
      <w:pPr>
        <w:spacing w:before="0" w:after="0" w:line="480" w:lineRule="exact"/>
        <w:jc w:val="left"/>
      </w:pPr>
    </w:p>
    <w:p>
      <w:pPr>
        <w:spacing w:before="0" w:after="0" w:line="480" w:lineRule="exact"/>
        <w:ind w:left="720" w:hanging="720"/>
        <w:jc w:val="left"/>
      </w:pPr>
      <w:r>
        <w:rPr>
          <w:rFonts w:ascii="Times New Roman" w:hAnsi="Times New Roman"/>
          <w:b w:val="0"/>
          <w:sz w:val="24"/>
        </w:rPr>
        <w:t>Ludus. (n.d.). Introduction to Ludus. https://docs.ludus.cloud/docs/intro/</w:t>
      </w:r>
    </w:p>
    <w:p>
      <w:pPr>
        <w:spacing w:before="0" w:after="0" w:line="480" w:lineRule="exact"/>
        <w:ind w:left="720" w:hanging="720"/>
        <w:jc w:val="left"/>
      </w:pPr>
      <w:r>
        <w:rPr>
          <w:rFonts w:ascii="Times New Roman" w:hAnsi="Times New Roman"/>
          <w:b w:val="0"/>
          <w:sz w:val="24"/>
        </w:rPr>
        <w:t>Ludus. (n.d.). Quick start guide. https://docs.ludus.cloud/docs/quick-start/</w:t>
      </w:r>
    </w:p>
    <w:p>
      <w:pPr>
        <w:spacing w:before="0" w:after="0" w:line="480" w:lineRule="exact"/>
        <w:ind w:left="720" w:hanging="720"/>
        <w:jc w:val="left"/>
      </w:pPr>
      <w:r>
        <w:rPr>
          <w:rFonts w:ascii="Times New Roman" w:hAnsi="Times New Roman"/>
          <w:b w:val="0"/>
          <w:sz w:val="24"/>
        </w:rPr>
        <w:t>Sshell. (2025). Red teaming at national CCDC 2025. https://www.sshell.co/red-teaming-at-national-ccdc-2025/</w:t>
      </w:r>
    </w:p>
    <w:p>
      <w:pPr>
        <w:spacing w:before="0" w:after="0" w:line="480" w:lineRule="exact"/>
        <w:ind w:left="720" w:hanging="720"/>
        <w:jc w:val="left"/>
      </w:pPr>
      <w:r>
        <w:rPr>
          <w:rFonts w:ascii="Times New Roman" w:hAnsi="Times New Roman"/>
          <w:b w:val="0"/>
          <w:sz w:val="24"/>
        </w:rPr>
        <w:t>Western Regional CCDC. (n.d.). WRCCDC VM image archive. https://archive.wrccdc.org/images/</w:t>
      </w:r>
    </w:p>
    <w:p>
      <w:pPr>
        <w:spacing w:before="0" w:after="0" w:line="480" w:lineRule="exact"/>
        <w:ind w:left="720" w:hanging="720"/>
        <w:jc w:val="left"/>
      </w:pPr>
      <w:r>
        <w:rPr>
          <w:rFonts w:ascii="Times New Roman" w:hAnsi="Times New Roman"/>
          <w:b w:val="0"/>
          <w:sz w:val="24"/>
        </w:rPr>
        <w:t>Winterknight. (n.d.). How to win CCDC. https://www.winterknight.net/how-to-win-ccdc/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exac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cs.ludus.cloud/docs/quick-start/" TargetMode="External"/><Relationship Id="rId11" Type="http://schemas.openxmlformats.org/officeDocument/2006/relationships/hyperlink" Target="https://github.com/Cdanner7766/Ludus-AD-Range-Configured/blob/main/SETUP.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