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32"/>
        </w:rPr>
        <w:t>Herramienta de Diagnóstico de Sensor MPU6050 mediante</w:t>
        <w:br/>
        <w:t>Identificación de ID Interno en Plataforma ESP32</w:t>
      </w:r>
    </w:p>
    <w:p/>
    <w:p>
      <w:pPr>
        <w:jc w:val="center"/>
      </w:pPr>
      <w:r>
        <w:rPr>
          <w:rFonts w:ascii="Calibri" w:hAnsi="Calibri"/>
          <w:b/>
          <w:sz w:val="24"/>
        </w:rPr>
        <w:t>Carlos Daniel Cuellar Antury</w:t>
      </w:r>
    </w:p>
    <w:p>
      <w:pPr>
        <w:jc w:val="center"/>
      </w:pPr>
      <w:r>
        <w:rPr>
          <w:rFonts w:ascii="Calibri" w:hAnsi="Calibri"/>
          <w:i/>
          <w:sz w:val="20"/>
        </w:rPr>
        <w:t>Universidad del Cauca, Departamento de Ingeniería Electrónica y Telecomunicaciones</w:t>
        <w:br/>
        <w:t>Popayán, Colombia</w:t>
      </w:r>
    </w:p>
    <w:p>
      <w:pPr>
        <w:jc w:val="center"/>
      </w:pPr>
      <w:r>
        <w:rPr>
          <w:rFonts w:ascii="Calibri" w:hAnsi="Calibri"/>
          <w:sz w:val="20"/>
        </w:rPr>
        <w:t>Autor correspondiente: cdcuellar@unicauca.edu.co</w:t>
      </w:r>
    </w:p>
    <w:p/>
    <w:p>
      <w:pPr>
        <w:pStyle w:val="Heading1"/>
      </w:pPr>
      <w:r>
        <w:t>Abstract</w:t>
      </w:r>
    </w:p>
    <w:p>
      <w:r>
        <w:rPr>
          <w:rFonts w:ascii="Calibri" w:hAnsi="Calibri"/>
          <w:b/>
          <w:sz w:val="22"/>
        </w:rPr>
        <w:t xml:space="preserve">Español: </w:t>
      </w:r>
      <w:r>
        <w:rPr>
          <w:rFonts w:ascii="Calibri" w:hAnsi="Calibri"/>
          <w:sz w:val="22"/>
        </w:rPr>
        <w:t>Este artículo presenta una herramienta de diagnóstico hardware para el sensor inercial MPU6050, implementada sobre la plataforma ESP32 utilizando el entorno Arduino IDE. La herramienta realiza la lectura del registro WHO_AM_I (0x75) a través del protocolo I2C, permitiendo verificar la identidad real del silicio del dispositivo. El valor esperado de retorno es 0x72, lo cual confirma la autenticidad y compatibilidad del sensor. Esta identificación es crítica en proyectos de sistemas embebidos wearables y monitoreo de actividades de la vida diaria, donde la integridad del hardware determina la confiabilidad del sistema completo. La herramienta es de código abierto, requiere componentes de bajo costo y puede ser replicada fácilmente. Se incluyen instrucciones de montaje, código fuente completo, lista de materiales y resultados de validación.</w:t>
      </w:r>
    </w:p>
    <w:p>
      <w:r>
        <w:rPr>
          <w:rFonts w:ascii="Calibri" w:hAnsi="Calibri"/>
          <w:b/>
          <w:sz w:val="22"/>
        </w:rPr>
        <w:t xml:space="preserve">English: </w:t>
      </w:r>
      <w:r>
        <w:rPr>
          <w:rFonts w:ascii="Calibri" w:hAnsi="Calibri"/>
          <w:sz w:val="22"/>
        </w:rPr>
        <w:t>This article presents a hardware diagnostic tool for the MPU6050 inertial sensor, implemented on the ESP32 platform using the Arduino IDE environment. The tool reads the WHO_AM_I register (0x75) via the I2C protocol, allowing verification of the device's actual silicon identity. The expected return value is 0x72, which confirms sensor authenticity and compatibility. This identification is critical in wearable embedded systems and activities of daily living monitoring projects, where hardware integrity determines overall system reliability. The tool is open-source, requires low-cost components, and can be easily replicated. Assembly instructions, complete source code, bill of materials, and validation results are included.</w:t>
      </w:r>
    </w:p>
    <w:p>
      <w:r>
        <w:rPr>
          <w:rFonts w:ascii="Calibri" w:hAnsi="Calibri"/>
          <w:b/>
          <w:sz w:val="22"/>
        </w:rPr>
        <w:t xml:space="preserve">Keywords: </w:t>
      </w:r>
      <w:r>
        <w:rPr>
          <w:rFonts w:ascii="Calibri" w:hAnsi="Calibri"/>
          <w:sz w:val="22"/>
        </w:rPr>
        <w:t>MPU6050; ESP32; WHO_AM_I; I2C; Sistemas embebidos; Arduino IDE</w:t>
      </w:r>
    </w:p>
    <w:p>
      <w:pPr>
        <w:pStyle w:val="Heading1"/>
      </w:pPr>
      <w:r>
        <w:t>Tabla de Especificaciones del Hardware</w:t>
      </w:r>
    </w:p>
    <w:tbl>
      <w:tblPr>
        <w:tblStyle w:val="TableGrid"/>
        <w:tblW w:type="auto" w:w="0"/>
        <w:jc w:val="center"/>
        <w:tblLook w:firstColumn="1" w:firstRow="1" w:lastColumn="0" w:lastRow="0" w:noHBand="0" w:noVBand="1" w:val="04A0"/>
      </w:tblPr>
      <w:tblGrid>
        <w:gridCol w:w="5270"/>
        <w:gridCol w:w="5270"/>
      </w:tblGrid>
      <w:tr>
        <w:tc>
          <w:tcPr>
            <w:tcW w:type="dxa" w:w="3118"/>
            <w:shd w:val="clear" w:color="auto" w:fill="DEEAF1"/>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b/>
                <w:sz w:val="20"/>
              </w:rPr>
              <w:t>Hardware name</w:t>
            </w:r>
          </w:p>
        </w:tc>
        <w:tc>
          <w:tcPr>
            <w:tcW w:type="dxa" w:w="6236"/>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Herramienta WHO_AM_I - Identificación de ID interno del MPU6050</w:t>
            </w:r>
          </w:p>
        </w:tc>
      </w:tr>
      <w:tr>
        <w:tc>
          <w:tcPr>
            <w:tcW w:type="dxa" w:w="3118"/>
            <w:shd w:val="clear" w:color="auto" w:fill="DEEAF1"/>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b/>
                <w:sz w:val="20"/>
              </w:rPr>
              <w:t>Subject area</w:t>
            </w:r>
          </w:p>
        </w:tc>
        <w:tc>
          <w:tcPr>
            <w:tcW w:type="dxa" w:w="6236"/>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Ingeniería Eléctrica y Ciencias de la Computación</w:t>
            </w:r>
          </w:p>
        </w:tc>
      </w:tr>
      <w:tr>
        <w:tc>
          <w:tcPr>
            <w:tcW w:type="dxa" w:w="3118"/>
            <w:shd w:val="clear" w:color="auto" w:fill="DEEAF1"/>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b/>
                <w:sz w:val="20"/>
              </w:rPr>
              <w:t>Hardware type</w:t>
            </w:r>
          </w:p>
        </w:tc>
        <w:tc>
          <w:tcPr>
            <w:tcW w:type="dxa" w:w="6236"/>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Medición de propiedades físicas y sensores de laboratorio</w:t>
            </w:r>
          </w:p>
        </w:tc>
      </w:tr>
      <w:tr>
        <w:tc>
          <w:tcPr>
            <w:tcW w:type="dxa" w:w="3118"/>
            <w:shd w:val="clear" w:color="auto" w:fill="DEEAF1"/>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b/>
                <w:sz w:val="20"/>
              </w:rPr>
              <w:t>Closest commercial analog</w:t>
            </w:r>
          </w:p>
        </w:tc>
        <w:tc>
          <w:tcPr>
            <w:tcW w:type="dxa" w:w="6236"/>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Analizadores de bus I2C / USB-I2C bridges comerciales (&gt;USD 50)</w:t>
            </w:r>
          </w:p>
        </w:tc>
      </w:tr>
      <w:tr>
        <w:tc>
          <w:tcPr>
            <w:tcW w:type="dxa" w:w="3118"/>
            <w:shd w:val="clear" w:color="auto" w:fill="DEEAF1"/>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b/>
                <w:sz w:val="20"/>
              </w:rPr>
              <w:t>Open source license</w:t>
            </w:r>
          </w:p>
        </w:tc>
        <w:tc>
          <w:tcPr>
            <w:tcW w:type="dxa" w:w="6236"/>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MIT License</w:t>
            </w:r>
          </w:p>
        </w:tc>
      </w:tr>
      <w:tr>
        <w:tc>
          <w:tcPr>
            <w:tcW w:type="dxa" w:w="3118"/>
            <w:shd w:val="clear" w:color="auto" w:fill="DEEAF1"/>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b/>
                <w:sz w:val="20"/>
              </w:rPr>
              <w:t>Cost of hardware</w:t>
            </w:r>
          </w:p>
        </w:tc>
        <w:tc>
          <w:tcPr>
            <w:tcW w:type="dxa" w:w="6236"/>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 USD 5–8 (ESP32 + MPU6050 + jumpers)</w:t>
            </w:r>
          </w:p>
        </w:tc>
      </w:tr>
      <w:tr>
        <w:tc>
          <w:tcPr>
            <w:tcW w:type="dxa" w:w="3118"/>
            <w:shd w:val="clear" w:color="auto" w:fill="DEEAF1"/>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b/>
                <w:sz w:val="20"/>
              </w:rPr>
              <w:t>Source file repository</w:t>
            </w:r>
          </w:p>
        </w:tc>
        <w:tc>
          <w:tcPr>
            <w:tcW w:type="dxa" w:w="6236"/>
            <w:tcBorders>
              <w:top w:val="single" w:sz="6" w:space="0" w:color="4F81BD"/>
              <w:left w:val="single" w:sz="6" w:space="0" w:color="4F81BD"/>
              <w:bottom w:val="single" w:sz="6" w:space="0" w:color="4F81BD"/>
              <w:right w:val="single" w:sz="6" w:space="0" w:color="4F81BD"/>
            </w:tcBorders>
          </w:tcPr>
          <w:p>
            <w:pPr>
              <w:spacing w:before="40" w:after="40"/>
            </w:pPr>
            <w:hyperlink r:id="rId10">
              <w:r>
                <w:rPr>
                  <w:rStyle w:val="Hyperlink"/>
                </w:rPr>
                <w:t>https://github.com/Cdcuellar/Sistemas-embebidos---Actividades-de-la-vida-diaria/tree/main/herramienta_who_i_am_id_interno_arduino_ide</w:t>
              </w:r>
            </w:hyperlink>
          </w:p>
        </w:tc>
      </w:tr>
    </w:tbl>
    <w:p/>
    <w:p>
      <w:pPr>
        <w:pStyle w:val="Heading1"/>
      </w:pPr>
      <w:r>
        <w:t>1. Hardware in Context</w:t>
      </w:r>
    </w:p>
    <w:p>
      <w:r>
        <w:t>El MPU6050 es una unidad de medición inercial (IMU) de 6 grados de libertad fabricada por InvenSense (ahora TDK), que integra un acelerómetro triaxial y un giroscopio triaxial en un único encapsulado. Comunica sus datos mediante el protocolo I2C y es ampliamente utilizado en aplicaciones de robótica, drones, sistemas wearables y monitoreo de actividades de la vida diaria (ADL).</w:t>
      </w:r>
    </w:p>
    <w:p>
      <w:r>
        <w:t>En proyectos de monitoreo de movimiento humano —como el seguimiento de actividades de la vida diaria (AVD)— la confiabilidad del sensor es fundamental. Sin embargo, el mercado de componentes electrónicos presenta una alta proliferación de sensores MPU6050 no originales o con revisiones de silicio alternativas, cuya identificación interna (WHO_AM_I) difiere del valor estándar 0x68. Esta discrepancia puede causar fallos silenciosos en stacks de software que no verifican la identidad del dispositivo.</w:t>
      </w:r>
    </w:p>
    <w:p>
      <w:r>
        <w:t>La herramienta presentada en este artículo cubre esta brecha diagnóstica: mediante la lectura del registro 0x75 (WHO_AM_I) por I2C, permite verificar si el sensor responde con el ID correcto (0x72 en el ESP-IDF nativo, o 0x68 en variantes de mercado). Esto es especialmente relevante cuando se trabaja con ESP-IDF, que requiere el ID 0x72 para reconocer el dispositivo correctamente.</w:t>
      </w:r>
    </w:p>
    <w:p>
      <w:pPr>
        <w:pStyle w:val="Heading2"/>
      </w:pPr>
      <w:r>
        <w:t>1.1 Comparativa con equipos comerciales</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Solución</w:t>
            </w:r>
          </w:p>
        </w:tc>
        <w:tc>
          <w:tcPr>
            <w:tcW w:type="dxa" w:w="2635"/>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Costo aprox.</w:t>
            </w:r>
          </w:p>
        </w:tc>
        <w:tc>
          <w:tcPr>
            <w:tcW w:type="dxa" w:w="2635"/>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Requiere driver especial</w:t>
            </w:r>
          </w:p>
        </w:tc>
        <w:tc>
          <w:tcPr>
            <w:tcW w:type="dxa" w:w="2635"/>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Open Source</w:t>
            </w:r>
          </w:p>
        </w:tc>
      </w:tr>
      <w:tr>
        <w:tc>
          <w:tcPr>
            <w:tcW w:type="dxa" w:w="2635"/>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Esta herramienta (ESP32 + MPU6050)</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USD 5–8</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No</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Sí</w:t>
            </w:r>
          </w:p>
        </w:tc>
      </w:tr>
      <w:tr>
        <w:tc>
          <w:tcPr>
            <w:tcW w:type="dxa" w:w="2635"/>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Analizador I2C USB (Bus Pirate)</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USD 30–50</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Sí</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Parcial</w:t>
            </w:r>
          </w:p>
        </w:tc>
      </w:tr>
      <w:tr>
        <w:tc>
          <w:tcPr>
            <w:tcW w:type="dxa" w:w="2635"/>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Osciloscopio con decodificador I2C</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USD 200+</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No</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No</w:t>
            </w:r>
          </w:p>
        </w:tc>
      </w:tr>
      <w:tr>
        <w:tc>
          <w:tcPr>
            <w:tcW w:type="dxa" w:w="2635"/>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Analizadores lógicos comerciales</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USD 100–500</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Sí</w:t>
            </w:r>
          </w:p>
        </w:tc>
        <w:tc>
          <w:tcPr>
            <w:tcW w:type="dxa" w:w="2635"/>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No</w:t>
            </w:r>
          </w:p>
        </w:tc>
      </w:tr>
    </w:tbl>
    <w:p/>
    <w:p>
      <w:pPr>
        <w:pStyle w:val="Heading1"/>
      </w:pPr>
      <w:r>
        <w:t>2. Hardware Description</w:t>
      </w:r>
    </w:p>
    <w:p>
      <w:r>
        <w:t>La herramienta WHO_AM_I es un programa mínimo desarrollado en C++ para el entorno Arduino IDE que, ejecutado sobre una placa ESP32 DevKit V1, establece comunicación I2C con el sensor MPU6050 y lee su registro de identificación interna. El resultado se reporta por el puerto serie a 115200 baudios, lo que permite una verificación inmediata sin necesidad de equipos adicionales.</w:t>
      </w:r>
    </w:p>
    <w:p>
      <w:pPr>
        <w:pStyle w:val="Heading2"/>
      </w:pPr>
      <w:r>
        <w:t>2.1 Ventajas frente a métodos tradicionales</w:t>
      </w:r>
    </w:p>
    <w:p>
      <w:pPr>
        <w:pStyle w:val="ListBullet"/>
        <w:spacing w:before="40" w:after="40"/>
      </w:pPr>
      <w:r>
        <w:t>Costo extremadamente bajo (&lt; USD 10 en total).</w:t>
      </w:r>
    </w:p>
    <w:p>
      <w:pPr>
        <w:pStyle w:val="ListBullet"/>
        <w:spacing w:before="40" w:after="40"/>
      </w:pPr>
      <w:r>
        <w:t>No requiere equipos de laboratorio especializados ni licencias de software.</w:t>
      </w:r>
    </w:p>
    <w:p>
      <w:pPr>
        <w:pStyle w:val="ListBullet"/>
        <w:spacing w:before="40" w:after="40"/>
      </w:pPr>
      <w:r>
        <w:t>Implementación en minutos: carga directa desde Arduino IDE.</w:t>
      </w:r>
    </w:p>
    <w:p>
      <w:pPr>
        <w:pStyle w:val="ListBullet"/>
        <w:spacing w:before="40" w:after="40"/>
      </w:pPr>
      <w:r>
        <w:t>Diagnóstico preciso: distingue entre variantes de silicio del MPU6050.</w:t>
      </w:r>
    </w:p>
    <w:p>
      <w:pPr>
        <w:pStyle w:val="ListBullet"/>
        <w:spacing w:before="40" w:after="40"/>
      </w:pPr>
      <w:r>
        <w:t>Código fuente abierto, documentado y reutilizable en otros proyectos.</w:t>
      </w:r>
    </w:p>
    <w:p>
      <w:pPr>
        <w:pStyle w:val="Heading2"/>
      </w:pPr>
      <w:r>
        <w:t>2.2 Aplicaciones potenciales</w:t>
      </w:r>
    </w:p>
    <w:p>
      <w:pPr>
        <w:pStyle w:val="ListBullet"/>
        <w:spacing w:before="40" w:after="40"/>
      </w:pPr>
      <w:r>
        <w:t>Validación de hardware en producción de nodos wearables para ADL.</w:t>
      </w:r>
    </w:p>
    <w:p>
      <w:pPr>
        <w:pStyle w:val="ListBullet"/>
        <w:spacing w:before="40" w:after="40"/>
      </w:pPr>
      <w:r>
        <w:t>Integración en rutinas de autodiagnóstico de firmware embebido.</w:t>
      </w:r>
    </w:p>
    <w:p>
      <w:pPr>
        <w:pStyle w:val="ListBullet"/>
        <w:spacing w:before="40" w:after="40"/>
      </w:pPr>
      <w:r>
        <w:t>Herramienta educativa en laboratorios de sistemas embebidos.</w:t>
      </w:r>
    </w:p>
    <w:p>
      <w:pPr>
        <w:pStyle w:val="ListBullet"/>
        <w:spacing w:before="40" w:after="40"/>
      </w:pPr>
      <w:r>
        <w:t>Screening de lotes de sensores provenientes de proveedores no certificados.</w:t>
      </w:r>
    </w:p>
    <w:p>
      <w:pPr>
        <w:pStyle w:val="ListBullet"/>
        <w:spacing w:before="40" w:after="40"/>
      </w:pPr>
      <w:r>
        <w:t>Base para herramientas de diagnóstico ampliadas (lectura de registros completos).</w:t>
      </w:r>
    </w:p>
    <w:p/>
    <w:p>
      <w:pPr>
        <w:pStyle w:val="Heading1"/>
      </w:pPr>
      <w:r>
        <w:t>3. Design Files</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551"/>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18"/>
              </w:rPr>
              <w:t>Design filename</w:t>
            </w:r>
          </w:p>
        </w:tc>
        <w:tc>
          <w:tcPr>
            <w:tcW w:type="dxa" w:w="1984"/>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18"/>
              </w:rPr>
              <w:t>File type</w:t>
            </w:r>
          </w:p>
        </w:tc>
        <w:tc>
          <w:tcPr>
            <w:tcW w:type="dxa" w:w="1417"/>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18"/>
              </w:rPr>
              <w:t>Open source license</w:t>
            </w:r>
          </w:p>
        </w:tc>
        <w:tc>
          <w:tcPr>
            <w:tcW w:type="dxa" w:w="3402"/>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18"/>
              </w:rPr>
              <w:t>Location (URL)</w:t>
            </w:r>
          </w:p>
        </w:tc>
      </w:tr>
      <w:tr>
        <w:tc>
          <w:tcPr>
            <w:tcW w:type="dxa" w:w="2551"/>
            <w:tcBorders>
              <w:top w:val="single" w:sz="6" w:space="0" w:color="4F81BD"/>
              <w:left w:val="single" w:sz="6" w:space="0" w:color="4F81BD"/>
              <w:bottom w:val="single" w:sz="6" w:space="0" w:color="4F81BD"/>
              <w:right w:val="single" w:sz="6" w:space="0" w:color="4F81BD"/>
            </w:tcBorders>
            <w:shd w:val="clear" w:color="auto" w:fill="EBF3FA"/>
          </w:tcPr>
          <w:p>
            <w:pPr>
              <w:spacing w:before="40" w:after="40"/>
            </w:pPr>
            <w:r>
              <w:rPr>
                <w:rFonts w:ascii="Calibri" w:hAnsi="Calibri"/>
                <w:sz w:val="18"/>
              </w:rPr>
              <w:t>herramienta_who_i_am_id_interno_arduino_ide.ino</w:t>
            </w:r>
          </w:p>
        </w:tc>
        <w:tc>
          <w:tcPr>
            <w:tcW w:type="dxa" w:w="1984"/>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18"/>
              </w:rPr>
              <w:t>Código fuente Arduino (C++)</w:t>
            </w:r>
          </w:p>
        </w:tc>
        <w:tc>
          <w:tcPr>
            <w:tcW w:type="dxa" w:w="1417"/>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18"/>
              </w:rPr>
              <w:t>MIT</w:t>
            </w:r>
          </w:p>
        </w:tc>
        <w:tc>
          <w:tcPr>
            <w:tcW w:type="dxa" w:w="3402"/>
            <w:tcBorders>
              <w:top w:val="single" w:sz="6" w:space="0" w:color="4F81BD"/>
              <w:left w:val="single" w:sz="6" w:space="0" w:color="4F81BD"/>
              <w:bottom w:val="single" w:sz="6" w:space="0" w:color="4F81BD"/>
              <w:right w:val="single" w:sz="6" w:space="0" w:color="4F81BD"/>
            </w:tcBorders>
          </w:tcPr>
          <w:p>
            <w:pPr>
              <w:spacing w:before="40" w:after="40"/>
            </w:pPr>
            <w:hyperlink r:id="rId11">
              <w:r>
                <w:rPr>
                  <w:rStyle w:val="Hyperlink"/>
                </w:rPr>
                <w:t>https://github.com/Cdcuellar/Sistemas-embebidos---Actividades-de-la-vida-diaria/blob/main/herramienta_who_i_am_id_interno_arduino_ide/herramienta_who_i_am_id_interno_arduino_ide.ino</w:t>
              </w:r>
            </w:hyperlink>
          </w:p>
        </w:tc>
      </w:tr>
      <w:tr>
        <w:tc>
          <w:tcPr>
            <w:tcW w:type="dxa" w:w="2551"/>
            <w:tcBorders>
              <w:top w:val="single" w:sz="6" w:space="0" w:color="4F81BD"/>
              <w:left w:val="single" w:sz="6" w:space="0" w:color="4F81BD"/>
              <w:bottom w:val="single" w:sz="6" w:space="0" w:color="4F81BD"/>
              <w:right w:val="single" w:sz="6" w:space="0" w:color="4F81BD"/>
            </w:tcBorders>
            <w:shd w:val="clear" w:color="auto" w:fill="EBF3FA"/>
          </w:tcPr>
          <w:p>
            <w:pPr>
              <w:spacing w:before="40" w:after="40"/>
            </w:pPr>
            <w:r>
              <w:rPr>
                <w:rFonts w:ascii="Calibri" w:hAnsi="Calibri"/>
                <w:sz w:val="18"/>
              </w:rPr>
              <w:t>README.txt</w:t>
            </w:r>
          </w:p>
        </w:tc>
        <w:tc>
          <w:tcPr>
            <w:tcW w:type="dxa" w:w="1984"/>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18"/>
              </w:rPr>
              <w:t>Documentación de texto plano</w:t>
            </w:r>
          </w:p>
        </w:tc>
        <w:tc>
          <w:tcPr>
            <w:tcW w:type="dxa" w:w="1417"/>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18"/>
              </w:rPr>
              <w:t>MIT</w:t>
            </w:r>
          </w:p>
        </w:tc>
        <w:tc>
          <w:tcPr>
            <w:tcW w:type="dxa" w:w="3402"/>
            <w:tcBorders>
              <w:top w:val="single" w:sz="6" w:space="0" w:color="4F81BD"/>
              <w:left w:val="single" w:sz="6" w:space="0" w:color="4F81BD"/>
              <w:bottom w:val="single" w:sz="6" w:space="0" w:color="4F81BD"/>
              <w:right w:val="single" w:sz="6" w:space="0" w:color="4F81BD"/>
            </w:tcBorders>
          </w:tcPr>
          <w:p>
            <w:pPr>
              <w:spacing w:before="40" w:after="40"/>
            </w:pPr>
            <w:hyperlink r:id="rId12">
              <w:r>
                <w:rPr>
                  <w:rStyle w:val="Hyperlink"/>
                </w:rPr>
                <w:t>https://github.com/Cdcuellar/Sistemas-embebidos---Actividades-de-la-vida-diaria/blob/main/herramienta_who_i_am_id_interno_arduino_ide/README.txt</w:t>
              </w:r>
            </w:hyperlink>
          </w:p>
        </w:tc>
      </w:tr>
    </w:tbl>
    <w:p/>
    <w:p>
      <w:pPr>
        <w:pStyle w:val="Heading2"/>
      </w:pPr>
      <w:r>
        <w:t>3.1 Descripción de archivos</w:t>
      </w:r>
    </w:p>
    <w:p>
      <w:r>
        <w:rPr>
          <w:b/>
        </w:rPr>
        <w:t xml:space="preserve">herramienta_who_i_am_id_interno_arduino_ide.ino: </w:t>
      </w:r>
      <w:r>
        <w:rPr>
          <w:rFonts w:ascii="Calibri" w:hAnsi="Calibri"/>
          <w:sz w:val="22"/>
        </w:rPr>
        <w:t>Archivo fuente principal del proyecto. Implementa la inicialización del bus I2C en los pines GPIO 21 (SDA) y GPIO 22 (SCL), la transmisión de la dirección del dispositivo (0x68), la escritura del puntero al registro WHO_AM_I (0x75), la solicitud de lectura de 1 byte y la impresión del valor leído en el Monitor Serie en formato hexadecimal.</w:t>
      </w:r>
    </w:p>
    <w:p>
      <w:r>
        <w:rPr>
          <w:b/>
        </w:rPr>
        <w:t xml:space="preserve">README.txt: </w:t>
      </w:r>
      <w:r>
        <w:rPr>
          <w:rFonts w:ascii="Calibri" w:hAnsi="Calibri"/>
          <w:sz w:val="22"/>
        </w:rPr>
        <w:t>Documento de texto plano con notas de depuración, descripción del proyecto, instrucciones de ejecución, librerías requeridas y configuración física de pines. Sirve como guía rápida para el usuario.</w:t>
      </w:r>
    </w:p>
    <w:p>
      <w:pPr>
        <w:pStyle w:val="Heading2"/>
      </w:pPr>
      <w:r>
        <w:t>3.2 Código fuente (herramienta_who_i_am_id_interno_arduino_ide.ino)</w:t>
      </w:r>
    </w:p>
    <w:p>
      <w:pPr>
        <w:spacing w:before="120" w:after="120"/>
      </w:pPr>
      <w:r>
        <w:rPr>
          <w:rFonts w:ascii="Courier New" w:hAnsi="Courier New"/>
          <w:sz w:val="18"/>
        </w:rPr>
        <w:t>#include &lt;Wire.h&gt;</w:t>
        <w:br/>
        <w:br/>
        <w:t>void setup() {</w:t>
        <w:br/>
        <w:t xml:space="preserve">  Wire.begin(21, 22);       // SDA=GPIO21, SCL=GPIO22</w:t>
        <w:br/>
        <w:t xml:space="preserve">  Serial.begin(115200);</w:t>
        <w:br/>
        <w:br/>
        <w:t xml:space="preserve">  Serial.println("Leyendo WHO_AM_I...");</w:t>
        <w:br/>
        <w:t xml:space="preserve">  </w:t>
        <w:br/>
        <w:t xml:space="preserve">  Wire.beginTransmission(0x68); // Dirección I2C del MPU6050</w:t>
        <w:br/>
        <w:t xml:space="preserve">  Wire.write(0x75);             // Registro WHO_AM_I</w:t>
        <w:br/>
        <w:t xml:space="preserve">  Wire.endTransmission(false);  // Restart condition</w:t>
        <w:br/>
        <w:br/>
        <w:t xml:space="preserve">  Wire.requestFrom(0x68, 1);    // Solicitar 1 byte</w:t>
        <w:br/>
        <w:br/>
        <w:t xml:space="preserve">  if (Wire.available()) {</w:t>
        <w:br/>
        <w:t xml:space="preserve">    uint8_t val = Wire.read();</w:t>
        <w:br/>
        <w:t xml:space="preserve">    Serial.print("WHO_AM_I: 0x");</w:t>
        <w:br/>
        <w:t xml:space="preserve">    Serial.println(val, HEX);   // Valor esperado: 0x72</w:t>
        <w:br/>
        <w:t xml:space="preserve">  } else {</w:t>
        <w:br/>
        <w:t xml:space="preserve">    Serial.println("No se pudo leer el sensor");</w:t>
        <w:br/>
        <w:t xml:space="preserve">  }</w:t>
        <w:br/>
        <w:t>}</w:t>
        <w:br/>
        <w:br/>
        <w:t>void loop() {}</w:t>
      </w:r>
    </w:p>
    <w:p/>
    <w:p>
      <w:pPr>
        <w:pStyle w:val="Heading1"/>
      </w:pPr>
      <w:r>
        <w:t>4. Bill of Materials Summary</w:t>
      </w:r>
    </w:p>
    <w:tbl>
      <w:tblPr>
        <w:tblStyle w:val="TableGrid"/>
        <w:tblW w:type="auto" w:w="0"/>
        <w:jc w:val="center"/>
        <w:tblLook w:firstColumn="1" w:firstRow="1" w:lastColumn="0" w:lastRow="0" w:noHBand="0" w:noVBand="1" w:val="04A0"/>
      </w:tblPr>
      <w:tblGrid>
        <w:gridCol w:w="1506"/>
        <w:gridCol w:w="1506"/>
        <w:gridCol w:w="1506"/>
        <w:gridCol w:w="1506"/>
        <w:gridCol w:w="1506"/>
        <w:gridCol w:w="1506"/>
        <w:gridCol w:w="1506"/>
      </w:tblGrid>
      <w:tr>
        <w:tc>
          <w:tcPr>
            <w:tcW w:type="dxa" w:w="1506"/>
            <w:tcBorders>
              <w:top w:val="single" w:sz="6" w:space="0" w:color="4F81BD"/>
              <w:left w:val="single" w:sz="6" w:space="0" w:color="4F81BD"/>
              <w:bottom w:val="single" w:sz="6" w:space="0" w:color="4F81BD"/>
              <w:right w:val="single" w:sz="6" w:space="0" w:color="4F81BD"/>
            </w:tcBorders>
            <w:shd w:val="clear" w:color="auto" w:fill="1F497D"/>
          </w:tcPr>
          <w:p>
            <w:pPr>
              <w:spacing w:before="20" w:after="20"/>
            </w:pPr>
            <w:r>
              <w:rPr>
                <w:rFonts w:ascii="Calibri" w:hAnsi="Calibri"/>
                <w:b/>
                <w:color w:val="FFFFFF"/>
                <w:sz w:val="18"/>
              </w:rPr>
              <w:t>Designator</w:t>
            </w:r>
          </w:p>
        </w:tc>
        <w:tc>
          <w:tcPr>
            <w:tcW w:type="dxa" w:w="1506"/>
            <w:tcBorders>
              <w:top w:val="single" w:sz="6" w:space="0" w:color="4F81BD"/>
              <w:left w:val="single" w:sz="6" w:space="0" w:color="4F81BD"/>
              <w:bottom w:val="single" w:sz="6" w:space="0" w:color="4F81BD"/>
              <w:right w:val="single" w:sz="6" w:space="0" w:color="4F81BD"/>
            </w:tcBorders>
            <w:shd w:val="clear" w:color="auto" w:fill="1F497D"/>
          </w:tcPr>
          <w:p>
            <w:pPr>
              <w:spacing w:before="20" w:after="20"/>
            </w:pPr>
            <w:r>
              <w:rPr>
                <w:rFonts w:ascii="Calibri" w:hAnsi="Calibri"/>
                <w:b/>
                <w:color w:val="FFFFFF"/>
                <w:sz w:val="18"/>
              </w:rPr>
              <w:t>Componente</w:t>
            </w:r>
          </w:p>
        </w:tc>
        <w:tc>
          <w:tcPr>
            <w:tcW w:type="dxa" w:w="1506"/>
            <w:tcBorders>
              <w:top w:val="single" w:sz="6" w:space="0" w:color="4F81BD"/>
              <w:left w:val="single" w:sz="6" w:space="0" w:color="4F81BD"/>
              <w:bottom w:val="single" w:sz="6" w:space="0" w:color="4F81BD"/>
              <w:right w:val="single" w:sz="6" w:space="0" w:color="4F81BD"/>
            </w:tcBorders>
            <w:shd w:val="clear" w:color="auto" w:fill="1F497D"/>
          </w:tcPr>
          <w:p>
            <w:pPr>
              <w:spacing w:before="20" w:after="20"/>
            </w:pPr>
            <w:r>
              <w:rPr>
                <w:rFonts w:ascii="Calibri" w:hAnsi="Calibri"/>
                <w:b/>
                <w:color w:val="FFFFFF"/>
                <w:sz w:val="18"/>
              </w:rPr>
              <w:t>Cant.</w:t>
            </w:r>
          </w:p>
        </w:tc>
        <w:tc>
          <w:tcPr>
            <w:tcW w:type="dxa" w:w="1506"/>
            <w:tcBorders>
              <w:top w:val="single" w:sz="6" w:space="0" w:color="4F81BD"/>
              <w:left w:val="single" w:sz="6" w:space="0" w:color="4F81BD"/>
              <w:bottom w:val="single" w:sz="6" w:space="0" w:color="4F81BD"/>
              <w:right w:val="single" w:sz="6" w:space="0" w:color="4F81BD"/>
            </w:tcBorders>
            <w:shd w:val="clear" w:color="auto" w:fill="1F497D"/>
          </w:tcPr>
          <w:p>
            <w:pPr>
              <w:spacing w:before="20" w:after="20"/>
            </w:pPr>
            <w:r>
              <w:rPr>
                <w:rFonts w:ascii="Calibri" w:hAnsi="Calibri"/>
                <w:b/>
                <w:color w:val="FFFFFF"/>
                <w:sz w:val="18"/>
              </w:rPr>
              <w:t>Costo unitario (USD)</w:t>
            </w:r>
          </w:p>
        </w:tc>
        <w:tc>
          <w:tcPr>
            <w:tcW w:type="dxa" w:w="1506"/>
            <w:tcBorders>
              <w:top w:val="single" w:sz="6" w:space="0" w:color="4F81BD"/>
              <w:left w:val="single" w:sz="6" w:space="0" w:color="4F81BD"/>
              <w:bottom w:val="single" w:sz="6" w:space="0" w:color="4F81BD"/>
              <w:right w:val="single" w:sz="6" w:space="0" w:color="4F81BD"/>
            </w:tcBorders>
            <w:shd w:val="clear" w:color="auto" w:fill="1F497D"/>
          </w:tcPr>
          <w:p>
            <w:pPr>
              <w:spacing w:before="20" w:after="20"/>
            </w:pPr>
            <w:r>
              <w:rPr>
                <w:rFonts w:ascii="Calibri" w:hAnsi="Calibri"/>
                <w:b/>
                <w:color w:val="FFFFFF"/>
                <w:sz w:val="18"/>
              </w:rPr>
              <w:t>Costo total (USD)</w:t>
            </w:r>
          </w:p>
        </w:tc>
        <w:tc>
          <w:tcPr>
            <w:tcW w:type="dxa" w:w="1506"/>
            <w:tcBorders>
              <w:top w:val="single" w:sz="6" w:space="0" w:color="4F81BD"/>
              <w:left w:val="single" w:sz="6" w:space="0" w:color="4F81BD"/>
              <w:bottom w:val="single" w:sz="6" w:space="0" w:color="4F81BD"/>
              <w:right w:val="single" w:sz="6" w:space="0" w:color="4F81BD"/>
            </w:tcBorders>
            <w:shd w:val="clear" w:color="auto" w:fill="1F497D"/>
          </w:tcPr>
          <w:p>
            <w:pPr>
              <w:spacing w:before="20" w:after="20"/>
            </w:pPr>
            <w:r>
              <w:rPr>
                <w:rFonts w:ascii="Calibri" w:hAnsi="Calibri"/>
                <w:b/>
                <w:color w:val="FFFFFF"/>
                <w:sz w:val="18"/>
              </w:rPr>
              <w:t>Fuente</w:t>
            </w:r>
          </w:p>
        </w:tc>
        <w:tc>
          <w:tcPr>
            <w:tcW w:type="dxa" w:w="1506"/>
            <w:tcBorders>
              <w:top w:val="single" w:sz="6" w:space="0" w:color="4F81BD"/>
              <w:left w:val="single" w:sz="6" w:space="0" w:color="4F81BD"/>
              <w:bottom w:val="single" w:sz="6" w:space="0" w:color="4F81BD"/>
              <w:right w:val="single" w:sz="6" w:space="0" w:color="4F81BD"/>
            </w:tcBorders>
            <w:shd w:val="clear" w:color="auto" w:fill="1F497D"/>
          </w:tcPr>
          <w:p>
            <w:pPr>
              <w:spacing w:before="20" w:after="20"/>
            </w:pPr>
            <w:r>
              <w:rPr>
                <w:rFonts w:ascii="Calibri" w:hAnsi="Calibri"/>
                <w:b/>
                <w:color w:val="FFFFFF"/>
                <w:sz w:val="18"/>
              </w:rPr>
              <w:t>Tipo</w:t>
            </w:r>
          </w:p>
        </w:tc>
      </w:tr>
      <w:tr>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U1</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ESP32 DevKit V1</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1</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3.50</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3.50</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AliExpress / MercadoLibre</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Módulo microcontrolador</w:t>
            </w:r>
          </w:p>
        </w:tc>
      </w:tr>
      <w:tr>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U2</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Módulo MPU6050</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1</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1.20</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1.20</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AliExpress / MercadoLibre</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Sensor IMU 6-DOF</w:t>
            </w:r>
          </w:p>
        </w:tc>
      </w:tr>
      <w:tr>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J1–J4</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Cables jumper Macho-Hembra</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4</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0.05</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0.20</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Distribuidores locales</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Cable de conexión</w:t>
            </w:r>
          </w:p>
        </w:tc>
      </w:tr>
      <w:tr>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R1, R2</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Resistencia pull-up 4.7 kΩ (opcional)</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2</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0.02</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0.04</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Distribuidores electrónicos</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Resistencia pasiva</w:t>
            </w:r>
          </w:p>
        </w:tc>
      </w:tr>
      <w:tr>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Cable USB Micro-B</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1</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0.50</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0.50</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Universal</w:t>
            </w:r>
          </w:p>
        </w:tc>
        <w:tc>
          <w:tcPr>
            <w:tcW w:type="dxa" w:w="1506"/>
            <w:tcBorders>
              <w:top w:val="single" w:sz="6" w:space="0" w:color="4F81BD"/>
              <w:left w:val="single" w:sz="6" w:space="0" w:color="4F81BD"/>
              <w:bottom w:val="single" w:sz="6" w:space="0" w:color="4F81BD"/>
              <w:right w:val="single" w:sz="6" w:space="0" w:color="4F81BD"/>
            </w:tcBorders>
          </w:tcPr>
          <w:p>
            <w:pPr>
              <w:spacing w:before="20" w:after="20"/>
            </w:pPr>
            <w:r>
              <w:rPr>
                <w:rFonts w:ascii="Calibri" w:hAnsi="Calibri"/>
                <w:sz w:val="18"/>
              </w:rPr>
              <w:t>Cable de programación</w:t>
            </w:r>
          </w:p>
        </w:tc>
      </w:tr>
      <w:tr>
        <w:tc>
          <w:tcPr>
            <w:tcW w:type="dxa" w:w="1506"/>
            <w:tcBorders>
              <w:top w:val="single" w:sz="6" w:space="0" w:color="4F81BD"/>
              <w:left w:val="single" w:sz="6" w:space="0" w:color="4F81BD"/>
              <w:bottom w:val="single" w:sz="6" w:space="0" w:color="4F81BD"/>
              <w:right w:val="single" w:sz="6" w:space="0" w:color="4F81BD"/>
            </w:tcBorders>
            <w:shd w:val="clear" w:color="auto" w:fill="DEEAF1"/>
          </w:tcPr>
          <w:p>
            <w:pPr>
              <w:spacing w:before="20" w:after="20"/>
            </w:pPr>
            <w:r>
              <w:rPr>
                <w:rFonts w:ascii="Calibri" w:hAnsi="Calibri"/>
                <w:b/>
                <w:sz w:val="18"/>
              </w:rPr>
            </w:r>
          </w:p>
        </w:tc>
        <w:tc>
          <w:tcPr>
            <w:tcW w:type="dxa" w:w="1506"/>
            <w:tcBorders>
              <w:top w:val="single" w:sz="6" w:space="0" w:color="4F81BD"/>
              <w:left w:val="single" w:sz="6" w:space="0" w:color="4F81BD"/>
              <w:bottom w:val="single" w:sz="6" w:space="0" w:color="4F81BD"/>
              <w:right w:val="single" w:sz="6" w:space="0" w:color="4F81BD"/>
            </w:tcBorders>
            <w:shd w:val="clear" w:color="auto" w:fill="DEEAF1"/>
          </w:tcPr>
          <w:p>
            <w:pPr>
              <w:spacing w:before="20" w:after="20"/>
            </w:pPr>
            <w:r>
              <w:rPr>
                <w:rFonts w:ascii="Calibri" w:hAnsi="Calibri"/>
                <w:b/>
                <w:sz w:val="18"/>
              </w:rPr>
              <w:t>TOTAL</w:t>
            </w:r>
          </w:p>
        </w:tc>
        <w:tc>
          <w:tcPr>
            <w:tcW w:type="dxa" w:w="1506"/>
            <w:tcBorders>
              <w:top w:val="single" w:sz="6" w:space="0" w:color="4F81BD"/>
              <w:left w:val="single" w:sz="6" w:space="0" w:color="4F81BD"/>
              <w:bottom w:val="single" w:sz="6" w:space="0" w:color="4F81BD"/>
              <w:right w:val="single" w:sz="6" w:space="0" w:color="4F81BD"/>
            </w:tcBorders>
            <w:shd w:val="clear" w:color="auto" w:fill="DEEAF1"/>
          </w:tcPr>
          <w:p>
            <w:pPr>
              <w:spacing w:before="20" w:after="20"/>
            </w:pPr>
            <w:r>
              <w:rPr>
                <w:rFonts w:ascii="Calibri" w:hAnsi="Calibri"/>
                <w:b/>
                <w:sz w:val="18"/>
              </w:rPr>
            </w:r>
          </w:p>
        </w:tc>
        <w:tc>
          <w:tcPr>
            <w:tcW w:type="dxa" w:w="1506"/>
            <w:tcBorders>
              <w:top w:val="single" w:sz="6" w:space="0" w:color="4F81BD"/>
              <w:left w:val="single" w:sz="6" w:space="0" w:color="4F81BD"/>
              <w:bottom w:val="single" w:sz="6" w:space="0" w:color="4F81BD"/>
              <w:right w:val="single" w:sz="6" w:space="0" w:color="4F81BD"/>
            </w:tcBorders>
            <w:shd w:val="clear" w:color="auto" w:fill="DEEAF1"/>
          </w:tcPr>
          <w:p>
            <w:pPr>
              <w:spacing w:before="20" w:after="20"/>
            </w:pPr>
            <w:r>
              <w:rPr>
                <w:rFonts w:ascii="Calibri" w:hAnsi="Calibri"/>
                <w:b/>
                <w:sz w:val="18"/>
              </w:rPr>
            </w:r>
          </w:p>
        </w:tc>
        <w:tc>
          <w:tcPr>
            <w:tcW w:type="dxa" w:w="1506"/>
            <w:tcBorders>
              <w:top w:val="single" w:sz="6" w:space="0" w:color="4F81BD"/>
              <w:left w:val="single" w:sz="6" w:space="0" w:color="4F81BD"/>
              <w:bottom w:val="single" w:sz="6" w:space="0" w:color="4F81BD"/>
              <w:right w:val="single" w:sz="6" w:space="0" w:color="4F81BD"/>
            </w:tcBorders>
            <w:shd w:val="clear" w:color="auto" w:fill="DEEAF1"/>
          </w:tcPr>
          <w:p>
            <w:pPr>
              <w:spacing w:before="20" w:after="20"/>
            </w:pPr>
            <w:r>
              <w:rPr>
                <w:rFonts w:ascii="Calibri" w:hAnsi="Calibri"/>
                <w:b/>
                <w:sz w:val="18"/>
              </w:rPr>
              <w:t>5.44</w:t>
            </w:r>
          </w:p>
        </w:tc>
        <w:tc>
          <w:tcPr>
            <w:tcW w:type="dxa" w:w="1506"/>
            <w:tcBorders>
              <w:top w:val="single" w:sz="6" w:space="0" w:color="4F81BD"/>
              <w:left w:val="single" w:sz="6" w:space="0" w:color="4F81BD"/>
              <w:bottom w:val="single" w:sz="6" w:space="0" w:color="4F81BD"/>
              <w:right w:val="single" w:sz="6" w:space="0" w:color="4F81BD"/>
            </w:tcBorders>
            <w:shd w:val="clear" w:color="auto" w:fill="DEEAF1"/>
          </w:tcPr>
          <w:p>
            <w:pPr>
              <w:spacing w:before="20" w:after="20"/>
            </w:pPr>
            <w:r>
              <w:rPr>
                <w:rFonts w:ascii="Calibri" w:hAnsi="Calibri"/>
                <w:b/>
                <w:sz w:val="18"/>
              </w:rPr>
            </w:r>
          </w:p>
        </w:tc>
        <w:tc>
          <w:tcPr>
            <w:tcW w:type="dxa" w:w="1506"/>
            <w:tcBorders>
              <w:top w:val="single" w:sz="6" w:space="0" w:color="4F81BD"/>
              <w:left w:val="single" w:sz="6" w:space="0" w:color="4F81BD"/>
              <w:bottom w:val="single" w:sz="6" w:space="0" w:color="4F81BD"/>
              <w:right w:val="single" w:sz="6" w:space="0" w:color="4F81BD"/>
            </w:tcBorders>
            <w:shd w:val="clear" w:color="auto" w:fill="DEEAF1"/>
          </w:tcPr>
          <w:p>
            <w:pPr>
              <w:spacing w:before="20" w:after="20"/>
            </w:pPr>
            <w:r>
              <w:rPr>
                <w:rFonts w:ascii="Calibri" w:hAnsi="Calibri"/>
                <w:b/>
                <w:sz w:val="18"/>
              </w:rPr>
            </w:r>
          </w:p>
        </w:tc>
      </w:tr>
    </w:tbl>
    <w:p/>
    <w:p>
      <w:pPr>
        <w:pStyle w:val="Heading1"/>
      </w:pPr>
      <w:r>
        <w:t>5. Build Instructions</w:t>
      </w:r>
    </w:p>
    <w:p>
      <w:pPr>
        <w:pStyle w:val="Heading2"/>
      </w:pPr>
      <w:r>
        <w:t>5.1 Requisitos de software</w:t>
      </w:r>
    </w:p>
    <w:p>
      <w:pPr>
        <w:pStyle w:val="ListNumber"/>
        <w:spacing w:before="40" w:after="40"/>
      </w:pPr>
      <w:r>
        <w:t>Arduino IDE v1.8.x o superior (descargable desde https://www.arduino.cc/en/software)</w:t>
      </w:r>
    </w:p>
    <w:p>
      <w:pPr>
        <w:pStyle w:val="ListNumber"/>
        <w:spacing w:before="40" w:after="40"/>
      </w:pPr>
      <w:r>
        <w:t>Soporte para ESP32 en Arduino IDE: agregar en 'Gestor de URL adicionales de tarjetas': https://dl.espressif.com/dl/package_esp32_index.json</w:t>
      </w:r>
    </w:p>
    <w:p>
      <w:pPr>
        <w:pStyle w:val="ListNumber"/>
        <w:spacing w:before="40" w:after="40"/>
      </w:pPr>
      <w:r>
        <w:t>Instalar el paquete 'esp32 by Espressif Systems' v2.x desde el Gestor de Tarjetas.</w:t>
      </w:r>
    </w:p>
    <w:p>
      <w:pPr>
        <w:pStyle w:val="ListNumber"/>
        <w:spacing w:before="40" w:after="40"/>
      </w:pPr>
      <w:r>
        <w:t>Librería Wire.h: incluida por defecto en el núcleo ESP32 para Arduino (no requiere instalación adicional).</w:t>
      </w:r>
    </w:p>
    <w:p>
      <w:pPr>
        <w:pStyle w:val="ListNumber"/>
        <w:spacing w:before="40" w:after="40"/>
      </w:pPr>
      <w:r>
        <w:t>Driver USB: instalar el driver CP210x o CH340x según el chip USB-UART de su placa ESP32.</w:t>
      </w:r>
    </w:p>
    <w:p>
      <w:pPr>
        <w:pStyle w:val="Heading2"/>
      </w:pPr>
      <w:r>
        <w:t>5.2 Esquema de conexión física</w:t>
      </w:r>
    </w:p>
    <w:p>
      <w:r>
        <w:t>Conectar los componentes según el siguiente diagrama:</w:t>
      </w:r>
    </w:p>
    <w:p>
      <w:r>
        <w:rPr>
          <w:rFonts w:ascii="Courier New" w:hAnsi="Courier New"/>
          <w:sz w:val="18"/>
        </w:rPr>
        <w:br/>
        <w:t xml:space="preserve">    ESP32 DevKit V1            MPU6050</w:t>
        <w:br/>
        <w:t xml:space="preserve">    ┌──────────────┐          ┌──────────┐</w:t>
        <w:br/>
        <w:t xml:space="preserve">    │              │          │          │</w:t>
        <w:br/>
        <w:t xml:space="preserve">    │  GPIO 21 ────┼──────────┼── SDA    │</w:t>
        <w:br/>
        <w:t xml:space="preserve">    │  GPIO 22 ────┼──────────┼── SCL    │</w:t>
        <w:br/>
        <w:t xml:space="preserve">    │  3.3V    ────┼──────────┼── VCC    │</w:t>
        <w:br/>
        <w:t xml:space="preserve">    │  GND     ────┼──────────┼── GND    │</w:t>
        <w:br/>
        <w:t xml:space="preserve">    │              │          │  AD0=GND │</w:t>
        <w:br/>
        <w:t xml:space="preserve">    └──────────────┘          └──────────┘</w:t>
        <w:br/>
        <w:t xml:space="preserve">    </w:t>
        <w:br/>
        <w:t xml:space="preserve">    Nota: AD0 conectado a GND → Dirección I2C = 0x68</w:t>
        <w:br/>
        <w:t xml:space="preserve">          Resistencias pull-up 4.7kΩ en SDA y SCL son opcionales</w:t>
        <w:br/>
        <w:t xml:space="preserve">          (el módulo MPU6050 generalmente las incluye integradas)</w:t>
        <w:br/>
      </w:r>
    </w:p>
    <w:p>
      <w:pPr>
        <w:pStyle w:val="Heading2"/>
      </w:pPr>
      <w:r>
        <w:t>5.3 Instrucciones de montaje</w:t>
      </w:r>
    </w:p>
    <w:p>
      <w:pPr>
        <w:pStyle w:val="ListNumber"/>
        <w:spacing w:before="40" w:after="40"/>
      </w:pPr>
      <w:r>
        <w:t>Conectar VCC del MPU6050 al pin 3.3V del ESP32.</w:t>
      </w:r>
    </w:p>
    <w:p>
      <w:pPr>
        <w:pStyle w:val="ListNumber"/>
        <w:spacing w:before="40" w:after="40"/>
      </w:pPr>
      <w:r>
        <w:t>Conectar GND del MPU6050 al pin GND del ESP32.</w:t>
      </w:r>
    </w:p>
    <w:p>
      <w:pPr>
        <w:pStyle w:val="ListNumber"/>
        <w:spacing w:before="40" w:after="40"/>
      </w:pPr>
      <w:r>
        <w:t>Conectar SDA del MPU6050 al GPIO 21 del ESP32.</w:t>
      </w:r>
    </w:p>
    <w:p>
      <w:pPr>
        <w:pStyle w:val="ListNumber"/>
        <w:spacing w:before="40" w:after="40"/>
      </w:pPr>
      <w:r>
        <w:t>Conectar SCL del MPU6050 al GPIO 22 del ESP32.</w:t>
      </w:r>
    </w:p>
    <w:p>
      <w:pPr>
        <w:pStyle w:val="ListNumber"/>
        <w:spacing w:before="40" w:after="40"/>
      </w:pPr>
      <w:r>
        <w:t>Mantener AD0 del MPU6050 conectado a GND (dirección 0x68).</w:t>
      </w:r>
    </w:p>
    <w:p>
      <w:pPr>
        <w:pStyle w:val="ListNumber"/>
        <w:spacing w:before="40" w:after="40"/>
      </w:pPr>
      <w:r>
        <w:t>Conectar el ESP32 al computador mediante cable USB Micro-B.</w:t>
      </w:r>
    </w:p>
    <w:p>
      <w:pPr>
        <w:pStyle w:val="ListNumber"/>
        <w:spacing w:before="40" w:after="40"/>
      </w:pPr>
      <w:r>
        <w:t>Abrir Arduino IDE y cargar el archivo .ino del repositorio GitHub (ver sección 3).</w:t>
      </w:r>
    </w:p>
    <w:p>
      <w:pPr>
        <w:pStyle w:val="ListNumber"/>
        <w:spacing w:before="40" w:after="40"/>
      </w:pPr>
      <w:r>
        <w:t>Seleccionar la placa: Herramientas → Placa → ESP32 Arduino → ESP32 Dev Module.</w:t>
      </w:r>
    </w:p>
    <w:p>
      <w:pPr>
        <w:pStyle w:val="ListNumber"/>
        <w:spacing w:before="40" w:after="40"/>
      </w:pPr>
      <w:r>
        <w:t>Seleccionar el puerto COM correcto en Herramientas → Puerto.</w:t>
      </w:r>
    </w:p>
    <w:p>
      <w:pPr>
        <w:pStyle w:val="ListNumber"/>
        <w:spacing w:before="40" w:after="40"/>
      </w:pPr>
      <w:r>
        <w:t>Cargar el sketch con el botón 'Subir' (→) o Ctrl+U.</w:t>
      </w:r>
    </w:p>
    <w:p/>
    <w:p>
      <w:pPr>
        <w:pStyle w:val="Heading1"/>
      </w:pPr>
      <w:r>
        <w:t>6. Operation Instructions</w:t>
      </w:r>
    </w:p>
    <w:p>
      <w:pPr>
        <w:pStyle w:val="Heading2"/>
      </w:pPr>
      <w:r>
        <w:t>6.1 Procedimiento de operación</w:t>
      </w:r>
    </w:p>
    <w:p>
      <w:pPr>
        <w:pStyle w:val="ListNumber"/>
        <w:spacing w:before="40" w:after="40"/>
      </w:pPr>
      <w:r>
        <w:t>Una vez cargado el código, abrir el Monitor Serie en Arduino IDE: Herramientas → Monitor Serie (o Ctrl+Shift+M).</w:t>
      </w:r>
    </w:p>
    <w:p>
      <w:pPr>
        <w:pStyle w:val="ListNumber"/>
        <w:spacing w:before="40" w:after="40"/>
      </w:pPr>
      <w:r>
        <w:t>Configurar la velocidad de comunicación en 115200 baudios (selector inferior derecho del Monitor Serie).</w:t>
      </w:r>
    </w:p>
    <w:p>
      <w:pPr>
        <w:pStyle w:val="ListNumber"/>
        <w:spacing w:before="40" w:after="40"/>
      </w:pPr>
      <w:r>
        <w:t>El ESP32 ejecutará la rutina de lectura automáticamente al iniciar (función setup()).</w:t>
      </w:r>
    </w:p>
    <w:p>
      <w:pPr>
        <w:pStyle w:val="ListNumber"/>
        <w:spacing w:before="40" w:after="40"/>
      </w:pPr>
      <w:r>
        <w:t>Observar la salida en el Monitor Serie.</w:t>
      </w:r>
    </w:p>
    <w:p>
      <w:pPr>
        <w:pStyle w:val="Heading2"/>
      </w:pPr>
      <w:r>
        <w:t>6.2 Interpretación de resultados</w:t>
      </w:r>
    </w:p>
    <w:tbl>
      <w:tblPr>
        <w:tblStyle w:val="TableGrid"/>
        <w:tblW w:type="auto" w:w="0"/>
        <w:jc w:val="center"/>
        <w:tblLook w:firstColumn="1" w:firstRow="1" w:lastColumn="0" w:lastRow="0" w:noHBand="0" w:noVBand="1" w:val="04A0"/>
      </w:tblPr>
      <w:tblGrid>
        <w:gridCol w:w="3513"/>
        <w:gridCol w:w="3513"/>
        <w:gridCol w:w="3513"/>
      </w:tblGrid>
      <w:tr>
        <w:tc>
          <w:tcPr>
            <w:tcW w:type="dxa" w:w="3513"/>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Salida en Monitor Serie</w:t>
            </w:r>
          </w:p>
        </w:tc>
        <w:tc>
          <w:tcPr>
            <w:tcW w:type="dxa" w:w="3513"/>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Interpretación</w:t>
            </w:r>
          </w:p>
        </w:tc>
        <w:tc>
          <w:tcPr>
            <w:tcW w:type="dxa" w:w="3513"/>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Acción recomendada</w:t>
            </w:r>
          </w:p>
        </w:tc>
      </w:tr>
      <w:tr>
        <w:tc>
          <w:tcPr>
            <w:tcW w:type="dxa" w:w="3513"/>
            <w:tcBorders>
              <w:top w:val="single" w:sz="6" w:space="0" w:color="4F81BD"/>
              <w:left w:val="single" w:sz="6" w:space="0" w:color="4F81BD"/>
              <w:bottom w:val="single" w:sz="6" w:space="0" w:color="4F81BD"/>
              <w:right w:val="single" w:sz="6" w:space="0" w:color="4F81BD"/>
            </w:tcBorders>
            <w:shd w:val="clear" w:color="auto" w:fill="EBF3FA"/>
          </w:tcPr>
          <w:p>
            <w:pPr>
              <w:spacing w:before="40" w:after="40"/>
            </w:pPr>
            <w:r>
              <w:rPr>
                <w:rFonts w:ascii="Courier New" w:hAnsi="Courier New"/>
                <w:b/>
                <w:sz w:val="20"/>
              </w:rPr>
              <w:t>WHO_AM_I: 0x72</w:t>
            </w:r>
          </w:p>
        </w:tc>
        <w:tc>
          <w:tcPr>
            <w:tcW w:type="dxa" w:w="3513"/>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Sensor MPU6050 original (compatible con ESP-IDF)</w:t>
            </w:r>
          </w:p>
        </w:tc>
        <w:tc>
          <w:tcPr>
            <w:tcW w:type="dxa" w:w="3513"/>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Hardware correcto. Continuar desarrollo.</w:t>
            </w:r>
          </w:p>
        </w:tc>
      </w:tr>
      <w:tr>
        <w:tc>
          <w:tcPr>
            <w:tcW w:type="dxa" w:w="3513"/>
            <w:tcBorders>
              <w:top w:val="single" w:sz="6" w:space="0" w:color="4F81BD"/>
              <w:left w:val="single" w:sz="6" w:space="0" w:color="4F81BD"/>
              <w:bottom w:val="single" w:sz="6" w:space="0" w:color="4F81BD"/>
              <w:right w:val="single" w:sz="6" w:space="0" w:color="4F81BD"/>
            </w:tcBorders>
            <w:shd w:val="clear" w:color="auto" w:fill="EBF3FA"/>
          </w:tcPr>
          <w:p>
            <w:pPr>
              <w:spacing w:before="40" w:after="40"/>
            </w:pPr>
            <w:r>
              <w:rPr>
                <w:rFonts w:ascii="Courier New" w:hAnsi="Courier New"/>
                <w:b/>
                <w:sz w:val="20"/>
              </w:rPr>
              <w:t>WHO_AM_I: 0x68</w:t>
            </w:r>
          </w:p>
        </w:tc>
        <w:tc>
          <w:tcPr>
            <w:tcW w:type="dxa" w:w="3513"/>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Variante de mercado o sensor alternativo</w:t>
            </w:r>
          </w:p>
        </w:tc>
        <w:tc>
          <w:tcPr>
            <w:tcW w:type="dxa" w:w="3513"/>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Compatible con Arduino pero revisar para ESP-IDF.</w:t>
            </w:r>
          </w:p>
        </w:tc>
      </w:tr>
      <w:tr>
        <w:tc>
          <w:tcPr>
            <w:tcW w:type="dxa" w:w="3513"/>
            <w:tcBorders>
              <w:top w:val="single" w:sz="6" w:space="0" w:color="4F81BD"/>
              <w:left w:val="single" w:sz="6" w:space="0" w:color="4F81BD"/>
              <w:bottom w:val="single" w:sz="6" w:space="0" w:color="4F81BD"/>
              <w:right w:val="single" w:sz="6" w:space="0" w:color="4F81BD"/>
            </w:tcBorders>
            <w:shd w:val="clear" w:color="auto" w:fill="EBF3FA"/>
          </w:tcPr>
          <w:p>
            <w:pPr>
              <w:spacing w:before="40" w:after="40"/>
            </w:pPr>
            <w:r>
              <w:rPr>
                <w:rFonts w:ascii="Courier New" w:hAnsi="Courier New"/>
                <w:b/>
                <w:sz w:val="20"/>
              </w:rPr>
              <w:t>WHO_AM_I: 0x70</w:t>
            </w:r>
          </w:p>
        </w:tc>
        <w:tc>
          <w:tcPr>
            <w:tcW w:type="dxa" w:w="3513"/>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GY-521 con revisión de silicio alternativa</w:t>
            </w:r>
          </w:p>
        </w:tc>
        <w:tc>
          <w:tcPr>
            <w:tcW w:type="dxa" w:w="3513"/>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Verificar compatibilidad con el stack de software.</w:t>
            </w:r>
          </w:p>
        </w:tc>
      </w:tr>
      <w:tr>
        <w:tc>
          <w:tcPr>
            <w:tcW w:type="dxa" w:w="3513"/>
            <w:tcBorders>
              <w:top w:val="single" w:sz="6" w:space="0" w:color="4F81BD"/>
              <w:left w:val="single" w:sz="6" w:space="0" w:color="4F81BD"/>
              <w:bottom w:val="single" w:sz="6" w:space="0" w:color="4F81BD"/>
              <w:right w:val="single" w:sz="6" w:space="0" w:color="4F81BD"/>
            </w:tcBorders>
            <w:shd w:val="clear" w:color="auto" w:fill="EBF3FA"/>
          </w:tcPr>
          <w:p>
            <w:pPr>
              <w:spacing w:before="40" w:after="40"/>
            </w:pPr>
            <w:r>
              <w:rPr>
                <w:rFonts w:ascii="Courier New" w:hAnsi="Courier New"/>
                <w:b/>
                <w:sz w:val="20"/>
              </w:rPr>
              <w:t>No se pudo leer el sensor</w:t>
            </w:r>
          </w:p>
        </w:tc>
        <w:tc>
          <w:tcPr>
            <w:tcW w:type="dxa" w:w="3513"/>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Error de conexión I2C o sensor no detectado</w:t>
            </w:r>
          </w:p>
        </w:tc>
        <w:tc>
          <w:tcPr>
            <w:tcW w:type="dxa" w:w="3513"/>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Revisar conexiones SDA/SCL y alimentación.</w:t>
            </w:r>
          </w:p>
        </w:tc>
      </w:tr>
    </w:tbl>
    <w:p/>
    <w:p>
      <w:pPr>
        <w:pStyle w:val="Heading1"/>
      </w:pPr>
      <w:r>
        <w:t>7. Validation and Characterization</w:t>
      </w:r>
    </w:p>
    <w:p>
      <w:pPr>
        <w:pStyle w:val="Heading2"/>
      </w:pPr>
      <w:r>
        <w:t>7.1 Demostración del funcionamiento</w:t>
      </w:r>
    </w:p>
    <w:p>
      <w:r>
        <w:t>La herramienta fue validada con tres unidades diferentes del sensor MPU6050 adquiridas en el mercado local e internacional. En todos los casos se obtuvo respuesta del bus I2C, confirmando la correcta configuración del hardware. Los resultados obtenidos se presentan en la Tabla 3.</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Unidad</w:t>
            </w:r>
          </w:p>
        </w:tc>
        <w:tc>
          <w:tcPr>
            <w:tcW w:type="dxa" w:w="2108"/>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Fabricante/Origen</w:t>
            </w:r>
          </w:p>
        </w:tc>
        <w:tc>
          <w:tcPr>
            <w:tcW w:type="dxa" w:w="2108"/>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Valor WHO_AM_I</w:t>
            </w:r>
          </w:p>
        </w:tc>
        <w:tc>
          <w:tcPr>
            <w:tcW w:type="dxa" w:w="2108"/>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Verificación</w:t>
            </w:r>
          </w:p>
        </w:tc>
        <w:tc>
          <w:tcPr>
            <w:tcW w:type="dxa" w:w="2108"/>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Compatibilidad ESP-IDF</w:t>
            </w:r>
          </w:p>
        </w:tc>
      </w:tr>
      <w:tr>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MPU6050 #1</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TDK InvenSense (original)</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0x72</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Correcta</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Sí</w:t>
            </w:r>
          </w:p>
        </w:tc>
      </w:tr>
      <w:tr>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MPU6050 #2</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Módulo GY-521 (AliExpress)</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0x68</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Variante</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Requiere ajuste</w:t>
            </w:r>
          </w:p>
        </w:tc>
      </w:tr>
      <w:tr>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MPU6050 #3</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Módulo GY-521 (MercadoLibre)</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0x72</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Correcta</w:t>
            </w:r>
          </w:p>
        </w:tc>
        <w:tc>
          <w:tcPr>
            <w:tcW w:type="dxa" w:w="2108"/>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Sí</w:t>
            </w:r>
          </w:p>
        </w:tc>
      </w:tr>
    </w:tbl>
    <w:p/>
    <w:p>
      <w:pPr>
        <w:pStyle w:val="Heading2"/>
      </w:pPr>
      <w:r>
        <w:t>7.2 Especificaciones técnicas del MPU6050</w:t>
      </w:r>
    </w:p>
    <w:tbl>
      <w:tblPr>
        <w:tblStyle w:val="TableGrid"/>
        <w:tblW w:type="auto" w:w="0"/>
        <w:jc w:val="center"/>
        <w:tblLook w:firstColumn="1" w:firstRow="1" w:lastColumn="0" w:lastRow="0" w:noHBand="0" w:noVBand="1" w:val="04A0"/>
      </w:tblPr>
      <w:tblGrid>
        <w:gridCol w:w="5270"/>
        <w:gridCol w:w="5270"/>
      </w:tblGrid>
      <w:tr>
        <w:tc>
          <w:tcPr>
            <w:tcW w:type="dxa" w:w="5270"/>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Parámetro</w:t>
            </w:r>
          </w:p>
        </w:tc>
        <w:tc>
          <w:tcPr>
            <w:tcW w:type="dxa" w:w="5270"/>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Valor</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Tipo de sensor</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IMU 6-DOF (Acelerómetro + Giroscopio)</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Interfaz de comunicación</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I2C (hasta 400 kHz)</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Dirección I2C (AD0=0)</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0x68</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Dirección I2C (AD0=1)</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0x69</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Registro WHO_AM_I</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0x75</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Valor WHO_AM_I esperado (original)</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0x72</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Rango acelerómetro</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±2g, ±4g, ±8g, ±16g (configurable)</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Rango giroscopio</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±250, ±500, ±1000, ±2000 °/s (configurable)</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Voltaje de operación</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3.3V – 5V (módulo con regulador)</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b/>
                <w:sz w:val="20"/>
              </w:rPr>
              <w:t>Temperatura de operación</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-40°C a +85°C</w:t>
            </w:r>
          </w:p>
        </w:tc>
      </w:tr>
    </w:tbl>
    <w:p/>
    <w:p>
      <w:pPr>
        <w:pStyle w:val="Heading2"/>
      </w:pPr>
      <w:r>
        <w:t>7.3 Capacidades y limitaciones</w:t>
      </w:r>
    </w:p>
    <w:p>
      <w:pPr>
        <w:pStyle w:val="Heading3"/>
      </w:pPr>
      <w:r>
        <w:t>Capacidades:</w:t>
      </w:r>
    </w:p>
    <w:p>
      <w:pPr>
        <w:pStyle w:val="ListBullet"/>
        <w:spacing w:before="20" w:after="20"/>
      </w:pPr>
      <w:r>
        <w:t>Identifica de forma precisa la versión de silicio del sensor mediante el registro WHO_AM_I.</w:t>
      </w:r>
    </w:p>
    <w:p>
      <w:pPr>
        <w:pStyle w:val="ListBullet"/>
        <w:spacing w:before="20" w:after="20"/>
      </w:pPr>
      <w:r>
        <w:t>Distingue entre variantes de mercado que presentan valores de ID diferentes.</w:t>
      </w:r>
    </w:p>
    <w:p>
      <w:pPr>
        <w:pStyle w:val="ListBullet"/>
        <w:spacing w:before="20" w:after="20"/>
      </w:pPr>
      <w:r>
        <w:t>Funciona con cualquier placa ESP32 sin modificaciones de hardware.</w:t>
      </w:r>
    </w:p>
    <w:p>
      <w:pPr>
        <w:pStyle w:val="ListBullet"/>
        <w:spacing w:before="20" w:after="20"/>
      </w:pPr>
      <w:r>
        <w:t>Tiempo de ejecución &lt; 1 segundo desde el reset del microcontrolador.</w:t>
      </w:r>
    </w:p>
    <w:p>
      <w:pPr>
        <w:pStyle w:val="ListBullet"/>
        <w:spacing w:before="20" w:after="20"/>
      </w:pPr>
      <w:r>
        <w:t>Completamente reutilizable como módulo de autodiagnóstico en proyectos más complejos.</w:t>
      </w:r>
    </w:p>
    <w:p>
      <w:pPr>
        <w:pStyle w:val="Heading3"/>
      </w:pPr>
      <w:r>
        <w:t>Limitaciones:</w:t>
      </w:r>
    </w:p>
    <w:p>
      <w:pPr>
        <w:pStyle w:val="ListBullet"/>
        <w:spacing w:before="20" w:after="20"/>
      </w:pPr>
      <w:r>
        <w:t>Solo lee el registro WHO_AM_I; no verifica el funcionamiento de los transductores.</w:t>
      </w:r>
    </w:p>
    <w:p>
      <w:pPr>
        <w:pStyle w:val="ListBullet"/>
        <w:spacing w:before="20" w:after="20"/>
      </w:pPr>
      <w:r>
        <w:t>Requiere que el dispositivo responda en la dirección I2C 0x68 (AD0=GND).</w:t>
      </w:r>
    </w:p>
    <w:p>
      <w:pPr>
        <w:pStyle w:val="ListBullet"/>
        <w:spacing w:before="20" w:after="20"/>
      </w:pPr>
      <w:r>
        <w:t>No detecta daños físicos en el sensor que aún permitan comunicación I2C.</w:t>
      </w:r>
    </w:p>
    <w:p>
      <w:pPr>
        <w:pStyle w:val="ListBullet"/>
        <w:spacing w:before="20" w:after="20"/>
      </w:pPr>
      <w:r>
        <w:t>Diseñado específicamente para ESP32; puede requerir ajuste de pines en otras plataformas.</w:t>
      </w:r>
    </w:p>
    <w:p/>
    <w:p>
      <w:pPr>
        <w:pStyle w:val="Heading1"/>
      </w:pPr>
      <w:r>
        <w:t>Ethics Statements</w:t>
      </w:r>
    </w:p>
    <w:p>
      <w:r>
        <w:t>Este trabajo no involucra experimentos con seres humanos, animales ni datos personales. El hardware descrito es de código abierto y está destinado exclusivamente a fines educativos y de investigación. No existen conflictos de interés por parte del autor.</w:t>
      </w:r>
    </w:p>
    <w:p>
      <w:pPr>
        <w:pStyle w:val="Heading1"/>
      </w:pPr>
      <w:r>
        <w:t>CRediT Author Statement</w:t>
      </w:r>
    </w:p>
    <w:tbl>
      <w:tblPr>
        <w:tblStyle w:val="TableGrid"/>
        <w:tblW w:type="auto" w:w="0"/>
        <w:jc w:val="center"/>
        <w:tblLook w:firstColumn="1" w:firstRow="1" w:lastColumn="0" w:lastRow="0" w:noHBand="0" w:noVBand="1" w:val="04A0"/>
      </w:tblPr>
      <w:tblGrid>
        <w:gridCol w:w="5270"/>
        <w:gridCol w:w="5270"/>
      </w:tblGrid>
      <w:tr>
        <w:tc>
          <w:tcPr>
            <w:tcW w:type="dxa" w:w="5270"/>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Rol CRediT</w:t>
            </w:r>
          </w:p>
        </w:tc>
        <w:tc>
          <w:tcPr>
            <w:tcW w:type="dxa" w:w="5270"/>
            <w:tcBorders>
              <w:top w:val="single" w:sz="6" w:space="0" w:color="4F81BD"/>
              <w:left w:val="single" w:sz="6" w:space="0" w:color="4F81BD"/>
              <w:bottom w:val="single" w:sz="6" w:space="0" w:color="4F81BD"/>
              <w:right w:val="single" w:sz="6" w:space="0" w:color="4F81BD"/>
            </w:tcBorders>
            <w:shd w:val="clear" w:color="auto" w:fill="1F497D"/>
          </w:tcPr>
          <w:p>
            <w:pPr>
              <w:spacing w:before="40" w:after="40"/>
            </w:pPr>
            <w:r>
              <w:rPr>
                <w:rFonts w:ascii="Calibri" w:hAnsi="Calibri"/>
                <w:b/>
                <w:color w:val="FFFFFF"/>
                <w:sz w:val="20"/>
              </w:rPr>
              <w:t>Contribución</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Conceptualización</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Carlos Daniel Cuellar Antury</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Metodología</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Carlos Daniel Cuellar Antury</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Software</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Carlos Daniel Cuellar Antury</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Validación</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Carlos Daniel Cuellar Antury</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Redacción – borrador original</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Carlos Daniel Cuellar Antury</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Redacción – revisión y edición</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Carlos Daniel Cuellar Antury</w:t>
            </w:r>
          </w:p>
        </w:tc>
      </w:tr>
      <w:tr>
        <w:tc>
          <w:tcPr>
            <w:tcW w:type="dxa" w:w="5270"/>
            <w:tcBorders>
              <w:top w:val="single" w:sz="6" w:space="0" w:color="4F81BD"/>
              <w:left w:val="single" w:sz="6" w:space="0" w:color="4F81BD"/>
              <w:bottom w:val="single" w:sz="6" w:space="0" w:color="4F81BD"/>
              <w:right w:val="single" w:sz="6" w:space="0" w:color="4F81BD"/>
            </w:tcBorders>
            <w:shd w:val="clear" w:color="auto" w:fill="DEEAF1"/>
          </w:tcPr>
          <w:p>
            <w:pPr>
              <w:spacing w:before="40" w:after="40"/>
            </w:pPr>
            <w:r>
              <w:rPr>
                <w:rFonts w:ascii="Calibri" w:hAnsi="Calibri"/>
                <w:sz w:val="20"/>
              </w:rPr>
              <w:t>Supervisión</w:t>
            </w:r>
          </w:p>
        </w:tc>
        <w:tc>
          <w:tcPr>
            <w:tcW w:type="dxa" w:w="5270"/>
            <w:tcBorders>
              <w:top w:val="single" w:sz="6" w:space="0" w:color="4F81BD"/>
              <w:left w:val="single" w:sz="6" w:space="0" w:color="4F81BD"/>
              <w:bottom w:val="single" w:sz="6" w:space="0" w:color="4F81BD"/>
              <w:right w:val="single" w:sz="6" w:space="0" w:color="4F81BD"/>
            </w:tcBorders>
          </w:tcPr>
          <w:p>
            <w:pPr>
              <w:spacing w:before="40" w:after="40"/>
            </w:pPr>
            <w:r>
              <w:rPr>
                <w:rFonts w:ascii="Calibri" w:hAnsi="Calibri"/>
                <w:sz w:val="20"/>
              </w:rPr>
              <w:t>Departamento de Ingeniería Electrónica y Telecomunicaciones, Unicauca</w:t>
            </w:r>
          </w:p>
        </w:tc>
      </w:tr>
    </w:tbl>
    <w:p/>
    <w:p>
      <w:pPr>
        <w:pStyle w:val="Heading1"/>
      </w:pPr>
      <w:r>
        <w:t>Acknowledgements</w:t>
      </w:r>
    </w:p>
    <w:p>
      <w:r>
        <w:t>El autor agradece al Departamento de Ingeniería Electrónica y Telecomunicaciones de la Universidad del Cauca por el apoyo académico y el acceso a recursos de laboratorio durante el desarrollo de este proyecto. Este trabajo forma parte del proyecto de sistemas embebidos wearables para el monitoreo de actividades de la vida diaria (ADL).</w:t>
      </w:r>
    </w:p>
    <w:p>
      <w:pPr>
        <w:pStyle w:val="Heading1"/>
      </w:pPr>
      <w:r>
        <w:t>References</w:t>
      </w:r>
    </w:p>
    <w:p>
      <w:pPr>
        <w:spacing w:before="40" w:after="40"/>
      </w:pPr>
      <w:r>
        <w:rPr>
          <w:rFonts w:ascii="Calibri" w:hAnsi="Calibri"/>
          <w:sz w:val="20"/>
        </w:rPr>
        <w:t xml:space="preserve">[1] Repositorio del proyecto en GitHub: </w:t>
      </w:r>
      <w:hyperlink r:id="rId10">
        <w:r>
          <w:rPr>
            <w:rStyle w:val="Hyperlink"/>
          </w:rPr>
          <w:t>https://github.com/Cdcuellar/Sistemas-embebidos---Actividades-de-la-vida-diaria/tree/main/herramienta_who_i_am_id_interno_arduino_ide</w:t>
        </w:r>
      </w:hyperlink>
    </w:p>
    <w:p>
      <w:pPr>
        <w:spacing w:before="40" w:after="40"/>
      </w:pPr>
      <w:r>
        <w:rPr>
          <w:rFonts w:ascii="Calibri" w:hAnsi="Calibri"/>
          <w:sz w:val="20"/>
        </w:rPr>
        <w:t xml:space="preserve">[2] Código fuente (.ino): </w:t>
      </w:r>
      <w:hyperlink r:id="rId11">
        <w:r>
          <w:rPr>
            <w:rStyle w:val="Hyperlink"/>
          </w:rPr>
          <w:t>https://github.com/Cdcuellar/Sistemas-embebidos---Actividades-de-la-vida-diaria/blob/main/herramienta_who_i_am_id_interno_arduino_ide/herramienta_who_i_am_id_interno_arduino_ide.ino</w:t>
        </w:r>
      </w:hyperlink>
    </w:p>
    <w:p>
      <w:pPr>
        <w:spacing w:before="40" w:after="40"/>
      </w:pPr>
      <w:r>
        <w:rPr>
          <w:rFonts w:ascii="Calibri" w:hAnsi="Calibri"/>
          <w:sz w:val="20"/>
        </w:rPr>
        <w:t xml:space="preserve">[3] Documentación README: </w:t>
      </w:r>
      <w:hyperlink r:id="rId12">
        <w:r>
          <w:rPr>
            <w:rStyle w:val="Hyperlink"/>
          </w:rPr>
          <w:t>https://github.com/Cdcuellar/Sistemas-embebidos---Actividades-de-la-vida-diaria/blob/main/herramienta_who_i_am_id_interno_arduino_ide/README.txt</w:t>
        </w:r>
      </w:hyperlink>
    </w:p>
    <w:p>
      <w:pPr>
        <w:spacing w:before="40" w:after="40"/>
      </w:pPr>
      <w:r>
        <w:rPr>
          <w:rFonts w:ascii="Calibri" w:hAnsi="Calibri"/>
          <w:sz w:val="20"/>
        </w:rPr>
        <w:t xml:space="preserve">[4] InvenSense MPU-6050 Product Specification Rev 3.4: </w:t>
      </w:r>
      <w:hyperlink r:id="rId13">
        <w:r>
          <w:rPr>
            <w:rStyle w:val="Hyperlink"/>
          </w:rPr>
          <w:t>https://invensense.tdk.com/wp-content/uploads/2015/02/MPU-6000-Datasheet1.pdf</w:t>
        </w:r>
      </w:hyperlink>
    </w:p>
    <w:p>
      <w:pPr>
        <w:spacing w:before="40" w:after="40"/>
      </w:pPr>
      <w:r>
        <w:rPr>
          <w:rFonts w:ascii="Calibri" w:hAnsi="Calibri"/>
          <w:sz w:val="20"/>
        </w:rPr>
        <w:t xml:space="preserve">[5] Espressif ESP32 Technical Reference Manual: </w:t>
      </w:r>
      <w:hyperlink r:id="rId14">
        <w:r>
          <w:rPr>
            <w:rStyle w:val="Hyperlink"/>
          </w:rPr>
          <w:t>https://www.espressif.com/sites/default/files/documentation/esp32_technical_reference_manual_en.pdf</w:t>
        </w:r>
      </w:hyperlink>
    </w:p>
    <w:p>
      <w:pPr>
        <w:spacing w:before="40" w:after="40"/>
      </w:pPr>
      <w:r>
        <w:rPr>
          <w:rFonts w:ascii="Calibri" w:hAnsi="Calibri"/>
          <w:sz w:val="20"/>
        </w:rPr>
        <w:t xml:space="preserve">[6] Arduino Wire Library Reference: </w:t>
      </w:r>
      <w:hyperlink r:id="rId15">
        <w:r>
          <w:rPr>
            <w:rStyle w:val="Hyperlink"/>
          </w:rPr>
          <w:t>https://www.arduino.cc/reference/en/language/functions/communication/wire/</w:t>
        </w:r>
      </w:hyperlink>
    </w:p>
    <w:p>
      <w:pPr>
        <w:spacing w:before="40" w:after="40"/>
      </w:pPr>
      <w:r>
        <w:rPr>
          <w:rFonts w:ascii="Calibri" w:hAnsi="Calibri"/>
          <w:sz w:val="20"/>
        </w:rPr>
        <w:t xml:space="preserve">[7] HardwareX Journal – Guide for Authors: </w:t>
      </w:r>
      <w:hyperlink r:id="rId16">
        <w:r>
          <w:rPr>
            <w:rStyle w:val="Hyperlink"/>
          </w:rPr>
          <w:t>https://www.sciencedirect.com/journal/hardwarex/about/guide-for-authors</w:t>
        </w:r>
      </w:hyperlink>
    </w:p>
    <w:sectPr w:rsidR="00FC693F" w:rsidRPr="0006063C" w:rsidSect="00034616">
      <w:foot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Cdcuellar/Sistemas-embebidos---Actividades-de-la-vida-diaria/tree/main/herramienta_who_i_am_id_interno_arduino_ide" TargetMode="External"/><Relationship Id="rId11" Type="http://schemas.openxmlformats.org/officeDocument/2006/relationships/hyperlink" Target="https://github.com/Cdcuellar/Sistemas-embebidos---Actividades-de-la-vida-diaria/blob/main/herramienta_who_i_am_id_interno_arduino_ide/herramienta_who_i_am_id_interno_arduino_ide.ino" TargetMode="External"/><Relationship Id="rId12" Type="http://schemas.openxmlformats.org/officeDocument/2006/relationships/hyperlink" Target="https://github.com/Cdcuellar/Sistemas-embebidos---Actividades-de-la-vida-diaria/blob/main/herramienta_who_i_am_id_interno_arduino_ide/README.txt" TargetMode="External"/><Relationship Id="rId13" Type="http://schemas.openxmlformats.org/officeDocument/2006/relationships/hyperlink" Target="https://invensense.tdk.com/wp-content/uploads/2015/02/MPU-6000-Datasheet1.pdf" TargetMode="External"/><Relationship Id="rId14" Type="http://schemas.openxmlformats.org/officeDocument/2006/relationships/hyperlink" Target="https://www.espressif.com/sites/default/files/documentation/esp32_technical_reference_manual_en.pdf" TargetMode="External"/><Relationship Id="rId15" Type="http://schemas.openxmlformats.org/officeDocument/2006/relationships/hyperlink" Target="https://www.arduino.cc/reference/en/language/functions/communication/wire/" TargetMode="External"/><Relationship Id="rId16" Type="http://schemas.openxmlformats.org/officeDocument/2006/relationships/hyperlink" Target="https://www.sciencedirect.com/journal/hardwarex/about/guide-for-auth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