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pPr>
    </w:p>
    <w:p>
      <w:pPr>
        <w:spacing w:after="80"/>
        <w:jc w:val="center"/>
      </w:pPr>
      <w:r>
        <w:rPr>
          <w:b/>
          <w:color w:val="22A6B3"/>
          <w:sz w:val="22"/>
        </w:rPr>
        <w:t>NOXIA PROTOCOL DESIGNER</w:t>
      </w:r>
    </w:p>
    <w:tbl>
      <w:tblPr>
        <w:tblW w:type="dxa" w:w="9360"/>
        <w:jc w:val="center"/>
        <w:tblLayout w:type="fixed"/>
        <w:tblLook w:firstColumn="1" w:firstRow="1" w:lastColumn="0" w:lastRow="0" w:noHBand="0" w:noVBand="1" w:val="04A0"/>
      </w:tblPr>
      <w:tblGrid>
        <w:gridCol w:w="3350"/>
        <w:gridCol w:w="2660"/>
        <w:gridCol w:w="3350"/>
      </w:tblGrid>
      <w:tr>
        <w:tc>
          <w:tcPr>
            <w:tcW w:type="dxa" w:w="3350"/>
            <w:tcMar>
              <w:top w:w="0" w:type="dxa"/>
              <w:start w:w="0" w:type="dxa"/>
              <w:bottom w:w="0" w:type="dxa"/>
              <w:end w:w="0" w:type="dxa"/>
            </w:tcMar>
            <w:shd w:fill="FFFFFF"/>
          </w:tcPr>
          <w:p/>
        </w:tc>
        <w:tc>
          <w:tcPr>
            <w:tcW w:type="dxa" w:w="2660"/>
            <w:tcMar>
              <w:top w:w="0" w:type="dxa"/>
              <w:start w:w="0" w:type="dxa"/>
              <w:bottom w:w="0" w:type="dxa"/>
              <w:end w:w="0" w:type="dxa"/>
            </w:tcMar>
            <w:shd w:fill="22A6B3"/>
          </w:tcPr>
          <w:p/>
        </w:tc>
        <w:tc>
          <w:tcPr>
            <w:tcW w:type="dxa" w:w="3350"/>
            <w:tcMar>
              <w:top w:w="0" w:type="dxa"/>
              <w:start w:w="0" w:type="dxa"/>
              <w:bottom w:w="0" w:type="dxa"/>
              <w:end w:w="0" w:type="dxa"/>
            </w:tcMar>
            <w:shd w:fill="FFFFFF"/>
          </w:tcPr>
          <w:p/>
        </w:tc>
        <w:trPr>
          <w:tblHeader/>
        </w:trPr>
      </w:tr>
    </w:tbl>
    <w:p>
      <w:pPr>
        <w:spacing w:before="580" w:after="200"/>
        <w:jc w:val="center"/>
      </w:pPr>
      <w:r>
        <w:rPr>
          <w:b/>
          <w:color w:val="667085"/>
          <w:sz w:val="22"/>
        </w:rPr>
        <w:t>RB-004  /  REASONING BOOK 04</w:t>
      </w:r>
    </w:p>
    <w:p>
      <w:pPr>
        <w:pStyle w:val="Title"/>
        <w:spacing w:after="260" w:line="245" w:lineRule="auto"/>
        <w:jc w:val="center"/>
      </w:pPr>
      <w:r>
        <w:t>Cardiac MRI &amp;</w:t>
        <w:br/>
        <w:t>Quantitative Cardiac Imaging</w:t>
      </w:r>
    </w:p>
    <w:p>
      <w:pPr>
        <w:spacing w:after="400"/>
        <w:jc w:val="center"/>
      </w:pPr>
      <w:r>
        <w:rPr>
          <w:i/>
          <w:color w:val="667085"/>
          <w:sz w:val="24"/>
        </w:rPr>
        <w:t>Socle scientifique complet de l’IRM cardiaque</w:t>
        <w:br/>
        <w:t>— physique • mesure • qualité • validité —</w:t>
      </w:r>
    </w:p>
    <w:tbl>
      <w:tblPr>
        <w:tblW w:type="dxa" w:w="7200"/>
        <w:jc w:val="center"/>
        <w:tblLayout w:type="fixed"/>
        <w:tblLook w:firstColumn="1" w:firstRow="1" w:lastColumn="0" w:lastRow="0" w:noHBand="0" w:noVBand="1" w:val="04A0"/>
      </w:tblPr>
      <w:tblGrid>
        <w:gridCol w:w="7200"/>
      </w:tblGrid>
      <w:tr>
        <w:tc>
          <w:tcPr>
            <w:tcW w:type="dxa" w:w="7200"/>
            <w:shd w:fill="E5F5F7"/>
            <w:tcMar>
              <w:top w:w="160" w:type="dxa"/>
              <w:start w:w="220" w:type="dxa"/>
              <w:bottom w:w="160" w:type="dxa"/>
              <w:end w:w="220" w:type="dxa"/>
            </w:tcMar>
          </w:tcPr>
          <w:p>
            <w:pPr>
              <w:jc w:val="center"/>
            </w:pPr>
            <w:r>
              <w:rPr>
                <w:b/>
                <w:color w:val="12344D"/>
                <w:sz w:val="20"/>
              </w:rPr>
              <w:t>AUCUN PROTOCOLE CLINIQUE PRODUIT</w:t>
            </w:r>
          </w:p>
          <w:p>
            <w:pPr>
              <w:spacing w:after="0"/>
              <w:jc w:val="center"/>
            </w:pPr>
            <w:r>
              <w:rPr>
                <w:color w:val="667085"/>
                <w:sz w:val="18"/>
              </w:rPr>
              <w:t>Phénomène → signal → mesure → qualité → incertitude → contexte d’usage</w:t>
            </w:r>
          </w:p>
        </w:tc>
        <w:trPr>
          <w:tblHeader/>
        </w:trPr>
      </w:tr>
    </w:tbl>
    <w:p>
      <w:pPr>
        <w:spacing w:before="1000"/>
        <w:jc w:val="center"/>
      </w:pPr>
      <w:r>
        <w:rPr>
          <w:color w:val="667085"/>
          <w:sz w:val="17"/>
        </w:rPr>
        <w:t>NXP-000002  •  NIVEAU_2  •  </w:t>
      </w:r>
      <w:r>
        <w:t>VERSION 1.1</w:t>
      </w:r>
    </w:p>
    <w:p>
      <w:r>
        <w:br w:type="page"/>
      </w:r>
    </w:p>
    <w:p>
      <w:pPr>
        <w:pStyle w:val="Heading1"/>
        <w:pBdr>
          <w:bottom w:val="single" w:sz="12" w:space="7" w:color="22A6B3"/>
        </w:pBdr>
      </w:pPr>
      <w:r>
        <w:t>MODE D’EMPLOI</w:t>
      </w:r>
    </w:p>
    <w:p>
      <w:r>
        <w:rPr>
          <w:b w:val="0"/>
          <w:i w:val="0"/>
        </w:rPr>
        <w:t>Ce livre établit la grammaire scientifique commune de l’IRM cardiaque. Il doit être lu comme une chaîne de validité, non comme un catalogue de séquences. Les références [R01–R43] figurent en fin de document.</w:t>
      </w:r>
    </w:p>
    <w:tbl>
      <w:tblPr>
        <w:tblW w:type="dxa" w:w="9360"/>
        <w:jc w:val="center"/>
        <w:tblLayout w:type="fixed"/>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2250"/>
        <w:gridCol w:w="7110"/>
      </w:tblGrid>
      <w:tr>
        <w:tc>
          <w:tcPr>
            <w:tcW w:type="dxa" w:w="2250"/>
            <w:shd w:fill="12344D"/>
            <w:tcMar>
              <w:top w:w="120" w:type="dxa"/>
              <w:start w:w="145" w:type="dxa"/>
              <w:bottom w:w="120" w:type="dxa"/>
              <w:end w:w="145" w:type="dxa"/>
            </w:tcMar>
          </w:tcPr>
          <w:p>
            <w:r>
              <w:rPr>
                <w:b/>
                <w:color w:val="FFFFFF"/>
                <w:sz w:val="17"/>
              </w:rPr>
              <w:t>STATUT</w:t>
            </w:r>
          </w:p>
        </w:tc>
        <w:tc>
          <w:tcPr>
            <w:tcW w:type="dxa" w:w="7110"/>
            <w:shd w:fill="F2F8FA"/>
            <w:tcMar>
              <w:top w:w="120" w:type="dxa"/>
              <w:start w:w="165" w:type="dxa"/>
              <w:bottom w:w="120" w:type="dxa"/>
              <w:end w:w="165" w:type="dxa"/>
            </w:tcMar>
          </w:tcPr>
          <w:p>
            <w:pPr>
              <w:jc w:val="left"/>
            </w:pPr>
            <w:r>
              <w:rPr>
                <w:b w:val="0"/>
                <w:i w:val="0"/>
                <w:sz w:val="18"/>
              </w:rPr>
              <w:t>Corpus scientifique officiel, versionné et daté ; DOCX maître, PDF dérivé.</w:t>
            </w:r>
          </w:p>
        </w:tc>
        <w:trPr>
          <w:tblHeader/>
        </w:trPr>
      </w:tr>
      <w:tr>
        <w:tc>
          <w:tcPr>
            <w:tcW w:type="dxa" w:w="2250"/>
            <w:shd w:fill="12344D"/>
            <w:tcMar>
              <w:top w:w="120" w:type="dxa"/>
              <w:start w:w="145" w:type="dxa"/>
              <w:bottom w:w="120" w:type="dxa"/>
              <w:end w:w="145" w:type="dxa"/>
            </w:tcMar>
          </w:tcPr>
          <w:p>
            <w:r>
              <w:rPr>
                <w:b/>
                <w:color w:val="FFFFFF"/>
                <w:sz w:val="17"/>
              </w:rPr>
              <w:t>PROPRIÉTAIRE</w:t>
            </w:r>
          </w:p>
        </w:tc>
        <w:tc>
          <w:tcPr>
            <w:tcW w:type="dxa" w:w="7110"/>
            <w:shd w:fill="FFFFFF"/>
            <w:tcMar>
              <w:top w:w="120" w:type="dxa"/>
              <w:start w:w="165" w:type="dxa"/>
              <w:bottom w:w="120" w:type="dxa"/>
              <w:end w:w="165" w:type="dxa"/>
            </w:tcMar>
          </w:tcPr>
          <w:p>
            <w:pPr>
              <w:jc w:val="left"/>
            </w:pPr>
            <w:r>
              <w:rPr>
                <w:b w:val="0"/>
                <w:i w:val="0"/>
                <w:sz w:val="18"/>
              </w:rPr>
              <w:t>NXP-000002 — Cardiac MRI &amp; Quantitative Cardiac Imaging.</w:t>
            </w:r>
          </w:p>
        </w:tc>
      </w:tr>
      <w:tr>
        <w:tc>
          <w:tcPr>
            <w:tcW w:type="dxa" w:w="2250"/>
            <w:shd w:fill="12344D"/>
            <w:tcMar>
              <w:top w:w="120" w:type="dxa"/>
              <w:start w:w="145" w:type="dxa"/>
              <w:bottom w:w="120" w:type="dxa"/>
              <w:end w:w="145" w:type="dxa"/>
            </w:tcMar>
          </w:tcPr>
          <w:p>
            <w:r>
              <w:rPr>
                <w:b/>
                <w:color w:val="FFFFFF"/>
                <w:sz w:val="17"/>
              </w:rPr>
              <w:t>QUESTION</w:t>
            </w:r>
          </w:p>
        </w:tc>
        <w:tc>
          <w:tcPr>
            <w:tcW w:type="dxa" w:w="7110"/>
            <w:shd w:fill="F2F8FA"/>
            <w:tcMar>
              <w:top w:w="120" w:type="dxa"/>
              <w:start w:w="165" w:type="dxa"/>
              <w:bottom w:w="120" w:type="dxa"/>
              <w:end w:w="165" w:type="dxa"/>
            </w:tcMar>
          </w:tcPr>
          <w:p>
            <w:pPr>
              <w:jc w:val="left"/>
            </w:pPr>
            <w:r>
              <w:rPr>
                <w:b w:val="0"/>
                <w:i w:val="0"/>
                <w:sz w:val="18"/>
              </w:rPr>
              <w:t>Comment relier une propriété physique ou biologique à une mesure CMR valide et réutilisable ?</w:t>
            </w:r>
          </w:p>
        </w:tc>
      </w:tr>
      <w:tr>
        <w:tc>
          <w:tcPr>
            <w:tcW w:type="dxa" w:w="2250"/>
            <w:shd w:fill="12344D"/>
            <w:tcMar>
              <w:top w:w="120" w:type="dxa"/>
              <w:start w:w="145" w:type="dxa"/>
              <w:bottom w:w="120" w:type="dxa"/>
              <w:end w:w="145" w:type="dxa"/>
            </w:tcMar>
          </w:tcPr>
          <w:p>
            <w:r>
              <w:rPr>
                <w:b/>
                <w:color w:val="FFFFFF"/>
                <w:sz w:val="17"/>
              </w:rPr>
              <w:t>PORTÉE</w:t>
            </w:r>
          </w:p>
        </w:tc>
        <w:tc>
          <w:tcPr>
            <w:tcW w:type="dxa" w:w="7110"/>
            <w:shd w:fill="FFFFFF"/>
            <w:tcMar>
              <w:top w:w="120" w:type="dxa"/>
              <w:start w:w="165" w:type="dxa"/>
              <w:bottom w:w="120" w:type="dxa"/>
              <w:end w:w="165" w:type="dxa"/>
            </w:tcMar>
          </w:tcPr>
          <w:p>
            <w:pPr>
              <w:jc w:val="left"/>
            </w:pPr>
            <w:r>
              <w:rPr>
                <w:b w:val="0"/>
                <w:i w:val="0"/>
                <w:sz w:val="18"/>
              </w:rPr>
              <w:t>Physique, séquences, biomarqueurs, qualité, harmonisation et validation ; aucune pathologie particulière.</w:t>
            </w:r>
          </w:p>
        </w:tc>
      </w:tr>
      <w:tr>
        <w:tc>
          <w:tcPr>
            <w:tcW w:type="dxa" w:w="2250"/>
            <w:shd w:fill="12344D"/>
            <w:tcMar>
              <w:top w:w="120" w:type="dxa"/>
              <w:start w:w="145" w:type="dxa"/>
              <w:bottom w:w="120" w:type="dxa"/>
              <w:end w:w="145" w:type="dxa"/>
            </w:tcMar>
          </w:tcPr>
          <w:p>
            <w:r>
              <w:rPr>
                <w:b/>
                <w:color w:val="FFFFFF"/>
                <w:sz w:val="17"/>
              </w:rPr>
              <w:t>SORTIES</w:t>
            </w:r>
          </w:p>
        </w:tc>
        <w:tc>
          <w:tcPr>
            <w:tcW w:type="dxa" w:w="7110"/>
            <w:shd w:fill="F2F8FA"/>
            <w:tcMar>
              <w:top w:w="120" w:type="dxa"/>
              <w:start w:w="165" w:type="dxa"/>
              <w:bottom w:w="120" w:type="dxa"/>
              <w:end w:w="165" w:type="dxa"/>
            </w:tcMar>
          </w:tcPr>
          <w:p>
            <w:pPr>
              <w:jc w:val="left"/>
            </w:pPr>
            <w:r>
              <w:rPr>
                <w:b w:val="0"/>
                <w:i w:val="0"/>
                <w:sz w:val="18"/>
              </w:rPr>
              <w:t>18 construits, 18 objectifs, 18 hypothèses, 19 décisions, 24 refus, Evidence Map et 20 Knowledge Gaps.</w:t>
            </w:r>
          </w:p>
        </w:tc>
      </w:tr>
      <w:tr>
        <w:tc>
          <w:tcPr>
            <w:tcW w:type="dxa" w:w="2250"/>
            <w:shd w:fill="12344D"/>
            <w:tcMar>
              <w:top w:w="120" w:type="dxa"/>
              <w:start w:w="145" w:type="dxa"/>
              <w:bottom w:w="120" w:type="dxa"/>
              <w:end w:w="145" w:type="dxa"/>
            </w:tcMar>
          </w:tcPr>
          <w:p>
            <w:r>
              <w:rPr>
                <w:b/>
                <w:color w:val="FFFFFF"/>
                <w:sz w:val="17"/>
              </w:rPr>
              <w:t>GOUVERNANCE</w:t>
            </w:r>
          </w:p>
        </w:tc>
        <w:tc>
          <w:tcPr>
            <w:tcW w:type="dxa" w:w="7110"/>
            <w:shd w:fill="FFFFFF"/>
            <w:tcMar>
              <w:top w:w="120" w:type="dxa"/>
              <w:start w:w="165" w:type="dxa"/>
              <w:bottom w:w="120" w:type="dxa"/>
              <w:end w:w="165" w:type="dxa"/>
            </w:tcMar>
          </w:tcPr>
          <w:p>
            <w:pPr>
              <w:jc w:val="left"/>
            </w:pPr>
            <w:r>
              <w:rPr>
                <w:b w:val="0"/>
                <w:i w:val="0"/>
                <w:sz w:val="18"/>
              </w:rPr>
              <w:t>PD-013 : contrat normatif 1.0 préservé ; état officiel du registre 1.4 après admission de RB-004.</w:t>
            </w:r>
          </w:p>
        </w:tc>
      </w:tr>
    </w:tbl>
    <w:p>
      <w:pPr>
        <w:pStyle w:val="Heading2"/>
      </w:pPr>
      <w:r>
        <w:t>CHAÎNE CENTRALE</w:t>
      </w:r>
    </w:p>
    <w:p>
      <w:pPr>
        <w:spacing w:before="100" w:after="220"/>
        <w:jc w:val="center"/>
        <w:shd w:fill="E5F5F7"/>
        <w:pBdr>
          <w:left w:val="single" w:sz="22" w:space="8" w:color="22A6B3"/>
        </w:pBdr>
      </w:pPr>
      <w:r>
        <w:rPr>
          <w:b/>
          <w:color w:val="12344D"/>
          <w:sz w:val="18"/>
        </w:rPr>
        <w:t>PROPRIÉTÉ  →  SIGNAL  →  RECONSTRUCTION  →  OBSERVABLE  →  ESTIMATEUR  →  QC  →  INCERTITUDE  →  USAGE</w:t>
      </w:r>
    </w:p>
    <w:p>
      <w:pPr>
        <w:pStyle w:val="Heading2"/>
      </w:pPr>
      <w:r>
        <w:t>ARCHITECTURE</w:t>
      </w:r>
    </w:p>
    <w:p>
      <w:pPr>
        <w:pStyle w:val="ListBullet"/>
        <w:spacing w:after="28"/>
      </w:pPr>
      <w:r>
        <w:rPr>
          <w:b w:val="0"/>
          <w:i w:val="0"/>
        </w:rPr>
        <w:t>I — Autorité, statut et périmètre</w:t>
      </w:r>
    </w:p>
    <w:p>
      <w:pPr>
        <w:pStyle w:val="ListBullet"/>
        <w:spacing w:after="28"/>
      </w:pPr>
      <w:r>
        <w:rPr>
          <w:b w:val="0"/>
          <w:i w:val="0"/>
        </w:rPr>
        <w:t>II — Modèle physique minimal</w:t>
      </w:r>
    </w:p>
    <w:p>
      <w:pPr>
        <w:pStyle w:val="ListBullet"/>
        <w:spacing w:after="28"/>
      </w:pPr>
      <w:r>
        <w:rPr>
          <w:b w:val="0"/>
          <w:i w:val="0"/>
        </w:rPr>
        <w:t>III — Familles de séquences et préparations</w:t>
      </w:r>
    </w:p>
    <w:p>
      <w:pPr>
        <w:pStyle w:val="ListBullet"/>
        <w:spacing w:after="28"/>
      </w:pPr>
      <w:r>
        <w:rPr>
          <w:b w:val="0"/>
          <w:i w:val="0"/>
        </w:rPr>
        <w:t>IV — Temps, ECG, respiration et mouvement</w:t>
      </w:r>
    </w:p>
    <w:p>
      <w:pPr>
        <w:pStyle w:val="ListBullet"/>
        <w:spacing w:after="28"/>
      </w:pPr>
      <w:r>
        <w:rPr>
          <w:b w:val="0"/>
          <w:i w:val="0"/>
        </w:rPr>
        <w:t>V — Morphologie, ciné et fonction</w:t>
      </w:r>
    </w:p>
    <w:p>
      <w:pPr>
        <w:pStyle w:val="ListBullet"/>
        <w:spacing w:after="28"/>
      </w:pPr>
      <w:r>
        <w:rPr>
          <w:b w:val="0"/>
          <w:i w:val="0"/>
        </w:rPr>
        <w:t>VI — Déformation myocardique</w:t>
      </w:r>
    </w:p>
    <w:p>
      <w:pPr>
        <w:pStyle w:val="ListBullet"/>
        <w:spacing w:after="28"/>
      </w:pPr>
      <w:r>
        <w:rPr>
          <w:b w:val="0"/>
          <w:i w:val="0"/>
        </w:rPr>
        <w:t>VII — Perfusion et rehaussement tardif</w:t>
      </w:r>
    </w:p>
    <w:p>
      <w:pPr>
        <w:pStyle w:val="ListBullet"/>
        <w:spacing w:after="28"/>
      </w:pPr>
      <w:r>
        <w:rPr>
          <w:b w:val="0"/>
          <w:i w:val="0"/>
        </w:rPr>
        <w:t>VIII — Mapping T1, T2, ECV et T2*</w:t>
      </w:r>
    </w:p>
    <w:p>
      <w:pPr>
        <w:pStyle w:val="ListBullet"/>
        <w:spacing w:after="28"/>
      </w:pPr>
      <w:r>
        <w:rPr>
          <w:b w:val="0"/>
          <w:i w:val="0"/>
        </w:rPr>
        <w:t>IX — Flux, 4D Flow et diffusion</w:t>
      </w:r>
    </w:p>
    <w:p>
      <w:pPr>
        <w:pStyle w:val="ListBullet"/>
        <w:spacing w:after="28"/>
      </w:pPr>
      <w:r>
        <w:rPr>
          <w:b w:val="0"/>
          <w:i w:val="0"/>
        </w:rPr>
        <w:t>X — Artefacts et pièges transversaux</w:t>
      </w:r>
    </w:p>
    <w:p>
      <w:pPr>
        <w:pStyle w:val="ListBullet"/>
        <w:spacing w:after="28"/>
      </w:pPr>
      <w:r>
        <w:rPr>
          <w:b w:val="0"/>
          <w:i w:val="0"/>
        </w:rPr>
        <w:t>XI — Qualité, harmonisation et métrologie</w:t>
      </w:r>
    </w:p>
    <w:p>
      <w:pPr>
        <w:pStyle w:val="ListBullet"/>
        <w:spacing w:after="28"/>
      </w:pPr>
      <w:r>
        <w:rPr>
          <w:b w:val="0"/>
          <w:i w:val="0"/>
        </w:rPr>
        <w:t>XII — Construits, objectifs et hypothèses</w:t>
      </w:r>
    </w:p>
    <w:p>
      <w:pPr>
        <w:pStyle w:val="ListBullet"/>
        <w:spacing w:after="28"/>
      </w:pPr>
      <w:r>
        <w:rPr>
          <w:b w:val="0"/>
          <w:i w:val="0"/>
        </w:rPr>
        <w:t>XIII — Décisions scientifiques successives</w:t>
      </w:r>
    </w:p>
    <w:p>
      <w:pPr>
        <w:pStyle w:val="ListBullet"/>
        <w:spacing w:after="28"/>
      </w:pPr>
      <w:r>
        <w:rPr>
          <w:b w:val="0"/>
          <w:i w:val="0"/>
        </w:rPr>
        <w:t>XIV — Conditions de refus</w:t>
      </w:r>
    </w:p>
    <w:p>
      <w:pPr>
        <w:pStyle w:val="ListBullet"/>
        <w:spacing w:after="28"/>
      </w:pPr>
      <w:r>
        <w:rPr>
          <w:b w:val="0"/>
          <w:i w:val="0"/>
        </w:rPr>
        <w:t>XV — Populations et contextes particuliers</w:t>
      </w:r>
    </w:p>
    <w:p>
      <w:pPr>
        <w:pStyle w:val="ListBullet"/>
        <w:spacing w:after="28"/>
      </w:pPr>
      <w:r>
        <w:rPr>
          <w:b w:val="0"/>
          <w:i w:val="0"/>
        </w:rPr>
        <w:t>XVI — Applications sans chapitre pathologique</w:t>
      </w:r>
    </w:p>
    <w:p>
      <w:pPr>
        <w:pStyle w:val="ListBullet"/>
        <w:spacing w:after="28"/>
      </w:pPr>
      <w:r>
        <w:rPr>
          <w:b w:val="0"/>
          <w:i w:val="0"/>
        </w:rPr>
        <w:t>XVII — Evidence Map</w:t>
      </w:r>
    </w:p>
    <w:p>
      <w:pPr>
        <w:pStyle w:val="ListBullet"/>
        <w:spacing w:after="28"/>
      </w:pPr>
      <w:r>
        <w:rPr>
          <w:b w:val="0"/>
          <w:i w:val="0"/>
        </w:rPr>
        <w:t>XVIII — Limitations, controverses et questions ouvertes</w:t>
      </w:r>
    </w:p>
    <w:p>
      <w:pPr>
        <w:pStyle w:val="ListBullet"/>
        <w:spacing w:after="28"/>
      </w:pPr>
      <w:r>
        <w:rPr>
          <w:b w:val="0"/>
          <w:i w:val="0"/>
        </w:rPr>
        <w:t>XIX — Glossaire et langage normatif</w:t>
      </w:r>
    </w:p>
    <w:p>
      <w:pPr>
        <w:pStyle w:val="ListBullet"/>
        <w:spacing w:after="28"/>
      </w:pPr>
      <w:r>
        <w:rPr>
          <w:b w:val="0"/>
          <w:i w:val="0"/>
        </w:rPr>
        <w:t>Références scientifiques</w:t>
      </w:r>
    </w:p>
    <w:p>
      <w:r>
        <w:br w:type="page"/>
      </w:r>
    </w:p>
    <w:p>
      <w:pPr>
        <w:pStyle w:val="Heading1"/>
        <w:pBdr>
          <w:bottom w:val="single" w:sz="12" w:space="7" w:color="22A6B3"/>
        </w:pBdr>
      </w:pPr>
      <w:r>
        <w:t>PARTIE I — AUTORITÉ, STATUT ET PÉRIMÈTRE</w:t>
      </w:r>
    </w:p>
    <w:p>
      <w:pPr>
        <w:pStyle w:val="Heading2"/>
      </w:pPr>
      <w:r>
        <w:t>1. Identité documentaire</w:t>
      </w:r>
    </w:p>
    <w:p>
      <w:pPr>
        <w:widowControl/>
      </w:pPr>
      <w:r>
        <w:rPr>
          <w:b/>
          <w:i w:val="0"/>
        </w:rPr>
        <w:t>Titre officiel :</w:t>
      </w:r>
      <w:r>
        <w:rPr>
          <w:b w:val="0"/>
          <w:i w:val="0"/>
        </w:rPr>
        <w:t xml:space="preserve"> Reasoning Book 04 — Cardiac MRI &amp; Quantitative Cardiac Imaging</w:t>
      </w:r>
    </w:p>
    <w:p>
      <w:pPr>
        <w:widowControl/>
      </w:pPr>
      <w:r>
        <w:rPr>
          <w:b/>
          <w:i w:val="0"/>
        </w:rPr>
        <w:t>Programme propriétaire :</w:t>
      </w:r>
      <w:r>
        <w:rPr>
          <w:b w:val="0"/>
          <w:i w:val="0"/>
        </w:rPr>
        <w:t xml:space="preserve"> NXP-000002 — Cardiac MRI &amp; Quantitative Cardiac Imaging</w:t>
      </w:r>
    </w:p>
    <w:p>
      <w:pPr>
        <w:widowControl/>
      </w:pPr>
      <w:r>
        <w:rPr>
          <w:b/>
          <w:i w:val="0"/>
        </w:rPr>
        <w:t>Niveau documentaire :</w:t>
      </w:r>
      <w:r>
        <w:rPr>
          <w:b w:val="0"/>
          <w:i w:val="0"/>
        </w:rPr>
        <w:t xml:space="preserve"> NIVEAU_2 — corpus scientifique de raisonnement</w:t>
      </w:r>
    </w:p>
    <w:p>
      <w:pPr>
        <w:widowControl/>
      </w:pPr>
      <w:r>
        <w:rPr>
          <w:b/>
          <w:i w:val="0"/>
        </w:rPr>
        <w:t>Version :</w:t>
      </w:r>
      <w:r>
        <w:rPr>
          <w:b w:val="0"/>
          <w:i w:val="0"/>
        </w:rPr>
        <w:t xml:space="preserve"> 1.1</w:t>
      </w:r>
    </w:p>
    <w:p>
      <w:pPr>
        <w:widowControl/>
      </w:pPr>
      <w:r>
        <w:rPr>
          <w:b/>
          <w:i w:val="0"/>
        </w:rPr>
        <w:t>Source maîtresse :</w:t>
      </w:r>
      <w:r>
        <w:rPr>
          <w:b w:val="0"/>
          <w:i w:val="0"/>
        </w:rPr>
        <w:t xml:space="preserve"> DOCX</w:t>
      </w:r>
    </w:p>
    <w:p>
      <w:pPr>
        <w:widowControl/>
      </w:pPr>
      <w:r>
        <w:rPr>
          <w:b/>
          <w:i w:val="0"/>
        </w:rPr>
        <w:t>Dérivé contrôlé :</w:t>
      </w:r>
      <w:r>
        <w:rPr>
          <w:b w:val="0"/>
          <w:i w:val="0"/>
        </w:rPr>
        <w:t xml:space="preserve"> PDF</w:t>
      </w:r>
    </w:p>
    <w:p>
      <w:pPr>
        <w:widowControl/>
      </w:pPr>
      <w:r>
        <w:rPr>
          <w:b/>
          <w:i w:val="0"/>
        </w:rPr>
        <w:t>État de la preuve :</w:t>
      </w:r>
      <w:r>
        <w:rPr>
          <w:b w:val="0"/>
          <w:i w:val="0"/>
        </w:rPr>
        <w:t xml:space="preserve"> arrêté au 3 août 2026</w:t>
      </w:r>
    </w:p>
    <w:p>
      <w:pPr>
        <w:widowControl/>
      </w:pPr>
      <w:r>
        <w:rPr>
          <w:b/>
          <w:i w:val="0"/>
        </w:rPr>
        <w:t>Statut :</w:t>
      </w:r>
      <w:r>
        <w:rPr>
          <w:b w:val="0"/>
          <w:i w:val="0"/>
        </w:rPr>
        <w:t xml:space="preserve"> document officiel créé sous mandat humain explicite. L’admission documentaire enregistre RB-004 sous NXP-000002 dans PD-013, état 1.4, et porte NXP-000002 à la version 1.1 sans modifier le contrat normatif PD-013 1.0. Elle ne vaut ni révision scientifique, ni PASS PD-011, ni activation produit, ni autorisation de publication publique.</w:t>
      </w:r>
    </w:p>
    <w:p>
      <w:pPr>
        <w:spacing w:before="120" w:after="180" w:line="259" w:lineRule="auto"/>
        <w:ind w:left="173" w:right="86"/>
        <w:shd w:fill="E5F5F7"/>
        <w:pBdr>
          <w:left w:val="single" w:sz="24" w:space="9" w:color="22A6B3"/>
        </w:pBdr>
      </w:pPr>
      <w:r>
        <w:rPr>
          <w:b w:val="0"/>
          <w:i w:val="0"/>
          <w:color w:val="12344D"/>
          <w:sz w:val="18"/>
        </w:rPr>
        <w:t>Ce Reasoning Book ne prescrit aucun examen, ne fournit aucun paramètre constructeur, ne formule aucune recommandation thérapeutique et ne transforme aucune mesure d’IRM cardiaque en décision individuelle. Il établit le socle scientifique réutilisable qui doit précéder tout raisonnement pathologique ou tout protocole de recherche.</w:t>
      </w:r>
    </w:p>
    <w:p>
      <w:pPr>
        <w:pStyle w:val="Heading2"/>
      </w:pPr>
      <w:r>
        <w:t>2. Mandat scientifique</w:t>
      </w:r>
    </w:p>
    <w:p>
      <w:pPr>
        <w:widowControl/>
      </w:pPr>
      <w:r>
        <w:rPr>
          <w:b w:val="0"/>
          <w:i w:val="0"/>
        </w:rPr>
        <w:t xml:space="preserve">Le mandat est de rendre explicite la chaîne complète qui relie un phénomène physique ou biologique à une conclusion scientifique : </w:t>
      </w:r>
      <w:r>
        <w:rPr>
          <w:b/>
          <w:i w:val="0"/>
        </w:rPr>
        <w:t>propriété visée → préparation de l’aimantation → signal → échantillonnage → reconstruction → observable → estimateur → contrôle qualité → résultat assorti de son incertitude → interprétation dans un contexte d’usage</w:t>
      </w:r>
      <w:r>
        <w:rPr>
          <w:b w:val="0"/>
          <w:i w:val="0"/>
        </w:rPr>
        <w:t>. Une rupture non documentée dans cette chaîne interdit de présenter le résultat comme un biomarqueur validé.</w:t>
      </w:r>
    </w:p>
    <w:p>
      <w:pPr>
        <w:widowControl/>
      </w:pPr>
      <w:r>
        <w:rPr>
          <w:b w:val="0"/>
          <w:i w:val="0"/>
        </w:rPr>
        <w:t>Le livre couvre l’IRM cardiaque générale et l’imagerie cardiaque quantitative. Il organise les concepts nécessaires aux futurs Reasoning Books pathologiques sans préjuger leurs critères, leurs seuils, leurs populations ni leurs décisions.</w:t>
      </w:r>
    </w:p>
    <w:p>
      <w:pPr>
        <w:pStyle w:val="Heading2"/>
      </w:pPr>
      <w:r>
        <w:t>3. Frontières positives et négatives</w:t>
      </w:r>
    </w:p>
    <w:p>
      <w:pPr>
        <w:pStyle w:val="Heading3"/>
      </w:pPr>
      <w:r>
        <w:t>3.1 Inclus</w:t>
      </w:r>
    </w:p>
    <w:p>
      <w:pPr>
        <w:pStyle w:val="ListBullet"/>
      </w:pPr>
      <w:r>
        <w:rPr>
          <w:b w:val="0"/>
          <w:i w:val="0"/>
        </w:rPr>
        <w:t>physique de l’IRM appliquée au cœur ;</w:t>
      </w:r>
    </w:p>
    <w:p>
      <w:pPr>
        <w:pStyle w:val="ListBullet"/>
      </w:pPr>
      <w:r>
        <w:rPr>
          <w:b w:val="0"/>
          <w:i w:val="0"/>
        </w:rPr>
        <w:t>relaxation, densité protonique, contraste, rapport signal-bruit et résolution ;</w:t>
      </w:r>
    </w:p>
    <w:p>
      <w:pPr>
        <w:pStyle w:val="ListBullet"/>
      </w:pPr>
      <w:r>
        <w:rPr>
          <w:b w:val="0"/>
          <w:i w:val="0"/>
        </w:rPr>
        <w:t>familles de séquences et préparations d’aimantation ;</w:t>
      </w:r>
    </w:p>
    <w:p>
      <w:pPr>
        <w:pStyle w:val="ListBullet"/>
      </w:pPr>
      <w:r>
        <w:rPr>
          <w:b w:val="0"/>
          <w:i w:val="0"/>
        </w:rPr>
        <w:t>SSFP équilibrée, GRE, sang noir, ciné ;</w:t>
      </w:r>
    </w:p>
    <w:p>
      <w:pPr>
        <w:pStyle w:val="ListBullet"/>
      </w:pPr>
      <w:r>
        <w:rPr>
          <w:b w:val="0"/>
          <w:i w:val="0"/>
        </w:rPr>
        <w:t>tagging, feature tracking, DENSE, SENC et strain ;</w:t>
      </w:r>
    </w:p>
    <w:p>
      <w:pPr>
        <w:pStyle w:val="ListBullet"/>
      </w:pPr>
      <w:r>
        <w:rPr>
          <w:b w:val="0"/>
          <w:i w:val="0"/>
        </w:rPr>
        <w:t>perfusion de premier passage, rehaussement tardif, T1, T2, T2*, ECV ;</w:t>
      </w:r>
    </w:p>
    <w:p>
      <w:pPr>
        <w:pStyle w:val="ListBullet"/>
      </w:pPr>
      <w:r>
        <w:rPr>
          <w:b w:val="0"/>
          <w:i w:val="0"/>
        </w:rPr>
        <w:t>diffusion pondérée et tenseur de diffusion cardiaque ;</w:t>
      </w:r>
    </w:p>
    <w:p>
      <w:pPr>
        <w:pStyle w:val="ListBullet"/>
      </w:pPr>
      <w:r>
        <w:rPr>
          <w:b w:val="0"/>
          <w:i w:val="0"/>
        </w:rPr>
        <w:t>contraste de phase 2D et 4D Flow ;</w:t>
      </w:r>
    </w:p>
    <w:p>
      <w:pPr>
        <w:pStyle w:val="ListBullet"/>
      </w:pPr>
      <w:r>
        <w:rPr>
          <w:b w:val="0"/>
          <w:i w:val="0"/>
        </w:rPr>
        <w:t>synchronisation cardiaque, respiration et correction de mouvement ;</w:t>
      </w:r>
    </w:p>
    <w:p>
      <w:pPr>
        <w:pStyle w:val="ListBullet"/>
      </w:pPr>
      <w:r>
        <w:rPr>
          <w:b w:val="0"/>
          <w:i w:val="0"/>
        </w:rPr>
        <w:t>artefacts, qualité, harmonisation, répétabilité et reproductibilité ;</w:t>
      </w:r>
    </w:p>
    <w:p>
      <w:pPr>
        <w:pStyle w:val="ListBullet"/>
      </w:pPr>
      <w:r>
        <w:rPr>
          <w:b w:val="0"/>
          <w:i w:val="0"/>
        </w:rPr>
        <w:t>biomarqueurs quantitatifs, validation analytique et qualification pour un contexte d’usage ;</w:t>
      </w:r>
    </w:p>
    <w:p>
      <w:pPr>
        <w:pStyle w:val="ListBullet"/>
      </w:pPr>
      <w:r>
        <w:rPr>
          <w:b w:val="0"/>
          <w:i w:val="0"/>
        </w:rPr>
        <w:t>limites, controverses, questions ouvertes et conditions de refus.</w:t>
      </w:r>
    </w:p>
    <w:p>
      <w:pPr>
        <w:pStyle w:val="Heading3"/>
      </w:pPr>
      <w:r>
        <w:t>3.2 Exclus</w:t>
      </w:r>
    </w:p>
    <w:p>
      <w:pPr>
        <w:pStyle w:val="ListBullet"/>
      </w:pPr>
      <w:r>
        <w:rPr>
          <w:b w:val="0"/>
          <w:i w:val="0"/>
        </w:rPr>
        <w:t>chapitres diagnostiques consacrés à une pathologie ;</w:t>
      </w:r>
    </w:p>
    <w:p>
      <w:pPr>
        <w:pStyle w:val="ListBullet"/>
      </w:pPr>
      <w:r>
        <w:rPr>
          <w:b w:val="0"/>
          <w:i w:val="0"/>
        </w:rPr>
        <w:t>critères de Fabry, myocardite, amylose, infarctus ou cardiomyopathie ;</w:t>
      </w:r>
    </w:p>
    <w:p>
      <w:pPr>
        <w:pStyle w:val="ListBullet"/>
      </w:pPr>
      <w:r>
        <w:rPr>
          <w:b w:val="0"/>
          <w:i w:val="0"/>
        </w:rPr>
        <w:t>stratégie clinique, recommandation thérapeutique ou décision patient ;</w:t>
      </w:r>
    </w:p>
    <w:p>
      <w:pPr>
        <w:pStyle w:val="ListBullet"/>
      </w:pPr>
      <w:r>
        <w:rPr>
          <w:b w:val="0"/>
          <w:i w:val="0"/>
        </w:rPr>
        <w:t>plan d’acquisition clinique, dose, chronologie opératoire ou valeur de réglage ;</w:t>
      </w:r>
    </w:p>
    <w:p>
      <w:pPr>
        <w:pStyle w:val="ListBullet"/>
      </w:pPr>
      <w:r>
        <w:rPr>
          <w:b w:val="0"/>
          <w:i w:val="0"/>
        </w:rPr>
        <w:t>nomenclature commerciale, paramètres propres à un constructeur ou comparaison de produits ;</w:t>
      </w:r>
    </w:p>
    <w:p>
      <w:pPr>
        <w:pStyle w:val="ListBullet"/>
      </w:pPr>
      <w:r>
        <w:rPr>
          <w:b w:val="0"/>
          <w:i w:val="0"/>
        </w:rPr>
        <w:t>architecture logicielle, interface, stockage ou mise en œuvre informatique ;</w:t>
      </w:r>
    </w:p>
    <w:p>
      <w:pPr>
        <w:pStyle w:val="ListBullet"/>
      </w:pPr>
      <w:r>
        <w:rPr>
          <w:b w:val="0"/>
          <w:i w:val="0"/>
        </w:rPr>
        <w:t>création automatique d’assertions dans le Scientific Knowledge Graph.</w:t>
      </w:r>
    </w:p>
    <w:p>
      <w:pPr>
        <w:widowControl/>
      </w:pPr>
      <w:r>
        <w:rPr>
          <w:b w:val="0"/>
          <w:i w:val="0"/>
        </w:rPr>
        <w:t>La mention d’un domaine d’application ne vaut jamais chapitre pathologique. Elle indique seulement dans quels types de questions un construit physique ou quantitatif peut être étudié.</w:t>
      </w:r>
    </w:p>
    <w:p>
      <w:pPr>
        <w:pStyle w:val="Heading2"/>
      </w:pPr>
      <w:r>
        <w:t>4. Relations avec le corpus NOXIA</w:t>
      </w:r>
    </w:p>
    <w:p>
      <w:pPr>
        <w:widowControl/>
      </w:pPr>
      <w:r>
        <w:rPr>
          <w:b w:val="0"/>
          <w:i w:val="0"/>
        </w:rPr>
        <w:t>Ce document respecte les séparations suivantes :</w:t>
      </w:r>
    </w:p>
    <w:p>
      <w:pPr>
        <w:pStyle w:val="ListBullet"/>
      </w:pPr>
      <w:r>
        <w:rPr>
          <w:b/>
          <w:i w:val="0"/>
        </w:rPr>
        <w:t>principe</w:t>
      </w:r>
      <w:r>
        <w:rPr>
          <w:b w:val="0"/>
          <w:i w:val="0"/>
        </w:rPr>
        <w:t xml:space="preserve"> : règle générale de gouvernance ou de raisonnement ;</w:t>
      </w:r>
    </w:p>
    <w:p>
      <w:pPr>
        <w:pStyle w:val="ListBullet"/>
      </w:pPr>
      <w:r>
        <w:rPr>
          <w:b/>
          <w:i w:val="0"/>
        </w:rPr>
        <w:t>norme</w:t>
      </w:r>
      <w:r>
        <w:rPr>
          <w:b w:val="0"/>
          <w:i w:val="0"/>
        </w:rPr>
        <w:t xml:space="preserve"> : contrainte officielle du système documentaire ;</w:t>
      </w:r>
    </w:p>
    <w:p>
      <w:pPr>
        <w:pStyle w:val="ListBullet"/>
      </w:pPr>
      <w:r>
        <w:rPr>
          <w:b/>
          <w:i w:val="0"/>
        </w:rPr>
        <w:t>corpus</w:t>
      </w:r>
      <w:r>
        <w:rPr>
          <w:b w:val="0"/>
          <w:i w:val="0"/>
        </w:rPr>
        <w:t xml:space="preserve"> : synthèse scientifique datée, révisable et traçable ;</w:t>
      </w:r>
    </w:p>
    <w:p>
      <w:pPr>
        <w:pStyle w:val="ListBullet"/>
      </w:pPr>
      <w:r>
        <w:rPr>
          <w:b/>
          <w:i w:val="0"/>
        </w:rPr>
        <w:t>cible de recherche</w:t>
      </w:r>
      <w:r>
        <w:rPr>
          <w:b w:val="0"/>
          <w:i w:val="0"/>
        </w:rPr>
        <w:t xml:space="preserve"> : construit et contexte d’usage à préciser ;</w:t>
      </w:r>
    </w:p>
    <w:p>
      <w:pPr>
        <w:pStyle w:val="ListBullet"/>
      </w:pPr>
      <w:r>
        <w:rPr>
          <w:b/>
          <w:i w:val="0"/>
        </w:rPr>
        <w:t>implémentation</w:t>
      </w:r>
      <w:r>
        <w:rPr>
          <w:b w:val="0"/>
          <w:i w:val="0"/>
        </w:rPr>
        <w:t xml:space="preserve"> : réalisation opérationnelle, hors périmètre ;</w:t>
      </w:r>
    </w:p>
    <w:p>
      <w:pPr>
        <w:pStyle w:val="ListBullet"/>
      </w:pPr>
      <w:r>
        <w:rPr>
          <w:b/>
          <w:i w:val="0"/>
        </w:rPr>
        <w:t>hypothèse</w:t>
      </w:r>
      <w:r>
        <w:rPr>
          <w:b w:val="0"/>
          <w:i w:val="0"/>
        </w:rPr>
        <w:t xml:space="preserve"> : proposition réfutable, jamais promue en fait établi.</w:t>
      </w:r>
    </w:p>
    <w:p>
      <w:pPr>
        <w:widowControl/>
      </w:pPr>
      <w:r>
        <w:rPr>
          <w:b w:val="0"/>
          <w:i w:val="0"/>
        </w:rPr>
        <w:t>NXP-000002 est un territoire hybride. Il ne revendique pas la propriété de toute l’IRM, de toute la cardiologie ou de toute l’imagerie quantitative. Il organise leur intersection utile à la conception d’études cardiaques quantitatives.</w:t>
      </w:r>
    </w:p>
    <w:p>
      <w:pPr>
        <w:pStyle w:val="Heading2"/>
      </w:pPr>
      <w:r>
        <w:t>5. Niveaux de confiance employés</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900"/>
        <w:gridCol w:w="3000"/>
        <w:gridCol w:w="4460"/>
      </w:tblGrid>
      <w:tr>
        <w:trPr>
          <w:cantSplit/>
          <w:tblHeader w:val="true"/>
        </w:trPr>
        <w:tc>
          <w:tcPr>
            <w:tcW w:type="dxa" w:w="1900"/>
            <w:vAlign w:val="center"/>
            <w:tcMar>
              <w:top w:w="82" w:type="dxa"/>
              <w:start w:w="95" w:type="dxa"/>
              <w:bottom w:w="82" w:type="dxa"/>
              <w:end w:w="95" w:type="dxa"/>
            </w:tcMar>
            <w:shd w:fill="12344D"/>
          </w:tcPr>
          <w:p>
            <w:pPr>
              <w:spacing w:after="0" w:line="235" w:lineRule="auto"/>
              <w:jc w:val="left"/>
            </w:pPr>
            <w:r>
              <w:rPr>
                <w:b/>
                <w:i w:val="0"/>
                <w:color w:val="FFFFFF"/>
                <w:sz w:val="15"/>
              </w:rPr>
              <w:t>Niveau</w:t>
            </w:r>
          </w:p>
        </w:tc>
        <w:tc>
          <w:tcPr>
            <w:tcW w:type="dxa" w:w="3000"/>
            <w:vAlign w:val="center"/>
            <w:tcMar>
              <w:top w:w="82" w:type="dxa"/>
              <w:start w:w="95" w:type="dxa"/>
              <w:bottom w:w="82" w:type="dxa"/>
              <w:end w:w="95" w:type="dxa"/>
            </w:tcMar>
            <w:shd w:fill="12344D"/>
          </w:tcPr>
          <w:p>
            <w:pPr>
              <w:spacing w:after="0" w:line="235" w:lineRule="auto"/>
              <w:jc w:val="left"/>
            </w:pPr>
            <w:r>
              <w:rPr>
                <w:b/>
                <w:i w:val="0"/>
                <w:color w:val="FFFFFF"/>
                <w:sz w:val="15"/>
              </w:rPr>
              <w:t>Sens dans ce livre</w:t>
            </w:r>
          </w:p>
        </w:tc>
        <w:tc>
          <w:tcPr>
            <w:tcW w:type="dxa" w:w="4460"/>
            <w:vAlign w:val="center"/>
            <w:tcMar>
              <w:top w:w="82" w:type="dxa"/>
              <w:start w:w="95" w:type="dxa"/>
              <w:bottom w:w="82" w:type="dxa"/>
              <w:end w:w="95" w:type="dxa"/>
            </w:tcMar>
            <w:shd w:fill="12344D"/>
          </w:tcPr>
          <w:p>
            <w:pPr>
              <w:spacing w:after="0" w:line="235" w:lineRule="auto"/>
              <w:jc w:val="left"/>
            </w:pPr>
            <w:r>
              <w:rPr>
                <w:b/>
                <w:i w:val="0"/>
                <w:color w:val="FFFFFF"/>
                <w:sz w:val="15"/>
              </w:rPr>
              <w:t>Usage autorisé</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ÉTABLI</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Principe physique, définition métrologique ou consensus robuste et largement convergent</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Peut soutenir une règle générale, sous réserve de son domaine de validité</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CONVERGENT</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Résultats cohérents entre plusieurs sources, mais dépendants d’une méthode ou d’un contexte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Peut soutenir une décision conditionnelle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CONTEXTUEL</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Validité démontrée dans un ensemble défini de séquences, centres, populations ou usages</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Doit conserver ces conditions</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CONTROVERSÉ</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Divergence réelle de définition, de méthode ou d’interprétation</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Doit exposer au moins les positions concurrentes</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INSUFFISANT</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Données trop rares, biaisées ou non transférables</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Ne peut justifier ni seuil universel ni décision forte</w:t>
            </w:r>
          </w:p>
        </w:tc>
      </w:tr>
    </w:tbl>
    <w:p>
      <w:pPr>
        <w:spacing w:after="0"/>
      </w:pPr>
    </w:p>
    <w:p>
      <w:pPr>
        <w:widowControl/>
      </w:pPr>
      <w:r>
        <w:rPr>
          <w:b w:val="0"/>
          <w:i w:val="0"/>
        </w:rPr>
        <w:t>Ces niveaux sont narratifs. Ils ne constituent ni score d’évidence, ni classement automatique, ni agrégation mathématique.</w:t>
      </w:r>
    </w:p>
    <w:p>
      <w:pPr>
        <w:pStyle w:val="Heading2"/>
      </w:pPr>
      <w:r>
        <w:t>6. Définitions directrices</w:t>
      </w:r>
    </w:p>
    <w:p>
      <w:pPr>
        <w:widowControl/>
      </w:pPr>
      <w:r>
        <w:rPr>
          <w:b/>
          <w:i w:val="0"/>
        </w:rPr>
        <w:t>Mesurande.</w:t>
      </w:r>
      <w:r>
        <w:rPr>
          <w:b w:val="0"/>
          <w:i w:val="0"/>
        </w:rPr>
        <w:t xml:space="preserve"> Grandeur que l’on entend mesurer. « T1 myocardique », « volume ventriculaire » ou « débit » ne sont pas encore des mesurandes complètement définis tant que la région, la phase, la méthode et les conventions ne le sont pas.</w:t>
      </w:r>
    </w:p>
    <w:p>
      <w:pPr>
        <w:widowControl/>
      </w:pPr>
      <w:r>
        <w:rPr>
          <w:b/>
          <w:i w:val="0"/>
        </w:rPr>
        <w:t>Observable.</w:t>
      </w:r>
      <w:r>
        <w:rPr>
          <w:b w:val="0"/>
          <w:i w:val="0"/>
        </w:rPr>
        <w:t xml:space="preserve"> Information directement visible ou extraite d’une image, d’une courbe ou d’un champ reconstruit.</w:t>
      </w:r>
    </w:p>
    <w:p>
      <w:pPr>
        <w:widowControl/>
      </w:pPr>
      <w:r>
        <w:rPr>
          <w:b/>
          <w:i w:val="0"/>
        </w:rPr>
        <w:t>Estimateur.</w:t>
      </w:r>
      <w:r>
        <w:rPr>
          <w:b w:val="0"/>
          <w:i w:val="0"/>
        </w:rPr>
        <w:t xml:space="preserve"> Règle qui transforme des données en estimation numérique. Deux estimateurs du même concept peuvent avoir des biais différents.</w:t>
      </w:r>
    </w:p>
    <w:p>
      <w:pPr>
        <w:widowControl/>
      </w:pPr>
      <w:r>
        <w:rPr>
          <w:b/>
          <w:i w:val="0"/>
        </w:rPr>
        <w:t>Biomarqueur.</w:t>
      </w:r>
      <w:r>
        <w:rPr>
          <w:b w:val="0"/>
          <w:i w:val="0"/>
        </w:rPr>
        <w:t xml:space="preserve"> Caractéristique définie, mesurée comme indicateur d’un processus biologique normal, pathologique ou d’une réponse à une exposition ou intervention. Une image n’est pas automatiquement un biomarqueur ; la caractéristique, la méthode et le contexte d’usage doivent être qualifiés [R16, R41].</w:t>
      </w:r>
    </w:p>
    <w:p>
      <w:pPr>
        <w:widowControl/>
      </w:pPr>
      <w:r>
        <w:rPr>
          <w:b/>
          <w:i w:val="0"/>
        </w:rPr>
        <w:t>Exactitude.</w:t>
      </w:r>
      <w:r>
        <w:rPr>
          <w:b w:val="0"/>
          <w:i w:val="0"/>
        </w:rPr>
        <w:t xml:space="preserve"> Proximité entre une mesure et une valeur de référence appropriée. Elle ne se confond pas avec la précision.</w:t>
      </w:r>
    </w:p>
    <w:p>
      <w:pPr>
        <w:widowControl/>
      </w:pPr>
      <w:r>
        <w:rPr>
          <w:b/>
          <w:i w:val="0"/>
        </w:rPr>
        <w:t>Précision.</w:t>
      </w:r>
      <w:r>
        <w:rPr>
          <w:b w:val="0"/>
          <w:i w:val="0"/>
        </w:rPr>
        <w:t xml:space="preserve"> Dispersion des résultats répétés. Une mesure peut être précise et biaisée.</w:t>
      </w:r>
    </w:p>
    <w:p>
      <w:pPr>
        <w:widowControl/>
      </w:pPr>
      <w:r>
        <w:rPr>
          <w:b/>
          <w:i w:val="0"/>
        </w:rPr>
        <w:t>Répétabilité.</w:t>
      </w:r>
      <w:r>
        <w:rPr>
          <w:b w:val="0"/>
          <w:i w:val="0"/>
        </w:rPr>
        <w:t xml:space="preserve"> Précision obtenue dans des conditions répétées aussi proches que possible.</w:t>
      </w:r>
    </w:p>
    <w:p>
      <w:pPr>
        <w:widowControl/>
      </w:pPr>
      <w:r>
        <w:rPr>
          <w:b/>
          <w:i w:val="0"/>
        </w:rPr>
        <w:t>Reproductibilité.</w:t>
      </w:r>
      <w:r>
        <w:rPr>
          <w:b w:val="0"/>
          <w:i w:val="0"/>
        </w:rPr>
        <w:t xml:space="preserve"> Précision lorsque des conditions pertinentes changent, par exemple lecteur, site, système, séquence ou logiciel. Le facteur changé doit être nommé [R42].</w:t>
      </w:r>
    </w:p>
    <w:p>
      <w:pPr>
        <w:widowControl/>
      </w:pPr>
      <w:r>
        <w:rPr>
          <w:b/>
          <w:i w:val="0"/>
        </w:rPr>
        <w:t>Accord.</w:t>
      </w:r>
      <w:r>
        <w:rPr>
          <w:b w:val="0"/>
          <w:i w:val="0"/>
        </w:rPr>
        <w:t xml:space="preserve"> Proximité entre résultats de méthodes ou lectures. Une forte corrélation n’établit pas l’accord.</w:t>
      </w:r>
    </w:p>
    <w:p>
      <w:pPr>
        <w:widowControl/>
      </w:pPr>
      <w:r>
        <w:rPr>
          <w:b/>
          <w:i w:val="0"/>
        </w:rPr>
        <w:t>Intervalle de référence.</w:t>
      </w:r>
      <w:r>
        <w:rPr>
          <w:b w:val="0"/>
          <w:i w:val="0"/>
        </w:rPr>
        <w:t xml:space="preserve"> Distribution attendue dans une population de référence sous une méthode définie. Ce n’est ni une frontière biologique universelle, ni un seuil décisionnel.</w:t>
      </w:r>
    </w:p>
    <w:p>
      <w:pPr>
        <w:widowControl/>
      </w:pPr>
      <w:r>
        <w:rPr>
          <w:b/>
          <w:i w:val="0"/>
        </w:rPr>
        <w:t>Contexte d’usage.</w:t>
      </w:r>
      <w:r>
        <w:rPr>
          <w:b w:val="0"/>
          <w:i w:val="0"/>
        </w:rPr>
        <w:t xml:space="preserve"> Question, population, rôle du biomarqueur et conséquence prévue. La qualification d’un endpoint dans un contexte ne se transfère pas automatiquement à un autre [R16].</w:t>
      </w:r>
    </w:p>
    <w:p>
      <w:r>
        <w:br w:type="page"/>
      </w:r>
    </w:p>
    <w:p>
      <w:pPr>
        <w:pStyle w:val="Heading1"/>
        <w:pBdr>
          <w:bottom w:val="single" w:sz="12" w:space="7" w:color="22A6B3"/>
        </w:pBdr>
      </w:pPr>
      <w:r>
        <w:t>PARTIE II — MODÈLE PHYSIQUE MINIMAL</w:t>
      </w:r>
    </w:p>
    <w:p>
      <w:pPr>
        <w:pStyle w:val="Heading2"/>
      </w:pPr>
      <w:r>
        <w:t>7. De l’aimantation au signal</w:t>
      </w:r>
    </w:p>
    <w:p>
      <w:pPr>
        <w:widowControl/>
      </w:pPr>
      <w:r>
        <w:rPr>
          <w:b w:val="0"/>
          <w:i w:val="0"/>
        </w:rPr>
        <w:t>L’IRM exploite l’aimantation nette de spins nucléaires dans un champ magnétique statique. À l’équilibre, l’aimantation longitudinale résulte notamment de la densité de spins observables, du champ et de la température. Une excitation radiofréquence perturbe cet équilibre ; la précession et le retour vers l’équilibre produisent le signal détecté par les antennes [R03, R04, R05].</w:t>
      </w:r>
    </w:p>
    <w:p>
      <w:pPr>
        <w:widowControl/>
      </w:pPr>
      <w:r>
        <w:rPr>
          <w:b w:val="0"/>
          <w:i w:val="0"/>
        </w:rPr>
        <w:t>Le signal brut n’est pas une photographie du tissu. Il est le résultat d’une expérience : préparation, excitation, gradients, acquisition, sensibilité des antennes, mouvement, bruit et reconstruction. L’intensité d’un pixel ne peut donc pas être interprétée comme une concentration absolue sans modèle et calibration adaptés.</w:t>
      </w:r>
    </w:p>
    <w:p>
      <w:pPr>
        <w:pStyle w:val="Heading3"/>
      </w:pPr>
      <w:r>
        <w:t>7.1 Fréquence, phase et gradients</w:t>
      </w:r>
    </w:p>
    <w:p>
      <w:pPr>
        <w:widowControl/>
      </w:pPr>
      <w:r>
        <w:rPr>
          <w:b w:val="0"/>
          <w:i w:val="0"/>
        </w:rPr>
        <w:t>La fréquence de Larmor relie le champ local à la fréquence de précession. Les gradients imposent des variations spatiales contrôlées du champ ; ils codent la position par fréquence et phase. Tout défaut de champ, courant induit, non-linéarité de gradient ou mouvement pendant le codage peut déplacer, déphaser ou déformer l’information.</w:t>
      </w:r>
    </w:p>
    <w:p>
      <w:pPr>
        <w:widowControl/>
      </w:pPr>
      <w:r>
        <w:rPr>
          <w:b w:val="0"/>
          <w:i w:val="0"/>
        </w:rPr>
        <w:t>La phase est une information physique à part entière. Elle permet notamment l’encodage de vitesse, mais reste sensible aux décalages de fond, aux enroulements de phase et au bruit. Une image de magnitude peut paraître acceptable alors que la phase nécessaire à une mesure de flux est invalide.</w:t>
      </w:r>
    </w:p>
    <w:p>
      <w:pPr>
        <w:pStyle w:val="Heading3"/>
      </w:pPr>
      <w:r>
        <w:t>7.2 Espace k et reconstruction</w:t>
      </w:r>
    </w:p>
    <w:p>
      <w:pPr>
        <w:widowControl/>
      </w:pPr>
      <w:r>
        <w:rPr>
          <w:b w:val="0"/>
          <w:i w:val="0"/>
        </w:rPr>
        <w:t>L’espace k représente l’échantillonnage des fréquences spatiales. Sa région centrale contribue fortement au contraste global ; sa périphérie contient davantage d’information de détail. Cette distinction est utile mais simplifiée : le résultat final dépend de la trajectoire, de l’ordre temporel d’acquisition, de l’accélération, des filtres et de la reconstruction.</w:t>
      </w:r>
    </w:p>
    <w:p>
      <w:pPr>
        <w:widowControl/>
      </w:pPr>
      <w:r>
        <w:rPr>
          <w:b w:val="0"/>
          <w:i w:val="0"/>
        </w:rPr>
        <w:t>Sous-échantillonner accélère l’acquisition mais déplace le problème vers les hypothèses de reconstruction. L’imagerie parallèle utilise les profils de sensibilité des antennes et amplifie le bruit selon la géométrie. Les reconstructions parcimonieuses ou apprises ajoutent des régularisations et des données d’entraînement. Une reconstruction plus esthétique n’est pas, par elle-même, plus fidèle quantitativement.</w:t>
      </w:r>
    </w:p>
    <w:p>
      <w:pPr>
        <w:pStyle w:val="Heading2"/>
      </w:pPr>
      <w:r>
        <w:t>8. Relaxation et décroissance</w:t>
      </w:r>
    </w:p>
    <w:p>
      <w:pPr>
        <w:pStyle w:val="Heading3"/>
      </w:pPr>
      <w:r>
        <w:t>8.1 T1 — récupération longitudinale</w:t>
      </w:r>
    </w:p>
    <w:p>
      <w:pPr>
        <w:widowControl/>
      </w:pPr>
      <w:r>
        <w:rPr>
          <w:b w:val="0"/>
          <w:i w:val="0"/>
        </w:rPr>
        <w:t>T1 décrit une constante caractérisant la récupération de l’aimantation longitudinale vers l’équilibre dans un modèle donné. Une mesure de T1 cardiaque dépend de la préparation, de l’échantillonnage, du readout, du rythme, du mouvement, du transfert d’aimantation, du champ, de la reconstruction et de l’ajustement [R07, R08, R43].</w:t>
      </w:r>
    </w:p>
    <w:p>
      <w:pPr>
        <w:widowControl/>
      </w:pPr>
      <w:r>
        <w:rPr>
          <w:b w:val="0"/>
          <w:i w:val="0"/>
        </w:rPr>
        <w:t>Le terme « T1 natif » signifie absence d’agent de contraste exogène pour cette mesure ; il ne signifie ni absence de confondeur, ni pureté tissulaire, ni spécificité pathologique.</w:t>
      </w:r>
    </w:p>
    <w:p>
      <w:pPr>
        <w:pStyle w:val="Heading3"/>
      </w:pPr>
      <w:r>
        <w:t>8.2 T2 — décroissance transverse</w:t>
      </w:r>
    </w:p>
    <w:p>
      <w:pPr>
        <w:widowControl/>
      </w:pPr>
      <w:r>
        <w:rPr>
          <w:b w:val="0"/>
          <w:i w:val="0"/>
        </w:rPr>
        <w:t>T2 caractérise la perte de cohérence transverse due aux interactions microscopiques irréversibles dans le modèle spin-écho idéal. Les méthodes cardiaques de mapping T2 utilisent souvent des préparations et des readouts dont les imperfections, le mouvement, la sensibilité au rythme et les effets T1 résiduels modifient l’estimation. « T2 élevé » n’est donc jamais interprétable sans référence locale ou validée pour la méthode [R07, R10].</w:t>
      </w:r>
    </w:p>
    <w:p>
      <w:pPr>
        <w:pStyle w:val="Heading3"/>
      </w:pPr>
      <w:r>
        <w:t>8.3 T2* — décroissance transverse effective</w:t>
      </w:r>
    </w:p>
    <w:p>
      <w:pPr>
        <w:widowControl/>
      </w:pPr>
      <w:r>
        <w:rPr>
          <w:b w:val="0"/>
          <w:i w:val="0"/>
        </w:rPr>
        <w:t>T2* combine les mécanismes T2 et les inhomogénéités statiques ou mésoscopiques du champ. Il est généralement estimé à partir d’une décroissance multi-écho en gradient-écho. Le choix du modèle, le plancher de bruit, la susceptibilité, la graisse, le mouvement et les artéfacts locaux peuvent modifier fortement le résultat [R07, R24].</w:t>
      </w:r>
    </w:p>
    <w:p>
      <w:pPr>
        <w:pStyle w:val="Heading3"/>
      </w:pPr>
      <w:r>
        <w:t>8.4 Densité protonique et aimantation d’équilibre</w:t>
      </w:r>
    </w:p>
    <w:p>
      <w:pPr>
        <w:widowControl/>
      </w:pPr>
      <w:r>
        <w:rPr>
          <w:b w:val="0"/>
          <w:i w:val="0"/>
        </w:rPr>
        <w:t>La densité de protons mobiles contribue à l’amplitude disponible, mais l’intensité observée reste pondérée par T1, T2 ou T2*, la séquence, l’angle d’excitation, la sensibilité d’antenne et la reconstruction. Dans le cœur, une image dite « pondérée en densité protonique » n’est pas une carte absolue de contenu en eau. Elle peut servir de normalisation seulement si la relation supposée est explicitée et validée.</w:t>
      </w:r>
    </w:p>
    <w:p>
      <w:pPr>
        <w:pStyle w:val="Heading2"/>
      </w:pPr>
      <w:r>
        <w:t>9. Contraste : propriété relationnelle</w:t>
      </w:r>
    </w:p>
    <w:p>
      <w:pPr>
        <w:widowControl/>
      </w:pPr>
      <w:r>
        <w:rPr>
          <w:b w:val="0"/>
          <w:i w:val="0"/>
        </w:rPr>
        <w:t>Le contraste est une différence de signal entre structures dans une acquisition donnée. Il dépend de la préparation d’aimantation, du timing relatif, du flux, du mouvement, des propriétés tissulaires et du bruit. Une séquence peut être « T1-pondérée » sans mesurer T1 ; une carte T1 cherche au contraire à estimer un paramètre de modèle à partir de plusieurs états de l’aimantation.</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900"/>
        <w:gridCol w:w="3000"/>
        <w:gridCol w:w="4460"/>
      </w:tblGrid>
      <w:tr>
        <w:trPr>
          <w:cantSplit/>
          <w:tblHeader w:val="true"/>
        </w:trPr>
        <w:tc>
          <w:tcPr>
            <w:tcW w:type="dxa" w:w="1900"/>
            <w:vAlign w:val="center"/>
            <w:tcMar>
              <w:top w:w="82" w:type="dxa"/>
              <w:start w:w="95" w:type="dxa"/>
              <w:bottom w:w="82" w:type="dxa"/>
              <w:end w:w="95" w:type="dxa"/>
            </w:tcMar>
            <w:shd w:fill="12344D"/>
          </w:tcPr>
          <w:p>
            <w:pPr>
              <w:spacing w:after="0" w:line="235" w:lineRule="auto"/>
              <w:jc w:val="left"/>
            </w:pPr>
            <w:r>
              <w:rPr>
                <w:b/>
                <w:i w:val="0"/>
                <w:color w:val="FFFFFF"/>
                <w:sz w:val="15"/>
              </w:rPr>
              <w:t>Terme</w:t>
            </w:r>
          </w:p>
        </w:tc>
        <w:tc>
          <w:tcPr>
            <w:tcW w:type="dxa" w:w="3000"/>
            <w:vAlign w:val="center"/>
            <w:tcMar>
              <w:top w:w="82" w:type="dxa"/>
              <w:start w:w="95" w:type="dxa"/>
              <w:bottom w:w="82" w:type="dxa"/>
              <w:end w:w="95" w:type="dxa"/>
            </w:tcMar>
            <w:shd w:fill="12344D"/>
          </w:tcPr>
          <w:p>
            <w:pPr>
              <w:spacing w:after="0" w:line="235" w:lineRule="auto"/>
              <w:jc w:val="left"/>
            </w:pPr>
            <w:r>
              <w:rPr>
                <w:b/>
                <w:i w:val="0"/>
                <w:color w:val="FFFFFF"/>
                <w:sz w:val="15"/>
              </w:rPr>
              <w:t>Ce qu’il permet de dire</w:t>
            </w:r>
          </w:p>
        </w:tc>
        <w:tc>
          <w:tcPr>
            <w:tcW w:type="dxa" w:w="4460"/>
            <w:vAlign w:val="center"/>
            <w:tcMar>
              <w:top w:w="82" w:type="dxa"/>
              <w:start w:w="95" w:type="dxa"/>
              <w:bottom w:w="82" w:type="dxa"/>
              <w:end w:w="95" w:type="dxa"/>
            </w:tcMar>
            <w:shd w:fill="12344D"/>
          </w:tcPr>
          <w:p>
            <w:pPr>
              <w:spacing w:after="0" w:line="235" w:lineRule="auto"/>
              <w:jc w:val="left"/>
            </w:pPr>
            <w:r>
              <w:rPr>
                <w:b/>
                <w:i w:val="0"/>
                <w:color w:val="FFFFFF"/>
                <w:sz w:val="15"/>
              </w:rPr>
              <w:t>Ce qu’il ne permet pas de dire seul</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Pondération T1</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Le contraste est volontairement sensible aux différences de récupération longitudinale</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Que l’intensité est un T1 quantitatif</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Pondération T2</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Le contraste est sensible aux différences de décroissance transverse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Que toute hyperintensité est un œdème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Pondération T2*</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Le signal est sensible aux inhomogénéités et à la susceptibilité</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Que toute perte de signal quantifie un dépôt donné</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Sang clair</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Le sang apparaît relativement hyperintense dans ce contexte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Que le flux est normal ou quantifié</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Sang noir</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Le signal du sang est supprimé selon un mécanisme défini</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Que la suppression est complète pour tout régime de flux</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Rehaussement</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Le signal change après contraste et préparation</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Qu’un substrat histologique unique est prouvé</w:t>
            </w:r>
          </w:p>
        </w:tc>
      </w:tr>
    </w:tbl>
    <w:p>
      <w:pPr>
        <w:spacing w:after="0"/>
      </w:pPr>
    </w:p>
    <w:p>
      <w:pPr>
        <w:pStyle w:val="Heading2"/>
      </w:pPr>
      <w:r>
        <w:t>10. Rapport signal-bruit, contraste-bruit et résolution</w:t>
      </w:r>
    </w:p>
    <w:p>
      <w:pPr>
        <w:widowControl/>
      </w:pPr>
      <w:r>
        <w:rPr>
          <w:b w:val="0"/>
          <w:i w:val="0"/>
        </w:rPr>
        <w:t>Le rapport signal-bruit conditionne la stabilité des contours, des ajustements et des champs dérivés. Le rapport contraste-bruit décrit la séparabilité relative de deux structures. Tous deux dépendent du voxel, de l’antenne, de l’accélération, de la reconstruction et du mouvement ; ils ne sont pas des propriétés intrinsèques du patient.</w:t>
      </w:r>
    </w:p>
    <w:p>
      <w:pPr>
        <w:widowControl/>
      </w:pPr>
      <w:r>
        <w:rPr>
          <w:b w:val="0"/>
          <w:i w:val="0"/>
        </w:rPr>
        <w:t>La résolution spatiale prescrite, la résolution reconstruite et la résolution effective ne sont pas équivalentes. Les filtres, l’interpolation, le mouvement et la fonction d’étalement modulent la résolution effective. La résolution temporelle d’une ciné est distincte de l’intervalle d’échantillonnage reconstruit : interpoler davantage de phases ne crée pas l’information temporelle absente.</w:t>
      </w:r>
    </w:p>
    <w:p>
      <w:pPr>
        <w:widowControl/>
      </w:pPr>
      <w:r>
        <w:rPr>
          <w:b w:val="0"/>
          <w:i w:val="0"/>
        </w:rPr>
        <w:t>Le volume partiel mélange tissus, sang, graisse ou cavité dans un voxel. Il affecte particulièrement les parois fines, l’apex, le ventricule droit, les régions sous-endocardiques et les mesures segmentaires. Réduire le voxel peut diminuer le signal ; toute amélioration apparente de résolution comporte un compromis.</w:t>
      </w:r>
    </w:p>
    <w:p>
      <w:r>
        <w:br w:type="page"/>
      </w:r>
    </w:p>
    <w:p>
      <w:pPr>
        <w:pStyle w:val="Heading1"/>
        <w:pBdr>
          <w:bottom w:val="single" w:sz="12" w:space="7" w:color="22A6B3"/>
        </w:pBdr>
      </w:pPr>
      <w:r>
        <w:t>PARTIE III — FAMILLES DE SÉQUENCES ET PRÉPARATIONS</w:t>
      </w:r>
    </w:p>
    <w:p>
      <w:pPr>
        <w:pStyle w:val="Heading2"/>
      </w:pPr>
      <w:r>
        <w:t>11. Une séquence est une chaîne, pas une étiquette</w:t>
      </w:r>
    </w:p>
    <w:p>
      <w:pPr>
        <w:widowControl/>
      </w:pPr>
      <w:r>
        <w:rPr>
          <w:b w:val="0"/>
          <w:i w:val="0"/>
        </w:rPr>
        <w:t>Une famille de séquences combine excitation, gradients, préparation, readout, trajectoire, synchronisation, accélération et reconstruction. Deux acquisitions portant le même nom générique peuvent produire des contrastes et des biais différents. Une appellation commerciale n’est ni une définition scientifique ni une preuve d’équivalence.</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800"/>
        <w:gridCol w:w="2100"/>
        <w:gridCol w:w="2500"/>
        <w:gridCol w:w="2960"/>
      </w:tblGrid>
      <w:tr>
        <w:trPr>
          <w:cantSplit/>
          <w:tblHeader w:val="true"/>
        </w:trPr>
        <w:tc>
          <w:tcPr>
            <w:tcW w:type="dxa" w:w="1800"/>
            <w:vAlign w:val="center"/>
            <w:tcMar>
              <w:top w:w="82" w:type="dxa"/>
              <w:start w:w="95" w:type="dxa"/>
              <w:bottom w:w="82" w:type="dxa"/>
              <w:end w:w="95" w:type="dxa"/>
            </w:tcMar>
            <w:shd w:fill="12344D"/>
          </w:tcPr>
          <w:p>
            <w:pPr>
              <w:spacing w:after="0" w:line="235" w:lineRule="auto"/>
              <w:jc w:val="left"/>
            </w:pPr>
            <w:r>
              <w:rPr>
                <w:b/>
                <w:i w:val="0"/>
                <w:color w:val="FFFFFF"/>
                <w:sz w:val="14"/>
              </w:rPr>
              <w:t>Famille ou préparation</w:t>
            </w:r>
          </w:p>
        </w:tc>
        <w:tc>
          <w:tcPr>
            <w:tcW w:type="dxa" w:w="2100"/>
            <w:vAlign w:val="center"/>
            <w:tcMar>
              <w:top w:w="82" w:type="dxa"/>
              <w:start w:w="95" w:type="dxa"/>
              <w:bottom w:w="82" w:type="dxa"/>
              <w:end w:w="95" w:type="dxa"/>
            </w:tcMar>
            <w:shd w:fill="12344D"/>
          </w:tcPr>
          <w:p>
            <w:pPr>
              <w:spacing w:after="0" w:line="235" w:lineRule="auto"/>
              <w:jc w:val="left"/>
            </w:pPr>
            <w:r>
              <w:rPr>
                <w:b/>
                <w:i w:val="0"/>
                <w:color w:val="FFFFFF"/>
                <w:sz w:val="14"/>
              </w:rPr>
              <w:t>Principe dominant</w:t>
            </w:r>
          </w:p>
        </w:tc>
        <w:tc>
          <w:tcPr>
            <w:tcW w:type="dxa" w:w="2500"/>
            <w:vAlign w:val="center"/>
            <w:tcMar>
              <w:top w:w="82" w:type="dxa"/>
              <w:start w:w="95" w:type="dxa"/>
              <w:bottom w:w="82" w:type="dxa"/>
              <w:end w:w="95" w:type="dxa"/>
            </w:tcMar>
            <w:shd w:fill="12344D"/>
          </w:tcPr>
          <w:p>
            <w:pPr>
              <w:spacing w:after="0" w:line="235" w:lineRule="auto"/>
              <w:jc w:val="left"/>
            </w:pPr>
            <w:r>
              <w:rPr>
                <w:b/>
                <w:i w:val="0"/>
                <w:color w:val="FFFFFF"/>
                <w:sz w:val="14"/>
              </w:rPr>
              <w:t>Observables usuels</w:t>
            </w:r>
          </w:p>
        </w:tc>
        <w:tc>
          <w:tcPr>
            <w:tcW w:type="dxa" w:w="2960"/>
            <w:vAlign w:val="center"/>
            <w:tcMar>
              <w:top w:w="82" w:type="dxa"/>
              <w:start w:w="95" w:type="dxa"/>
              <w:bottom w:w="82" w:type="dxa"/>
              <w:end w:w="95" w:type="dxa"/>
            </w:tcMar>
            <w:shd w:fill="12344D"/>
          </w:tcPr>
          <w:p>
            <w:pPr>
              <w:spacing w:after="0" w:line="235" w:lineRule="auto"/>
              <w:jc w:val="left"/>
            </w:pPr>
            <w:r>
              <w:rPr>
                <w:b/>
                <w:i w:val="0"/>
                <w:color w:val="FFFFFF"/>
                <w:sz w:val="14"/>
              </w:rPr>
              <w:t>Dépendances critiques</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Spin echo et dérivés</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Refocalisation de phase par impulsion</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Morphologie, contrastes pondérés, sang noir</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Flux, mouvement, échos stimulés, train d’échos</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GRE gâtée</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Échos par gradients, aimantation souvent partiellement saturée</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Ciné, dynamique, T2*, phase</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Inflow, T1, angle, susceptibilité, rythme</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bSSFP</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État stationnaire avec gradients équilibrés</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Ciné à contraste sang-myocarde élevé</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Hors-résonance, T2/T1, régularité, fréquence</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Inversion-récupération</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Inversion puis lecture à différents délais</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Suppression tissulaire, LGE, T1</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Efficacité d’inversion, timing, rythme, readout</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Saturation-récupération</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Saturation puis observation de la récupération</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Perfusion, T1</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Efficacité de saturation, délai, dynamique</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T2-preparation</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Évolution T2 avant readout</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Pondération ou mapping T2</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B0, B1, mouvement, effets T1</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Encodage bipolaire</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Phase proportionnelle au mouvement ou à la vitesse</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Flux, vitesse, diffusion</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Phase de fond, aliasing, mouvements concomitants</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Marquage spatial</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Modulation initiale de l’aimantation</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Déformation myocardique</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Fading, suivi du motif, résolution</w:t>
            </w:r>
          </w:p>
        </w:tc>
      </w:tr>
    </w:tbl>
    <w:p>
      <w:pPr>
        <w:spacing w:after="0"/>
      </w:pPr>
    </w:p>
    <w:p>
      <w:pPr>
        <w:pStyle w:val="Heading2"/>
      </w:pPr>
      <w:r>
        <w:t>12. SSFP équilibrée</w:t>
      </w:r>
    </w:p>
    <w:p>
      <w:pPr>
        <w:widowControl/>
      </w:pPr>
      <w:r>
        <w:rPr>
          <w:b w:val="0"/>
          <w:i w:val="0"/>
        </w:rPr>
        <w:t>La bSSFP maintient un état stationnaire cohérent grâce à l’équilibrage des gradients. Son contraste dépend fortement du rapport T2/T1, ce qui favorise souvent la séparation sang-myocarde. Elle est devenue une base de l’imagerie ciné, mais son signal n’est ni une mesure directe de T2/T1, ni invariant au champ ou à la fréquence [R18].</w:t>
      </w:r>
    </w:p>
    <w:p>
      <w:pPr>
        <w:widowControl/>
      </w:pPr>
      <w:r>
        <w:rPr>
          <w:b w:val="0"/>
          <w:i w:val="0"/>
        </w:rPr>
        <w:t>La hors-résonance produit des bandes de signal nul ou instable. Leur position peut changer avec le champ, la respiration, la susceptibilité et la calibration fréquentielle. La correction ou la mitigation d’une bande modifie la chaîne d’acquisition ; elle doit être documentée lorsqu’elle affecte une mesure [R39, R40].</w:t>
      </w:r>
    </w:p>
    <w:p>
      <w:pPr>
        <w:widowControl/>
      </w:pPr>
      <w:r>
        <w:rPr>
          <w:b/>
          <w:i w:val="0"/>
        </w:rPr>
        <w:t>Piège central :</w:t>
      </w:r>
      <w:r>
        <w:rPr>
          <w:b w:val="0"/>
          <w:i w:val="0"/>
        </w:rPr>
        <w:t xml:space="preserve"> une meilleure délimitation visuelle de l’endocarde peut déplacer les contours par rapport à une ciné GRE. Les volumes et la masse mesurés avec des familles de contraste différentes ne sont pas automatiquement interchangeables.</w:t>
      </w:r>
    </w:p>
    <w:p>
      <w:pPr>
        <w:pStyle w:val="Heading2"/>
      </w:pPr>
      <w:r>
        <w:t>13. Gradient echo</w:t>
      </w:r>
    </w:p>
    <w:p>
      <w:pPr>
        <w:widowControl/>
      </w:pPr>
      <w:r>
        <w:rPr>
          <w:b w:val="0"/>
          <w:i w:val="0"/>
        </w:rPr>
        <w:t>Les cinés GRE historiques reposent davantage sur l’entrée de spins non saturés et la saturation différentielle. Elles peuvent offrir une robustesse relative dans certains contextes de hors-résonance ou de dispositif, au prix d’un contraste sang-myocarde souvent différent. Les GRE multi-échos sont le support usuel de T2* ; les GRE rapides et préparées sont aussi employées pour la perfusion et le LGE [R01, R04, R19].</w:t>
      </w:r>
    </w:p>
    <w:p>
      <w:pPr>
        <w:widowControl/>
      </w:pPr>
      <w:r>
        <w:rPr>
          <w:b w:val="0"/>
          <w:i w:val="0"/>
        </w:rPr>
        <w:t>Le terme GRE couvre des implémentations nombreuses. Il faut distinguer ciné, spoiled GRE, écho de gradient multi-écho, lecture segmentée ou mono-coup, et préparation appliquée. Comparer « GRE » à « SSFP » sans cette description est une comparaison sous-spécifiée.</w:t>
      </w:r>
    </w:p>
    <w:p>
      <w:pPr>
        <w:pStyle w:val="Heading2"/>
      </w:pPr>
      <w:r>
        <w:t>14. Sang noir</w:t>
      </w:r>
    </w:p>
    <w:p>
      <w:pPr>
        <w:widowControl/>
      </w:pPr>
      <w:r>
        <w:rPr>
          <w:b w:val="0"/>
          <w:i w:val="0"/>
        </w:rPr>
        <w:t>Le contraste sang noir peut être produit par dépendance à l’écoulement, double inversion, préparation sensible au mouvement, diffusion intravoxel ou autres mécanismes. La suppression du sang dépend alors du régime de flux, du renouvellement, du mouvement, de la géométrie et du timing [R20].</w:t>
      </w:r>
    </w:p>
    <w:p>
      <w:pPr>
        <w:widowControl/>
      </w:pPr>
      <w:r>
        <w:rPr>
          <w:b w:val="0"/>
          <w:i w:val="0"/>
        </w:rPr>
        <w:t>Un sang résiduellement clair peut mimer un signal tissulaire, particulièrement lorsque le flux est lent, tourbillonnaire ou dans une cavité trabéculée. À l’inverse, une préparation sensible au mouvement peut atténuer un tissu mobile. La qualité doit donc évaluer séparément suppression luminale, signal tissulaire, homogénéité et artefacts de mouvement.</w:t>
      </w:r>
    </w:p>
    <w:p>
      <w:pPr>
        <w:pStyle w:val="Heading2"/>
      </w:pPr>
      <w:r>
        <w:t>15. Préparations de contraste</w:t>
      </w:r>
    </w:p>
    <w:p>
      <w:pPr>
        <w:widowControl/>
      </w:pPr>
      <w:r>
        <w:rPr>
          <w:b/>
          <w:i w:val="0"/>
        </w:rPr>
        <w:t>Inversion-récupération.</w:t>
      </w:r>
      <w:r>
        <w:rPr>
          <w:b w:val="0"/>
          <w:i w:val="0"/>
        </w:rPr>
        <w:t xml:space="preserve"> Une impulsion d’inversion suivie d’une lecture permet de choisir un contraste où un compartiment est proche de son point d’annulation. En phase-sensitive inversion recovery, le signe de l’aimantation est conservé dans la reconstruction, ce qui réduit certaines ambiguïtés mais ne supprime ni le mouvement ni l’hétérogénéité de champ.</w:t>
      </w:r>
    </w:p>
    <w:p>
      <w:pPr>
        <w:widowControl/>
      </w:pPr>
      <w:r>
        <w:rPr>
          <w:b/>
          <w:i w:val="0"/>
        </w:rPr>
        <w:t>Saturation-récupération.</w:t>
      </w:r>
      <w:r>
        <w:rPr>
          <w:b w:val="0"/>
          <w:i w:val="0"/>
        </w:rPr>
        <w:t xml:space="preserve"> L’aimantation longitudinale est ramenée vers un état défini puis observée pendant sa récupération. Elle est adaptée aux dynamiques répétées, à condition que la saturation soit efficace et que les états successifs restent modélisables.</w:t>
      </w:r>
    </w:p>
    <w:p>
      <w:pPr>
        <w:widowControl/>
      </w:pPr>
      <w:r>
        <w:rPr>
          <w:b/>
          <w:i w:val="0"/>
        </w:rPr>
        <w:t>T2-preparation.</w:t>
      </w:r>
      <w:r>
        <w:rPr>
          <w:b w:val="0"/>
          <w:i w:val="0"/>
        </w:rPr>
        <w:t xml:space="preserve"> Une préparation introduit une pondération T2 avant une lecture rapide. La valeur obtenue dépend à la fois de la préparation et du readout.</w:t>
      </w:r>
    </w:p>
    <w:p>
      <w:pPr>
        <w:widowControl/>
      </w:pPr>
      <w:r>
        <w:rPr>
          <w:b/>
          <w:i w:val="0"/>
        </w:rPr>
        <w:t>Suppression de graisse.</w:t>
      </w:r>
      <w:r>
        <w:rPr>
          <w:b w:val="0"/>
          <w:i w:val="0"/>
        </w:rPr>
        <w:t xml:space="preserve"> Elle peut utiliser décalage chimique, inversion ou séparation multi-écho. Une suppression inhomogène peut créer ou masquer des contrastes à proximité du cœur.</w:t>
      </w:r>
    </w:p>
    <w:p>
      <w:pPr>
        <w:pStyle w:val="Heading2"/>
      </w:pPr>
      <w:r>
        <w:t>16. Accélération et reconstruction</w:t>
      </w:r>
    </w:p>
    <w:p>
      <w:pPr>
        <w:widowControl/>
      </w:pPr>
      <w:r>
        <w:rPr>
          <w:b w:val="0"/>
          <w:i w:val="0"/>
        </w:rPr>
        <w:t>Les accélérations par antennes multiples, échantillonnage parcimonieux ou modèles temporels peuvent réduire la durée ou améliorer la couverture. Elles changent cependant la distribution du bruit et parfois la texture, la résolution effective ou la fidélité temporelle.</w:t>
      </w:r>
    </w:p>
    <w:p>
      <w:pPr>
        <w:widowControl/>
      </w:pPr>
      <w:r>
        <w:rPr>
          <w:b w:val="0"/>
          <w:i w:val="0"/>
        </w:rPr>
        <w:t>Pour une mesure quantitative, l’identité de la reconstruction, sa version, ses filtres et toute mise à jour sont des variables de méthode. Un changement de reconstruction peut constituer une rupture de série même si la séquence affichée conserve le même nom.</w:t>
      </w:r>
    </w:p>
    <w:p>
      <w:pPr>
        <w:widowControl/>
      </w:pPr>
      <w:r>
        <w:rPr>
          <w:b w:val="0"/>
          <w:i w:val="0"/>
        </w:rPr>
        <w:t>Une reconstruction fondée sur l’apprentissage doit être évaluée sur les échecs rares, les morphologies hors distribution et la conservation des quantités, pas seulement sur la qualité visuelle moyenne. Toute suppression d’artefact qui peut aussi supprimer un signal réel exige une validation indépendante.</w:t>
      </w:r>
    </w:p>
    <w:p>
      <w:r>
        <w:br w:type="page"/>
      </w:r>
    </w:p>
    <w:p>
      <w:pPr>
        <w:pStyle w:val="Heading1"/>
        <w:pBdr>
          <w:bottom w:val="single" w:sz="12" w:space="7" w:color="22A6B3"/>
        </w:pBdr>
      </w:pPr>
      <w:r>
        <w:t>PARTIE IV — TEMPS, ECG, RESPIRATION ET MOUVEMENT</w:t>
      </w:r>
    </w:p>
    <w:p>
      <w:pPr>
        <w:pStyle w:val="Heading2"/>
      </w:pPr>
      <w:r>
        <w:t>17. Deux mouvements, plusieurs horloges</w:t>
      </w:r>
    </w:p>
    <w:p>
      <w:pPr>
        <w:widowControl/>
      </w:pPr>
      <w:r>
        <w:rPr>
          <w:b w:val="0"/>
          <w:i w:val="0"/>
        </w:rPr>
        <w:t>Le cœur combine mouvement cardiaque, respiration, flux, déplacements du patient et variations inter-battements. Les données d’une image peuvent provenir d’instants distincts. La reconstruction suppose alors une périodicité ou un modèle de mouvement ; une image nette peut être une synthèse de cycles non identiques.</w:t>
      </w:r>
    </w:p>
    <w:p>
      <w:pPr>
        <w:widowControl/>
      </w:pPr>
      <w:r>
        <w:rPr>
          <w:b w:val="0"/>
          <w:i w:val="0"/>
        </w:rPr>
        <w:t>Les horloges à déclarer sont au minimum : temps après excitation ou préparation, phase du cycle cardiaque, cycle respiratoire, ordre dans la dynamique, délai après contraste lorsqu’il existe, et temps entre examens répétés.</w:t>
      </w:r>
    </w:p>
    <w:p>
      <w:pPr>
        <w:pStyle w:val="Heading2"/>
      </w:pPr>
      <w:r>
        <w:t>18. Synchronisation cardiaque</w:t>
      </w:r>
    </w:p>
    <w:p>
      <w:pPr>
        <w:widowControl/>
      </w:pPr>
      <w:r>
        <w:rPr>
          <w:b/>
          <w:i w:val="0"/>
        </w:rPr>
        <w:t>Déclenchement prospectif.</w:t>
      </w:r>
      <w:r>
        <w:rPr>
          <w:b w:val="0"/>
          <w:i w:val="0"/>
        </w:rPr>
        <w:t xml:space="preserve"> L’acquisition commence après un événement détecté. Il peut manquer une partie du cycle si la fenêtre est limitée.</w:t>
      </w:r>
    </w:p>
    <w:p>
      <w:pPr>
        <w:widowControl/>
      </w:pPr>
      <w:r>
        <w:rPr>
          <w:b/>
          <w:i w:val="0"/>
        </w:rPr>
        <w:t>Gating rétrospectif.</w:t>
      </w:r>
      <w:r>
        <w:rPr>
          <w:b w:val="0"/>
          <w:i w:val="0"/>
        </w:rPr>
        <w:t xml:space="preserve"> Les données sont acquises puis affectées à des phases. Il exige un signal de synchronisation fiable et une stabilité suffisante.</w:t>
      </w:r>
    </w:p>
    <w:p>
      <w:pPr>
        <w:widowControl/>
      </w:pPr>
      <w:r>
        <w:rPr>
          <w:b/>
          <w:i w:val="0"/>
        </w:rPr>
        <w:t>Reconstruction en temps réel.</w:t>
      </w:r>
      <w:r>
        <w:rPr>
          <w:b w:val="0"/>
          <w:i w:val="0"/>
        </w:rPr>
        <w:t xml:space="preserve"> Elle réduit la dépendance à la périodicité mais échange souvent résolution, signal ou régularisation contre robustesse temporelle.</w:t>
      </w:r>
    </w:p>
    <w:p>
      <w:pPr>
        <w:widowControl/>
      </w:pPr>
      <w:r>
        <w:rPr>
          <w:b/>
          <w:i w:val="0"/>
        </w:rPr>
        <w:t>Auto-gating.</w:t>
      </w:r>
      <w:r>
        <w:rPr>
          <w:b w:val="0"/>
          <w:i w:val="0"/>
        </w:rPr>
        <w:t xml:space="preserve"> Le mouvement est estimé depuis les données ou un signal auxiliaire. Sa performance dépend de la séparabilité des composantes de mouvement.</w:t>
      </w:r>
    </w:p>
    <w:p>
      <w:pPr>
        <w:widowControl/>
      </w:pPr>
      <w:r>
        <w:rPr>
          <w:b w:val="0"/>
          <w:i w:val="0"/>
        </w:rPr>
        <w:t>Le signal ECG en environnement magnétique peut être altéré. Une détection erronée, des extrasystoles ou une variabilité du cycle entraînent des données manquantes, des phases mélangées ou un biais de sélection des battements. Rejeter les battements irréguliers n’est pas neutre : l’image décrit alors les battements acceptés, pas nécessairement le fonctionnement moyen.</w:t>
      </w:r>
    </w:p>
    <w:p>
      <w:pPr>
        <w:pStyle w:val="Heading2"/>
      </w:pPr>
      <w:r>
        <w:t>19. Respiration</w:t>
      </w:r>
    </w:p>
    <w:p>
      <w:pPr>
        <w:widowControl/>
      </w:pPr>
      <w:r>
        <w:rPr>
          <w:b/>
          <w:i w:val="0"/>
        </w:rPr>
        <w:t>Apnée.</w:t>
      </w:r>
      <w:r>
        <w:rPr>
          <w:b w:val="0"/>
          <w:i w:val="0"/>
        </w:rPr>
        <w:t xml:space="preserve"> Elle réduit le mouvement pendant une fenêtre, mais la position du cœur peut différer entre apnées et les capacités du sujet varient.</w:t>
      </w:r>
    </w:p>
    <w:p>
      <w:pPr>
        <w:widowControl/>
      </w:pPr>
      <w:r>
        <w:rPr>
          <w:b/>
          <w:i w:val="0"/>
        </w:rPr>
        <w:t>Gating respiratoire.</w:t>
      </w:r>
      <w:r>
        <w:rPr>
          <w:b w:val="0"/>
          <w:i w:val="0"/>
        </w:rPr>
        <w:t xml:space="preserve"> Il accepte une fraction des données selon un signal respiratoire ; l’efficacité et la distribution des positions acceptées influencent durée et netteté.</w:t>
      </w:r>
    </w:p>
    <w:p>
      <w:pPr>
        <w:widowControl/>
      </w:pPr>
      <w:r>
        <w:rPr>
          <w:b/>
          <w:i w:val="0"/>
        </w:rPr>
        <w:t>Navigateur.</w:t>
      </w:r>
      <w:r>
        <w:rPr>
          <w:b w:val="0"/>
          <w:i w:val="0"/>
        </w:rPr>
        <w:t xml:space="preserve"> Il mesure un substitut du mouvement et applique un modèle de relation avec le cœur. Le mouvement diaphragme-cœur n’est pas universellement rigide.</w:t>
      </w:r>
    </w:p>
    <w:p>
      <w:pPr>
        <w:widowControl/>
      </w:pPr>
      <w:r>
        <w:rPr>
          <w:b/>
          <w:i w:val="0"/>
        </w:rPr>
        <w:t>Binning et correction.</w:t>
      </w:r>
      <w:r>
        <w:rPr>
          <w:b w:val="0"/>
          <w:i w:val="0"/>
        </w:rPr>
        <w:t xml:space="preserve"> Les données sont regroupées par état respiratoire puis enregistrées ou reconstruites conjointement. L’estimation, le modèle de transformation et les données sous-échantillonnées deviennent des sources d’incertitude [R38].</w:t>
      </w:r>
    </w:p>
    <w:p>
      <w:pPr>
        <w:pStyle w:val="Heading2"/>
      </w:pPr>
      <w:r>
        <w:t>20. Correction de mouvement</w:t>
      </w:r>
    </w:p>
    <w:p>
      <w:pPr>
        <w:widowControl/>
      </w:pPr>
      <w:r>
        <w:rPr>
          <w:b w:val="0"/>
          <w:i w:val="0"/>
        </w:rPr>
        <w:t>La correction peut intervenir avant reconstruction, pendant la reconstruction ou après formation des images. Elle peut être rigide, affine, non rigide, 2D, 3D ou spatio-temporelle. Le choix doit correspondre au mouvement plausible et préserver l’anatomie.</w:t>
      </w:r>
    </w:p>
    <w:p>
      <w:pPr>
        <w:widowControl/>
      </w:pPr>
      <w:r>
        <w:rPr>
          <w:b w:val="0"/>
          <w:i w:val="0"/>
        </w:rPr>
        <w:t>Pour le mapping et la perfusion, aligner des images de contrastes différents est difficile : une méthode peut confondre variation d’intensité et déplacement. Un bon alignement apparent des contours n’établit pas que les pixels représentent le même tissu.</w:t>
      </w:r>
    </w:p>
    <w:p>
      <w:pPr>
        <w:widowControl/>
      </w:pPr>
      <w:r>
        <w:rPr>
          <w:b/>
          <w:i w:val="0"/>
        </w:rPr>
        <w:t>Critères de crédibilité :</w:t>
      </w:r>
    </w:p>
    <w:p>
      <w:pPr>
        <w:pStyle w:val="ListBullet"/>
      </w:pPr>
      <w:r>
        <w:rPr>
          <w:b w:val="0"/>
          <w:i w:val="0"/>
        </w:rPr>
        <w:t>transformation physiquement plausible ;</w:t>
      </w:r>
    </w:p>
    <w:p>
      <w:pPr>
        <w:pStyle w:val="ListBullet"/>
      </w:pPr>
      <w:r>
        <w:rPr>
          <w:b w:val="0"/>
          <w:i w:val="0"/>
        </w:rPr>
        <w:t>absence de pliage ou duplication ;</w:t>
      </w:r>
    </w:p>
    <w:p>
      <w:pPr>
        <w:pStyle w:val="ListBullet"/>
      </w:pPr>
      <w:r>
        <w:rPr>
          <w:b w:val="0"/>
          <w:i w:val="0"/>
        </w:rPr>
        <w:t>conservation des structures fines ;</w:t>
      </w:r>
    </w:p>
    <w:p>
      <w:pPr>
        <w:pStyle w:val="ListBullet"/>
      </w:pPr>
      <w:r>
        <w:rPr>
          <w:b w:val="0"/>
          <w:i w:val="0"/>
        </w:rPr>
        <w:t>performance testée sur mouvements et contrastes représentatifs ;</w:t>
      </w:r>
    </w:p>
    <w:p>
      <w:pPr>
        <w:pStyle w:val="ListBullet"/>
      </w:pPr>
      <w:r>
        <w:rPr>
          <w:b w:val="0"/>
          <w:i w:val="0"/>
        </w:rPr>
        <w:t>analyse avant et après correction ;</w:t>
      </w:r>
    </w:p>
    <w:p>
      <w:pPr>
        <w:pStyle w:val="ListBullet"/>
      </w:pPr>
      <w:r>
        <w:rPr>
          <w:b w:val="0"/>
          <w:i w:val="0"/>
        </w:rPr>
        <w:t>drapeau d’échec disponible ;</w:t>
      </w:r>
    </w:p>
    <w:p>
      <w:pPr>
        <w:pStyle w:val="ListBullet"/>
      </w:pPr>
      <w:r>
        <w:rPr>
          <w:b w:val="0"/>
          <w:i w:val="0"/>
        </w:rPr>
        <w:t>impact quantitatif déclaré.</w:t>
      </w:r>
    </w:p>
    <w:p>
      <w:r>
        <w:br w:type="page"/>
      </w:r>
    </w:p>
    <w:p>
      <w:pPr>
        <w:pStyle w:val="Heading1"/>
        <w:pBdr>
          <w:bottom w:val="single" w:sz="12" w:space="7" w:color="22A6B3"/>
        </w:pBdr>
      </w:pPr>
      <w:r>
        <w:t>PARTIE V — MORPHOLOGIE, CINÉ ET FONCTION</w:t>
      </w:r>
    </w:p>
    <w:p>
      <w:pPr>
        <w:pStyle w:val="Heading2"/>
      </w:pPr>
      <w:r>
        <w:t>21. Le ciné comme échantillonnage du mouvement</w:t>
      </w:r>
    </w:p>
    <w:p>
      <w:pPr>
        <w:widowControl/>
      </w:pPr>
      <w:r>
        <w:rPr>
          <w:b w:val="0"/>
          <w:i w:val="0"/>
        </w:rPr>
        <w:t>Une ciné reconstruit une série de phases du cycle cardiaque. Elle permet d’observer morphologie, contraction, relaxation apparente, mouvement valvulaire et interactions cavitaires. Elle ne mesure pas directement pression, contractilité intrinsèque, charge ou propriétés cellulaires.</w:t>
      </w:r>
    </w:p>
    <w:p>
      <w:pPr>
        <w:widowControl/>
      </w:pPr>
      <w:r>
        <w:rPr>
          <w:b w:val="0"/>
          <w:i w:val="0"/>
        </w:rPr>
        <w:t>Les volumes ventriculaires proviennent de contours sur une couverture définie, avec des conventions pour la base, l’apex, les trabéculations, les muscles papillaires et les valves. La fraction d’éjection est dérivée de deux volumes ; elle hérite de leurs erreurs et n’est pas un synonyme de fonction myocardique globale.</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900"/>
        <w:gridCol w:w="3000"/>
        <w:gridCol w:w="4460"/>
      </w:tblGrid>
      <w:tr>
        <w:trPr>
          <w:cantSplit/>
          <w:tblHeader w:val="true"/>
        </w:trPr>
        <w:tc>
          <w:tcPr>
            <w:tcW w:type="dxa" w:w="1900"/>
            <w:vAlign w:val="center"/>
            <w:tcMar>
              <w:top w:w="82" w:type="dxa"/>
              <w:start w:w="95" w:type="dxa"/>
              <w:bottom w:w="82" w:type="dxa"/>
              <w:end w:w="95" w:type="dxa"/>
            </w:tcMar>
            <w:shd w:fill="12344D"/>
          </w:tcPr>
          <w:p>
            <w:pPr>
              <w:spacing w:after="0" w:line="235" w:lineRule="auto"/>
              <w:jc w:val="left"/>
            </w:pPr>
            <w:r>
              <w:rPr>
                <w:b/>
                <w:i w:val="0"/>
                <w:color w:val="FFFFFF"/>
                <w:sz w:val="15"/>
              </w:rPr>
              <w:t>Mesure</w:t>
            </w:r>
          </w:p>
        </w:tc>
        <w:tc>
          <w:tcPr>
            <w:tcW w:type="dxa" w:w="3000"/>
            <w:vAlign w:val="center"/>
            <w:tcMar>
              <w:top w:w="82" w:type="dxa"/>
              <w:start w:w="95" w:type="dxa"/>
              <w:bottom w:w="82" w:type="dxa"/>
              <w:end w:w="95" w:type="dxa"/>
            </w:tcMar>
            <w:shd w:fill="12344D"/>
          </w:tcPr>
          <w:p>
            <w:pPr>
              <w:spacing w:after="0" w:line="235" w:lineRule="auto"/>
              <w:jc w:val="left"/>
            </w:pPr>
            <w:r>
              <w:rPr>
                <w:b/>
                <w:i w:val="0"/>
                <w:color w:val="FFFFFF"/>
                <w:sz w:val="15"/>
              </w:rPr>
              <w:t>Définition minimale requise</w:t>
            </w:r>
          </w:p>
        </w:tc>
        <w:tc>
          <w:tcPr>
            <w:tcW w:type="dxa" w:w="4460"/>
            <w:vAlign w:val="center"/>
            <w:tcMar>
              <w:top w:w="82" w:type="dxa"/>
              <w:start w:w="95" w:type="dxa"/>
              <w:bottom w:w="82" w:type="dxa"/>
              <w:end w:w="95" w:type="dxa"/>
            </w:tcMar>
            <w:shd w:fill="12344D"/>
          </w:tcPr>
          <w:p>
            <w:pPr>
              <w:spacing w:after="0" w:line="235" w:lineRule="auto"/>
              <w:jc w:val="left"/>
            </w:pPr>
            <w:r>
              <w:rPr>
                <w:b/>
                <w:i w:val="0"/>
                <w:color w:val="FFFFFF"/>
                <w:sz w:val="15"/>
              </w:rPr>
              <w:t>Sources majeures de variation</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Volume télédiastolique</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Cavité, phase, couverture et convention de contour</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Choix de phase, base, trabéculations, volume partiel</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Volume télésystolique</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Même chaîne à la phase minimale définie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Résolution temporelle, contour endocardique, arythmie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Volume d’éjection</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Différence entre volumes</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Propagation des deux erreurs</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Fraction d’éjection</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Rapport dérivé avec dénominateur défini</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Biais corrélés, conventions, charge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Masse</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Volume myocardique multiplié par une densité conventionnelle</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Contours endo/épicardiques, muscles papillaires, phase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Débit cardiaque dérivé</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Volume d’éjection multiplié par fréquence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Représentativité du rythme et cohérence temporelle</w:t>
            </w:r>
          </w:p>
        </w:tc>
      </w:tr>
    </w:tbl>
    <w:p>
      <w:pPr>
        <w:spacing w:after="0"/>
      </w:pPr>
    </w:p>
    <w:p>
      <w:pPr>
        <w:pStyle w:val="Heading2"/>
      </w:pPr>
      <w:r>
        <w:t>22. Analyse globale et segmentaire</w:t>
      </w:r>
    </w:p>
    <w:p>
      <w:pPr>
        <w:widowControl/>
      </w:pPr>
      <w:r>
        <w:rPr>
          <w:b w:val="0"/>
          <w:i w:val="0"/>
        </w:rPr>
        <w:t>Les mesures globales agrègent des régions et sont souvent plus robustes. Les mesures segmentaires sont plus sensibles à la localisation mais aussi au volume partiel, à l’orientation, au suivi et aux erreurs de contour. La segmentation anatomique standardise la communication ; elle ne garantit pas une correspondance parfaite entre segments, territoires biologiques et architecture fibreuse.</w:t>
      </w:r>
    </w:p>
    <w:p>
      <w:pPr>
        <w:widowControl/>
      </w:pPr>
      <w:r>
        <w:rPr>
          <w:b w:val="0"/>
          <w:i w:val="0"/>
        </w:rPr>
        <w:t>Une comparaison longitudinale doit conserver les conventions, la couverture et l’étape du cycle. Un changement de méthode de contour peut produire une variation supérieure au changement biologique recherché [R02, R17].</w:t>
      </w:r>
    </w:p>
    <w:p>
      <w:pPr>
        <w:pStyle w:val="Heading2"/>
      </w:pPr>
      <w:r>
        <w:t>23. Morphologie et sang noir</w:t>
      </w:r>
    </w:p>
    <w:p>
      <w:pPr>
        <w:widowControl/>
      </w:pPr>
      <w:r>
        <w:rPr>
          <w:b w:val="0"/>
          <w:i w:val="0"/>
        </w:rPr>
        <w:t>Les images morphologiques peuvent décrire épaisseur, relation spatiale, cavités, péricarde, gros vaisseaux et masses. Le contraste doit être interprété selon la pondération et la suppression de flux. L’épaisseur myocardique dépend du plan et de la phase ; une coupe oblique peut surestimer une paroi.</w:t>
      </w:r>
    </w:p>
    <w:p>
      <w:pPr>
        <w:widowControl/>
      </w:pPr>
      <w:r>
        <w:rPr>
          <w:b/>
          <w:i w:val="0"/>
        </w:rPr>
        <w:t>Refus d’interprétation morphologique quantitative</w:t>
      </w:r>
      <w:r>
        <w:rPr>
          <w:b w:val="0"/>
          <w:i w:val="0"/>
        </w:rPr>
        <w:t xml:space="preserve"> si la structure est tronquée, si la phase n’est pas définie, si le plan n’est pas comparable, si les bords sont masqués par mouvement ou si la suppression de sang crée un pseudo-épaississement.</w:t>
      </w:r>
    </w:p>
    <w:p>
      <w:r>
        <w:br w:type="page"/>
      </w:r>
    </w:p>
    <w:p>
      <w:pPr>
        <w:pStyle w:val="Heading1"/>
        <w:pBdr>
          <w:bottom w:val="single" w:sz="12" w:space="7" w:color="22A6B3"/>
        </w:pBdr>
      </w:pPr>
      <w:r>
        <w:t>PARTIE VI — DÉFORMATION MYOCARDIQUE</w:t>
      </w:r>
    </w:p>
    <w:p>
      <w:pPr>
        <w:pStyle w:val="Heading2"/>
      </w:pPr>
      <w:r>
        <w:t>24. Construits mécaniques</w:t>
      </w:r>
    </w:p>
    <w:p>
      <w:pPr>
        <w:widowControl/>
      </w:pPr>
      <w:r>
        <w:rPr>
          <w:b w:val="0"/>
          <w:i w:val="0"/>
        </w:rPr>
        <w:t>Le déplacement décrit un changement de position. La déformation décrit un changement relatif de longueur ou de forme. Le strain dépend d’un état de référence, d’une direction et d’une convention de signe. Le strain rate ajoute une dérivée temporelle, plus sensible au bruit.</w:t>
      </w:r>
    </w:p>
    <w:p>
      <w:pPr>
        <w:widowControl/>
      </w:pPr>
      <w:r>
        <w:rPr>
          <w:b w:val="0"/>
          <w:i w:val="0"/>
        </w:rPr>
        <w:t>Les directions longitudinale, circonférentielle et radiale sont définies dans un repère cardiaque qui varie dans l’espace. Les valeurs 2D peuvent confondre mouvement hors plan et déformation. Les mesures globales, segmentaires, pic systolique, fin-systole et courbes temporelles sont des mesurandes distincts.</w:t>
      </w:r>
    </w:p>
    <w:p>
      <w:pPr>
        <w:pStyle w:val="Heading2"/>
      </w:pPr>
      <w:r>
        <w:t>25. Tagging</w:t>
      </w:r>
    </w:p>
    <w:p>
      <w:pPr>
        <w:widowControl/>
      </w:pPr>
      <w:r>
        <w:rPr>
          <w:b w:val="0"/>
          <w:i w:val="0"/>
        </w:rPr>
        <w:t>Le tagging crée un motif d’aimantation qui se déforme avec le myocarde. Il mesure le mouvement du motif, sous réserve de fading, de résolution et d’un modèle de suivi. Sa force conceptuelle est d’encoder le mouvement lors de l’acquisition ; sa limite est la complexité d’analyse et la perte progressive du contraste des tags.</w:t>
      </w:r>
    </w:p>
    <w:p>
      <w:pPr>
        <w:pStyle w:val="Heading2"/>
      </w:pPr>
      <w:r>
        <w:t>26. Feature Tracking</w:t>
      </w:r>
    </w:p>
    <w:p>
      <w:pPr>
        <w:widowControl/>
      </w:pPr>
      <w:r>
        <w:rPr>
          <w:b w:val="0"/>
          <w:i w:val="0"/>
        </w:rPr>
        <w:t>Le feature tracking suit des structures ou textures sur des cinés usuelles. Il évite une acquisition dédiée, mais dépend du contraste, de la résolution temporelle et spatiale, du contour initial, de l’algorithme et de la régularisation. Des logiciels différents peuvent produire des valeurs non interchangeables, même avec une bonne répétabilité intra-logiciel [R32, R33, R36, R37].</w:t>
      </w:r>
    </w:p>
    <w:p>
      <w:pPr>
        <w:pStyle w:val="Heading2"/>
      </w:pPr>
      <w:r>
        <w:t>27. DENSE et SENC</w:t>
      </w:r>
    </w:p>
    <w:p>
      <w:pPr>
        <w:widowControl/>
      </w:pPr>
      <w:r>
        <w:rPr>
          <w:b w:val="0"/>
          <w:i w:val="0"/>
        </w:rPr>
        <w:t>DENSE encode le déplacement dans la phase ; SENC encode la déformation à travers une modulation de fréquence spatiale. Ces techniques fournissent des informations dédiées mais ont leurs propres modèles, artefacts, résolutions et étapes d’analyse. Elles ne sont pas des références absolues universelles pour le feature tracking [R34, R35].</w:t>
      </w:r>
    </w:p>
    <w:p>
      <w:pPr>
        <w:pStyle w:val="Heading2"/>
      </w:pPr>
      <w:r>
        <w:t>28. Règles de comparabilité du strain</w:t>
      </w:r>
    </w:p>
    <w:p>
      <w:pPr>
        <w:pStyle w:val="ListBullet"/>
      </w:pPr>
      <w:r>
        <w:rPr>
          <w:b w:val="0"/>
          <w:i w:val="0"/>
        </w:rPr>
        <w:t>ne pas mélanger technique d’acquisition et algorithme d’analyse ;</w:t>
      </w:r>
    </w:p>
    <w:p>
      <w:pPr>
        <w:pStyle w:val="ListBullet"/>
      </w:pPr>
      <w:r>
        <w:rPr>
          <w:b w:val="0"/>
          <w:i w:val="0"/>
        </w:rPr>
        <w:t>déclarer repère, direction, couche, phase de référence et définition du pic ;</w:t>
      </w:r>
    </w:p>
    <w:p>
      <w:pPr>
        <w:pStyle w:val="ListBullet"/>
      </w:pPr>
      <w:r>
        <w:rPr>
          <w:b w:val="0"/>
          <w:i w:val="0"/>
        </w:rPr>
        <w:t>distinguer strain global et segmentaire ;</w:t>
      </w:r>
    </w:p>
    <w:p>
      <w:pPr>
        <w:pStyle w:val="ListBullet"/>
      </w:pPr>
      <w:r>
        <w:rPr>
          <w:b w:val="0"/>
          <w:i w:val="0"/>
        </w:rPr>
        <w:t>ne pas considérer deux logiciels comme interchangeables sans étude d’accord ;</w:t>
      </w:r>
    </w:p>
    <w:p>
      <w:pPr>
        <w:pStyle w:val="ListBullet"/>
      </w:pPr>
      <w:r>
        <w:rPr>
          <w:b w:val="0"/>
          <w:i w:val="0"/>
        </w:rPr>
        <w:t>ne pas interpréter une différence inférieure à l’erreur de mesure comme un changement biologique ;</w:t>
      </w:r>
    </w:p>
    <w:p>
      <w:pPr>
        <w:pStyle w:val="ListBullet"/>
      </w:pPr>
      <w:r>
        <w:rPr>
          <w:b w:val="0"/>
          <w:i w:val="0"/>
        </w:rPr>
        <w:t>ne pas convertir un intervalle de référence en seuil pathologique universel ;</w:t>
      </w:r>
    </w:p>
    <w:p>
      <w:pPr>
        <w:pStyle w:val="ListBullet"/>
      </w:pPr>
      <w:r>
        <w:rPr>
          <w:b w:val="0"/>
          <w:i w:val="0"/>
        </w:rPr>
        <w:t>traiter le mouvement hors plan et la qualité du contour comme des sources d’incertitude.</w:t>
      </w:r>
    </w:p>
    <w:p>
      <w:pPr>
        <w:spacing w:before="120" w:after="180" w:line="259" w:lineRule="auto"/>
        <w:ind w:left="173" w:right="86"/>
        <w:shd w:fill="E5F5F7"/>
        <w:pBdr>
          <w:left w:val="single" w:sz="24" w:space="9" w:color="22A6B3"/>
        </w:pBdr>
      </w:pPr>
      <w:r>
        <w:rPr>
          <w:b/>
          <w:i w:val="0"/>
          <w:color w:val="12344D"/>
          <w:sz w:val="18"/>
        </w:rPr>
        <w:t>Décision CMR-D01 — Strain.</w:t>
      </w:r>
      <w:r>
        <w:rPr>
          <w:b w:val="0"/>
          <w:i w:val="0"/>
          <w:color w:val="12344D"/>
          <w:sz w:val="18"/>
        </w:rPr>
        <w:t xml:space="preserve"> Toute valeur de strain est inséparable de sa technique, de son algorithme, de sa convention et de son contrôle qualité. Le mot « strain » sans ces attributs est insuffisant pour soutenir une comparaison.</w:t>
      </w:r>
    </w:p>
    <w:p>
      <w:r>
        <w:br w:type="page"/>
      </w:r>
    </w:p>
    <w:p>
      <w:pPr>
        <w:pStyle w:val="Heading1"/>
        <w:pBdr>
          <w:bottom w:val="single" w:sz="12" w:space="7" w:color="22A6B3"/>
        </w:pBdr>
      </w:pPr>
      <w:r>
        <w:t>PARTIE VII — PERFUSION ET REHAUSSEMENT TARDIF</w:t>
      </w:r>
    </w:p>
    <w:p>
      <w:pPr>
        <w:pStyle w:val="Heading2"/>
      </w:pPr>
      <w:r>
        <w:t>29. Perfusion de premier passage</w:t>
      </w:r>
    </w:p>
    <w:p>
      <w:pPr>
        <w:widowControl/>
      </w:pPr>
      <w:r>
        <w:rPr>
          <w:b w:val="0"/>
          <w:i w:val="0"/>
        </w:rPr>
        <w:t>La perfusion de premier passage observe la dynamique d’un traceur dans le sang et le myocarde. Le signal dépend de la délivrance, de la saturation, de la relation signal-concentration, de la fonction d’entrée artérielle, du mouvement, de la résolution et de la reconstruction. Une zone de signal différent n’est pas automatiquement une mesure absolue de débit.</w:t>
      </w:r>
    </w:p>
    <w:p>
      <w:pPr>
        <w:pStyle w:val="Heading3"/>
      </w:pPr>
      <w:r>
        <w:t>29.1 Trois niveaux d’analyse</w:t>
      </w:r>
    </w:p>
    <w:p>
      <w:pPr>
        <w:widowControl/>
      </w:pPr>
      <w:r>
        <w:rPr>
          <w:b/>
          <w:i w:val="0"/>
        </w:rPr>
        <w:t>Visuel.</w:t>
      </w:r>
      <w:r>
        <w:rPr>
          <w:b w:val="0"/>
          <w:i w:val="0"/>
        </w:rPr>
        <w:t xml:space="preserve"> Décrit un défaut relatif dans une dynamique. Il dépend du contraste, de l’expérience et des artefacts.</w:t>
      </w:r>
    </w:p>
    <w:p>
      <w:pPr>
        <w:widowControl/>
      </w:pPr>
      <w:r>
        <w:rPr>
          <w:b/>
          <w:i w:val="0"/>
        </w:rPr>
        <w:t>Semi-quantitatif.</w:t>
      </w:r>
      <w:r>
        <w:rPr>
          <w:b w:val="0"/>
          <w:i w:val="0"/>
        </w:rPr>
        <w:t xml:space="preserve"> Utilise pente, aire ou délai de courbes. Ces indices ne sont pas des débits absolus et dépendent fortement de l’acquisition.</w:t>
      </w:r>
    </w:p>
    <w:p>
      <w:pPr>
        <w:widowControl/>
      </w:pPr>
      <w:r>
        <w:rPr>
          <w:b/>
          <w:i w:val="0"/>
        </w:rPr>
        <w:t>Quantitatif.</w:t>
      </w:r>
      <w:r>
        <w:rPr>
          <w:b w:val="0"/>
          <w:i w:val="0"/>
        </w:rPr>
        <w:t xml:space="preserve"> Estime un flux ou une réserve à partir d’un modèle et d’une fonction d’entrée. Le modèle, la correction de saturation, la segmentation, les unités et l’incertitude doivent être déclarés [R22].</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900"/>
        <w:gridCol w:w="3000"/>
        <w:gridCol w:w="4460"/>
      </w:tblGrid>
      <w:tr>
        <w:trPr>
          <w:cantSplit/>
          <w:tblHeader w:val="true"/>
        </w:trPr>
        <w:tc>
          <w:tcPr>
            <w:tcW w:type="dxa" w:w="1900"/>
            <w:vAlign w:val="center"/>
            <w:tcMar>
              <w:top w:w="82" w:type="dxa"/>
              <w:start w:w="95" w:type="dxa"/>
              <w:bottom w:w="82" w:type="dxa"/>
              <w:end w:w="95" w:type="dxa"/>
            </w:tcMar>
            <w:shd w:fill="12344D"/>
          </w:tcPr>
          <w:p>
            <w:pPr>
              <w:spacing w:after="0" w:line="235" w:lineRule="auto"/>
              <w:jc w:val="left"/>
            </w:pPr>
            <w:r>
              <w:rPr>
                <w:b/>
                <w:i w:val="0"/>
                <w:color w:val="FFFFFF"/>
                <w:sz w:val="15"/>
              </w:rPr>
              <w:t>Élément</w:t>
            </w:r>
          </w:p>
        </w:tc>
        <w:tc>
          <w:tcPr>
            <w:tcW w:type="dxa" w:w="3000"/>
            <w:vAlign w:val="center"/>
            <w:tcMar>
              <w:top w:w="82" w:type="dxa"/>
              <w:start w:w="95" w:type="dxa"/>
              <w:bottom w:w="82" w:type="dxa"/>
              <w:end w:w="95" w:type="dxa"/>
            </w:tcMar>
            <w:shd w:fill="12344D"/>
          </w:tcPr>
          <w:p>
            <w:pPr>
              <w:spacing w:after="0" w:line="235" w:lineRule="auto"/>
              <w:jc w:val="left"/>
            </w:pPr>
            <w:r>
              <w:rPr>
                <w:b/>
                <w:i w:val="0"/>
                <w:color w:val="FFFFFF"/>
                <w:sz w:val="15"/>
              </w:rPr>
              <w:t>Question de validité</w:t>
            </w:r>
          </w:p>
        </w:tc>
        <w:tc>
          <w:tcPr>
            <w:tcW w:type="dxa" w:w="4460"/>
            <w:vAlign w:val="center"/>
            <w:tcMar>
              <w:top w:w="82" w:type="dxa"/>
              <w:start w:w="95" w:type="dxa"/>
              <w:bottom w:w="82" w:type="dxa"/>
              <w:end w:w="95" w:type="dxa"/>
            </w:tcMar>
            <w:shd w:fill="12344D"/>
          </w:tcPr>
          <w:p>
            <w:pPr>
              <w:spacing w:after="0" w:line="235" w:lineRule="auto"/>
              <w:jc w:val="left"/>
            </w:pPr>
            <w:r>
              <w:rPr>
                <w:b/>
                <w:i w:val="0"/>
                <w:color w:val="FFFFFF"/>
                <w:sz w:val="15"/>
              </w:rPr>
              <w:t>Échec typique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Fonction d’entrée</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Le signal sanguin reste-t-il relié à la concentration ?</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Saturation ou volume partiel</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Courbe myocardique</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Le voxel suit-il le même tissu ?</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Mouvement, contamination sanguine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Modèle</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Les hypothèses décrivent-elles la physiologie et l’échantillonnage ?</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Identifiabilité faible, régularisation dominante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Stress ou condition</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La condition physiologique est-elle documentée ?</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Réponse non vérifiée ou variable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Reconstruction</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Préserve-t-elle amplitudes et dynamique ?</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Lissage temporel, biais de modèle</w:t>
            </w:r>
          </w:p>
        </w:tc>
      </w:tr>
    </w:tbl>
    <w:p>
      <w:pPr>
        <w:spacing w:after="0"/>
      </w:pPr>
    </w:p>
    <w:p>
      <w:pPr>
        <w:pStyle w:val="Heading2"/>
      </w:pPr>
      <w:r>
        <w:t>30. LGE — rehaussement tardif</w:t>
      </w:r>
    </w:p>
    <w:p>
      <w:pPr>
        <w:widowControl/>
      </w:pPr>
      <w:r>
        <w:rPr>
          <w:b w:val="0"/>
          <w:i w:val="0"/>
        </w:rPr>
        <w:t>Le LGE est un contraste relatif obtenu après distribution d’un agent extracellulaire, avec préparation visant à supprimer un tissu de référence. L’hyperintensité reflète une différence de distribution et de cinétique du contraste associée à une expansion de l’espace accessible ou à un lavage différent. Elle ne mesure pas directement une concentration histologique ni un mécanisme unique [R21, R23].</w:t>
      </w:r>
    </w:p>
    <w:p>
      <w:pPr>
        <w:widowControl/>
      </w:pPr>
      <w:r>
        <w:rPr>
          <w:b w:val="0"/>
          <w:i w:val="0"/>
        </w:rPr>
        <w:t>La détectabilité dépend du contraste entre tissu affecté et référence, de la préparation, de la dose et du délai, de l’hématocrite, du mouvement, de la résolution et de la méthode d’annulation. Les processus diffus peuvent réduire le contraste relatif et être sous-détectés.</w:t>
      </w:r>
    </w:p>
    <w:p>
      <w:pPr>
        <w:pStyle w:val="Heading3"/>
      </w:pPr>
      <w:r>
        <w:t>30.1 Quantification du LGE</w:t>
      </w:r>
    </w:p>
    <w:p>
      <w:pPr>
        <w:widowControl/>
      </w:pPr>
      <w:r>
        <w:rPr>
          <w:b w:val="0"/>
          <w:i w:val="0"/>
        </w:rPr>
        <w:t>Les méthodes par seuil relatif, déviation standard, largeur à mi-hauteur ou segmentation manuelle ne sont pas interchangeables. Leur performance varie avec le motif, le bruit et le tissu de référence. Une masse ou un pourcentage de LGE doit conserver la méthode, les exclusions, la qualité et l’incertitude.</w:t>
      </w:r>
    </w:p>
    <w:p>
      <w:pPr>
        <w:pStyle w:val="Heading3"/>
      </w:pPr>
      <w:r>
        <w:t>30.2 Formulations autorisées</w:t>
      </w:r>
    </w:p>
    <w:p>
      <w:pPr>
        <w:pStyle w:val="ListBullet"/>
      </w:pPr>
      <w:r>
        <w:rPr>
          <w:b w:val="0"/>
          <w:i w:val="0"/>
        </w:rPr>
        <w:t>« région de rehaussement tardif selon la méthode déclarée » ;</w:t>
      </w:r>
    </w:p>
    <w:p>
      <w:pPr>
        <w:pStyle w:val="ListBullet"/>
      </w:pPr>
      <w:r>
        <w:rPr>
          <w:b w:val="0"/>
          <w:i w:val="0"/>
        </w:rPr>
        <w:t>« signal relatif compatible avec une expansion locale de l’espace de distribution » ;</w:t>
      </w:r>
    </w:p>
    <w:p>
      <w:pPr>
        <w:pStyle w:val="ListBullet"/>
      </w:pPr>
      <w:r>
        <w:rPr>
          <w:b w:val="0"/>
          <w:i w:val="0"/>
        </w:rPr>
        <w:t>« étendue mesurée sous telle convention ».</w:t>
      </w:r>
    </w:p>
    <w:p>
      <w:pPr>
        <w:pStyle w:val="Heading3"/>
      </w:pPr>
      <w:r>
        <w:t>30.3 Formulations refusées sans validation supplémentaire</w:t>
      </w:r>
    </w:p>
    <w:p>
      <w:pPr>
        <w:pStyle w:val="ListBullet"/>
      </w:pPr>
      <w:r>
        <w:rPr>
          <w:b w:val="0"/>
          <w:i w:val="0"/>
        </w:rPr>
        <w:t>« quantité exacte de fibrose » ;</w:t>
      </w:r>
    </w:p>
    <w:p>
      <w:pPr>
        <w:pStyle w:val="ListBullet"/>
      </w:pPr>
      <w:r>
        <w:rPr>
          <w:b w:val="0"/>
          <w:i w:val="0"/>
        </w:rPr>
        <w:t>« activité biologique actuelle » ;</w:t>
      </w:r>
    </w:p>
    <w:p>
      <w:pPr>
        <w:pStyle w:val="ListBullet"/>
      </w:pPr>
      <w:r>
        <w:rPr>
          <w:b w:val="0"/>
          <w:i w:val="0"/>
        </w:rPr>
        <w:t>« tissu irréversible » dans tout contexte ;</w:t>
      </w:r>
    </w:p>
    <w:p>
      <w:pPr>
        <w:pStyle w:val="ListBullet"/>
      </w:pPr>
      <w:r>
        <w:rPr>
          <w:b w:val="0"/>
          <w:i w:val="0"/>
        </w:rPr>
        <w:t>« absence de maladie » lorsque le LGE est absent.</w:t>
      </w:r>
    </w:p>
    <w:p>
      <w:pPr>
        <w:spacing w:before="120" w:after="180" w:line="259" w:lineRule="auto"/>
        <w:ind w:left="173" w:right="86"/>
        <w:shd w:fill="E5F5F7"/>
        <w:pBdr>
          <w:left w:val="single" w:sz="24" w:space="9" w:color="22A6B3"/>
        </w:pBdr>
      </w:pPr>
      <w:r>
        <w:rPr>
          <w:b/>
          <w:i w:val="0"/>
          <w:color w:val="12344D"/>
          <w:sz w:val="18"/>
        </w:rPr>
        <w:t>Décision CMR-D02 — LGE.</w:t>
      </w:r>
      <w:r>
        <w:rPr>
          <w:b w:val="0"/>
          <w:i w:val="0"/>
          <w:color w:val="12344D"/>
          <w:sz w:val="18"/>
        </w:rPr>
        <w:t xml:space="preserve"> Le LGE est un observable relatif et contextuel. Il ne doit pas être renommé automatiquement « fibrose », « cicatrice » ou « activité » sans chaîne de justification adaptée au construit étudié.</w:t>
      </w:r>
    </w:p>
    <w:p>
      <w:r>
        <w:br w:type="page"/>
      </w:r>
    </w:p>
    <w:p>
      <w:pPr>
        <w:pStyle w:val="Heading1"/>
        <w:pBdr>
          <w:bottom w:val="single" w:sz="12" w:space="7" w:color="22A6B3"/>
        </w:pBdr>
      </w:pPr>
      <w:r>
        <w:t>PARTIE VIII — MAPPING T1, T2, ECV ET T2*</w:t>
      </w:r>
    </w:p>
    <w:p>
      <w:pPr>
        <w:pStyle w:val="Heading2"/>
      </w:pPr>
      <w:r>
        <w:t>31. Le mapping comme estimation de modèle</w:t>
      </w:r>
    </w:p>
    <w:p>
      <w:pPr>
        <w:widowControl/>
      </w:pPr>
      <w:r>
        <w:rPr>
          <w:b w:val="0"/>
          <w:i w:val="0"/>
        </w:rPr>
        <w:t>Un parametric map attribue à chaque pixel un paramètre ajusté à partir de plusieurs images ou états. La carte peut masquer un mauvais ajustement. Le résultat quantitatif exige au minimum : méthode de préparation, readout, champ, rythme, reconstruction, modèle, correction de mouvement, région d’intérêt, règle d’exclusion et contrôle qualité [R07, R08, R43].</w:t>
      </w:r>
    </w:p>
    <w:p>
      <w:pPr>
        <w:widowControl/>
      </w:pPr>
      <w:r>
        <w:rPr>
          <w:b/>
          <w:i w:val="0"/>
        </w:rPr>
        <w:t>Précision pixel-à-pixel</w:t>
      </w:r>
      <w:r>
        <w:rPr>
          <w:b w:val="0"/>
          <w:i w:val="0"/>
        </w:rPr>
        <w:t xml:space="preserve"> et </w:t>
      </w:r>
      <w:r>
        <w:rPr>
          <w:b/>
          <w:i w:val="0"/>
        </w:rPr>
        <w:t>exactitude du paramètre</w:t>
      </w:r>
      <w:r>
        <w:rPr>
          <w:b w:val="0"/>
          <w:i w:val="0"/>
        </w:rPr>
        <w:t xml:space="preserve"> sont distinctes. Une carte lisse peut être biaisée ; une carte bruitée peut être non biaisée en moyenne. L’intervalle de confiance du fit n’intègre pas nécessairement les biais systématiques.</w:t>
      </w:r>
    </w:p>
    <w:p>
      <w:pPr>
        <w:pStyle w:val="Heading2"/>
      </w:pPr>
      <w:r>
        <w:t>32. T1 natif</w:t>
      </w:r>
    </w:p>
    <w:p>
      <w:pPr>
        <w:widowControl/>
      </w:pPr>
      <w:r>
        <w:rPr>
          <w:b w:val="0"/>
          <w:i w:val="0"/>
        </w:rPr>
        <w:t>Le T1 natif est sensible à de multiples composantes : eau intra- et extracellulaire, macromolécules, sang, graisse, susceptibilité, champ et état physiologique. Cette sensibilité lui donne une utilité potentielle mais limite sa spécificité.</w:t>
      </w:r>
    </w:p>
    <w:p>
      <w:pPr>
        <w:widowControl/>
      </w:pPr>
      <w:r>
        <w:rPr>
          <w:b w:val="0"/>
          <w:i w:val="0"/>
        </w:rPr>
        <w:t>Les valeurs varient selon le champ, la séquence, le readout, le rythme, la température pour les phantoms, le sexe, l’âge ou la population selon les études, et la région analysée [R11–R15]. Toute référence doit être rattachée à sa méthode et à sa population.</w:t>
      </w:r>
    </w:p>
    <w:p>
      <w:pPr>
        <w:pStyle w:val="Heading2"/>
      </w:pPr>
      <w:r>
        <w:t>33. T2 mapping</w:t>
      </w:r>
    </w:p>
    <w:p>
      <w:pPr>
        <w:widowControl/>
      </w:pPr>
      <w:r>
        <w:rPr>
          <w:b w:val="0"/>
          <w:i w:val="0"/>
        </w:rPr>
        <w:t>Le T2 mapping cherche à estimer une décroissance transverse à partir de préparations ou échos différents. Les biais incluent sensibilité T1 résiduelle, B0/B1, mouvement inter-image, choix du modèle, contamination sanguine et effet de la fréquence cardiaque.</w:t>
      </w:r>
    </w:p>
    <w:p>
      <w:pPr>
        <w:widowControl/>
      </w:pPr>
      <w:r>
        <w:rPr>
          <w:b w:val="0"/>
          <w:i w:val="0"/>
        </w:rPr>
        <w:t>Les phantoms permettent de surveiller stabilité et dérive, mais ne reproduisent pas transfert d’aimantation, perfusion, mouvement, susceptibilité ni structure du myocarde. Une bonne performance phantom est nécessaire à certaines validations, jamais suffisante à elle seule [R10].</w:t>
      </w:r>
    </w:p>
    <w:p>
      <w:pPr>
        <w:pStyle w:val="Heading2"/>
      </w:pPr>
      <w:r>
        <w:t>34. ECV</w:t>
      </w:r>
    </w:p>
    <w:p>
      <w:pPr>
        <w:widowControl/>
      </w:pPr>
      <w:r>
        <w:rPr>
          <w:b w:val="0"/>
          <w:i w:val="0"/>
        </w:rPr>
        <w:t>L’ECV est un estimateur dérivé de la variation de R1, où R1 = 1/T1, dans le myocarde et le sang avant et après contraste, combinée à l’hématocrite. Conceptuellement :</w:t>
      </w:r>
    </w:p>
    <w:p>
      <w:pPr>
        <w:widowControl/>
      </w:pPr>
      <w:r>
        <w:rPr>
          <w:b/>
          <w:i w:val="0"/>
        </w:rPr>
        <w:t>ECV = (1 − hématocrite) × ΔR1 myocardique / ΔR1 sanguin.</w:t>
      </w:r>
    </w:p>
    <w:p>
      <w:pPr>
        <w:widowControl/>
      </w:pPr>
      <w:r>
        <w:rPr>
          <w:b w:val="0"/>
          <w:i w:val="0"/>
        </w:rPr>
        <w:t>Cette relation suppose une distribution du traceur dans l’espace extracellulaire accessible et un état suffisamment compatible avec le modèle. L’ECV dépend de quatre mesures T1, de leur enregistrement spatial, de l’hématocrite et de la cinétique. Les erreurs corrélées peuvent s’annuler ou s’amplifier [R08, R09, R43].</w:t>
      </w:r>
    </w:p>
    <w:p>
      <w:pPr>
        <w:widowControl/>
      </w:pPr>
      <w:r>
        <w:rPr>
          <w:b w:val="0"/>
          <w:i w:val="0"/>
        </w:rPr>
        <w:t>L’ECV n’est pas une fraction de collagène. Il peut refléter plusieurs composantes extracellulaires ou variations de volume plasmatique. Le terme « synthétique » pour un hématocrite estimé par signal sanguin désigne une substitution modélisée, pas une mesure biologique directe ; sa transportabilité doit être validée.</w:t>
      </w:r>
    </w:p>
    <w:p>
      <w:pPr>
        <w:pStyle w:val="Heading2"/>
      </w:pPr>
      <w:r>
        <w:t>35. T2*</w:t>
      </w:r>
    </w:p>
    <w:p>
      <w:pPr>
        <w:widowControl/>
      </w:pPr>
      <w:r>
        <w:rPr>
          <w:b w:val="0"/>
          <w:i w:val="0"/>
        </w:rPr>
        <w:t>T2* est estimé par une courbe de décroissance multi-écho. Le résultat dépend des temps d’écho disponibles, du modèle mono- ou multi-composant, du traitement du plancher de bruit, du mouvement, de la susceptibilité et de la région d’intérêt. Les modèles avec troncature, correction du bruit ou ajustement complexe peuvent différer [R24].</w:t>
      </w:r>
    </w:p>
    <w:p>
      <w:pPr>
        <w:widowControl/>
      </w:pPr>
      <w:r>
        <w:rPr>
          <w:b w:val="0"/>
          <w:i w:val="0"/>
        </w:rPr>
        <w:t>Une valeur T2* n’est pas interprétable sans site anatomique, champ, séquence, méthode de fit et qualité. Les seuils établis pour un contexte ne doivent pas être transposés à un autre tissu ou à une autre question.</w:t>
      </w:r>
    </w:p>
    <w:p>
      <w:pPr>
        <w:pStyle w:val="Heading2"/>
      </w:pPr>
      <w:r>
        <w:t>36. Contrôle qualité du mapping</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900"/>
        <w:gridCol w:w="3000"/>
        <w:gridCol w:w="4460"/>
      </w:tblGrid>
      <w:tr>
        <w:trPr>
          <w:cantSplit/>
          <w:tblHeader w:val="true"/>
        </w:trPr>
        <w:tc>
          <w:tcPr>
            <w:tcW w:type="dxa" w:w="1900"/>
            <w:vAlign w:val="center"/>
            <w:tcMar>
              <w:top w:w="82" w:type="dxa"/>
              <w:start w:w="95" w:type="dxa"/>
              <w:bottom w:w="82" w:type="dxa"/>
              <w:end w:w="95" w:type="dxa"/>
            </w:tcMar>
            <w:shd w:fill="12344D"/>
          </w:tcPr>
          <w:p>
            <w:pPr>
              <w:spacing w:after="0" w:line="235" w:lineRule="auto"/>
              <w:jc w:val="left"/>
            </w:pPr>
            <w:r>
              <w:rPr>
                <w:b/>
                <w:i w:val="0"/>
                <w:color w:val="FFFFFF"/>
                <w:sz w:val="15"/>
              </w:rPr>
              <w:t>Domaine</w:t>
            </w:r>
          </w:p>
        </w:tc>
        <w:tc>
          <w:tcPr>
            <w:tcW w:type="dxa" w:w="3000"/>
            <w:vAlign w:val="center"/>
            <w:tcMar>
              <w:top w:w="82" w:type="dxa"/>
              <w:start w:w="95" w:type="dxa"/>
              <w:bottom w:w="82" w:type="dxa"/>
              <w:end w:w="95" w:type="dxa"/>
            </w:tcMar>
            <w:shd w:fill="12344D"/>
          </w:tcPr>
          <w:p>
            <w:pPr>
              <w:spacing w:after="0" w:line="235" w:lineRule="auto"/>
              <w:jc w:val="left"/>
            </w:pPr>
            <w:r>
              <w:rPr>
                <w:b/>
                <w:i w:val="0"/>
                <w:color w:val="FFFFFF"/>
                <w:sz w:val="15"/>
              </w:rPr>
              <w:t>Contrôle minimal</w:t>
            </w:r>
          </w:p>
        </w:tc>
        <w:tc>
          <w:tcPr>
            <w:tcW w:type="dxa" w:w="4460"/>
            <w:vAlign w:val="center"/>
            <w:tcMar>
              <w:top w:w="82" w:type="dxa"/>
              <w:start w:w="95" w:type="dxa"/>
              <w:bottom w:w="82" w:type="dxa"/>
              <w:end w:w="95" w:type="dxa"/>
            </w:tcMar>
            <w:shd w:fill="12344D"/>
          </w:tcPr>
          <w:p>
            <w:pPr>
              <w:spacing w:after="0" w:line="235" w:lineRule="auto"/>
              <w:jc w:val="left"/>
            </w:pPr>
            <w:r>
              <w:rPr>
                <w:b/>
                <w:i w:val="0"/>
                <w:color w:val="FFFFFF"/>
                <w:sz w:val="15"/>
              </w:rPr>
              <w:t>Motif de refus</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Données sources</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Toutes les images nécessaires présentes et ordonnées</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État manquant ou mauvais ordre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Mouvement</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Alignement plausible du myocarde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Mélange de tissus ou déformation non plausible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Fit</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Résidus et stabilité examinables</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Fit non identifiable ou résidus structurés majeurs</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Région d’intérêt</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Érosion et exclusions documentées</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Contamination sang/graisse dominante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Contexte</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Champ, méthode, rythme, contraste, hématocrite si ECV</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Métadonnée critique absente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Référence</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Intervalle compatible avec la méthode et population</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Référence importée sans validation</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Longitudinal</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Même chaîne ou étude de pont</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Changement de méthode non quantifié</w:t>
            </w:r>
          </w:p>
        </w:tc>
      </w:tr>
    </w:tbl>
    <w:p>
      <w:pPr>
        <w:spacing w:after="0"/>
      </w:pPr>
    </w:p>
    <w:p>
      <w:pPr>
        <w:spacing w:before="120" w:after="180" w:line="259" w:lineRule="auto"/>
        <w:ind w:left="173" w:right="86"/>
        <w:shd w:fill="E5F5F7"/>
        <w:pBdr>
          <w:left w:val="single" w:sz="24" w:space="9" w:color="22A6B3"/>
        </w:pBdr>
      </w:pPr>
      <w:r>
        <w:rPr>
          <w:b/>
          <w:i w:val="0"/>
          <w:color w:val="12344D"/>
          <w:sz w:val="18"/>
        </w:rPr>
        <w:t>Décision CMR-D03 — Mapping.</w:t>
      </w:r>
      <w:r>
        <w:rPr>
          <w:b w:val="0"/>
          <w:i w:val="0"/>
          <w:color w:val="12344D"/>
          <w:sz w:val="18"/>
        </w:rPr>
        <w:t xml:space="preserve"> Le résultat publiable n’est pas un nombre isolé mais un tuple : valeur, unité, région, méthode, contexte physiologique, qualité et incertitude.</w:t>
      </w:r>
    </w:p>
    <w:p>
      <w:r>
        <w:br w:type="page"/>
      </w:r>
    </w:p>
    <w:p>
      <w:pPr>
        <w:pStyle w:val="Heading1"/>
        <w:pBdr>
          <w:bottom w:val="single" w:sz="12" w:space="7" w:color="22A6B3"/>
        </w:pBdr>
      </w:pPr>
      <w:r>
        <w:t>PARTIE IX — FLUX, 4D FLOW ET DIFFUSION</w:t>
      </w:r>
    </w:p>
    <w:p>
      <w:pPr>
        <w:pStyle w:val="Heading2"/>
      </w:pPr>
      <w:r>
        <w:t>37. Contraste de phase 2D</w:t>
      </w:r>
    </w:p>
    <w:p>
      <w:pPr>
        <w:widowControl/>
      </w:pPr>
      <w:r>
        <w:rPr>
          <w:b w:val="0"/>
          <w:i w:val="0"/>
        </w:rPr>
        <w:t>Le contraste de phase encode la vitesse dans la phase du signal. L’intégration de la vitesse sur une section produit un débit instantané puis un volume par cycle, sous réserve que le plan, la segmentation, la synchronisation et la correction de phase soient valides [R25].</w:t>
      </w:r>
    </w:p>
    <w:p>
      <w:pPr>
        <w:widowControl/>
      </w:pPr>
      <w:r>
        <w:rPr>
          <w:b w:val="0"/>
          <w:i w:val="0"/>
        </w:rPr>
        <w:t>Les sources de biais comprennent décalage de phase de fond, courants de Foucault, effets de Maxwell, volume partiel, déphasage intravoxel, aliasing, mouvement du plan et choix de la limite vasculaire. Des erreurs de fond faibles mais systématiques peuvent devenir importantes après intégration [R26, R27].</w:t>
      </w:r>
    </w:p>
    <w:p>
      <w:pPr>
        <w:widowControl/>
      </w:pPr>
      <w:r>
        <w:rPr>
          <w:b w:val="0"/>
          <w:i w:val="0"/>
        </w:rPr>
        <w:t>Le réglage de sensibilité à la vitesse doit éviter à la fois aliasing et perte de précision. Le document ne fournit aucune valeur de réglage ; il impose seulement que la stratégie, les corrections et les échecs soient tracés.</w:t>
      </w:r>
    </w:p>
    <w:p>
      <w:pPr>
        <w:pStyle w:val="Heading2"/>
      </w:pPr>
      <w:r>
        <w:t>38. 4D Flow</w:t>
      </w:r>
    </w:p>
    <w:p>
      <w:pPr>
        <w:widowControl/>
      </w:pPr>
      <w:r>
        <w:rPr>
          <w:b w:val="0"/>
          <w:i w:val="0"/>
        </w:rPr>
        <w:t>Le 4D Flow CMR mesure un champ de vitesses tridimensionnel résolu dans le temps sur un volume. Il permet des flux rétrospectifs et des dérivés tels que trajectoires, vorticité, énergie cinétique ou estimations de contrainte pariétale. Chaque dérivé ajoute des hypothèses de segmentation, résolution, viscosité, dérivation spatiale ou modèle [R28, R29].</w:t>
      </w:r>
    </w:p>
    <w:p>
      <w:pPr>
        <w:widowControl/>
      </w:pPr>
      <w:r>
        <w:rPr>
          <w:b w:val="0"/>
          <w:i w:val="0"/>
        </w:rPr>
        <w:t>La validation doit être hiérarchique :</w:t>
      </w:r>
    </w:p>
    <w:p>
      <w:pPr>
        <w:pStyle w:val="ListNumber"/>
        <w:numPr>
          <w:ilvl w:val="0"/>
          <w:numId w:val="12"/>
        </w:numPr>
      </w:pPr>
      <w:r>
        <w:rPr>
          <w:b w:val="0"/>
          <w:i w:val="0"/>
        </w:rPr>
        <w:t>qualité de magnitude et de phase ;</w:t>
      </w:r>
    </w:p>
    <w:p>
      <w:pPr>
        <w:pStyle w:val="ListNumber"/>
        <w:numPr>
          <w:ilvl w:val="0"/>
          <w:numId w:val="12"/>
        </w:numPr>
      </w:pPr>
      <w:r>
        <w:rPr>
          <w:b w:val="0"/>
          <w:i w:val="0"/>
        </w:rPr>
        <w:t>correction des offsets, aliasing et mouvements ;</w:t>
      </w:r>
    </w:p>
    <w:p>
      <w:pPr>
        <w:pStyle w:val="ListNumber"/>
        <w:numPr>
          <w:ilvl w:val="0"/>
          <w:numId w:val="12"/>
        </w:numPr>
      </w:pPr>
      <w:r>
        <w:rPr>
          <w:b w:val="0"/>
          <w:i w:val="0"/>
        </w:rPr>
        <w:t>cohérence interne des flux ;</w:t>
      </w:r>
    </w:p>
    <w:p>
      <w:pPr>
        <w:pStyle w:val="ListNumber"/>
        <w:numPr>
          <w:ilvl w:val="0"/>
          <w:numId w:val="12"/>
        </w:numPr>
      </w:pPr>
      <w:r>
        <w:rPr>
          <w:b w:val="0"/>
          <w:i w:val="0"/>
        </w:rPr>
        <w:t>accord avec une référence appropriée ;</w:t>
      </w:r>
    </w:p>
    <w:p>
      <w:pPr>
        <w:pStyle w:val="ListNumber"/>
        <w:numPr>
          <w:ilvl w:val="0"/>
          <w:numId w:val="12"/>
        </w:numPr>
      </w:pPr>
      <w:r>
        <w:rPr>
          <w:b w:val="0"/>
          <w:i w:val="0"/>
        </w:rPr>
        <w:t>répétabilité de la segmentation et du dérivé ;</w:t>
      </w:r>
    </w:p>
    <w:p>
      <w:pPr>
        <w:pStyle w:val="ListNumber"/>
        <w:numPr>
          <w:ilvl w:val="0"/>
          <w:numId w:val="12"/>
        </w:numPr>
      </w:pPr>
      <w:r>
        <w:rPr>
          <w:b w:val="0"/>
          <w:i w:val="0"/>
        </w:rPr>
        <w:t>qualification du biomarqueur pour son contexte d’usage.</w:t>
      </w:r>
    </w:p>
    <w:p>
      <w:pPr>
        <w:widowControl/>
      </w:pPr>
      <w:r>
        <w:rPr>
          <w:b w:val="0"/>
          <w:i w:val="0"/>
        </w:rPr>
        <w:t>Le consensus 2023 possède un corrigendum publié en 2026. La chaîne de référence doit conserver les deux objets, illustrant qu’un consensus reste versionné et corrigible [R29, R30].</w:t>
      </w:r>
    </w:p>
    <w:p>
      <w:pPr>
        <w:pStyle w:val="Heading2"/>
      </w:pPr>
      <w:r>
        <w:t>39. Diffusion pondérée et tenseur cardiaque</w:t>
      </w:r>
    </w:p>
    <w:p>
      <w:pPr>
        <w:widowControl/>
      </w:pPr>
      <w:r>
        <w:rPr>
          <w:b w:val="0"/>
          <w:i w:val="0"/>
        </w:rPr>
        <w:t>La diffusion pondérée applique des gradients sensibles aux déplacements microscopiques. Dans le cœur, ces gradients sont aussi sensibles au mouvement macroscopique, à la déformation, au flux et à la vibration. Le signal diffusion cardiaque exige donc une stratégie de compensation du mouvement et un modèle explicitement limité [R31].</w:t>
      </w:r>
    </w:p>
    <w:p>
      <w:pPr>
        <w:widowControl/>
      </w:pPr>
      <w:r>
        <w:rPr>
          <w:b w:val="0"/>
          <w:i w:val="0"/>
        </w:rPr>
        <w:t>Le tenseur de diffusion est un modèle du signal dépendant de la direction. Il fournit valeurs propres, anisotropie et directions principales sous l’hypothèse d’une diffusion gaussienne effective dans un voxel. La direction principale n’est pas l’observation directe d’une fibre individuelle. Les angles hélicoïdaux ou transversaux dépendent du repère, de la géométrie et de l’estimation du tenseur.</w:t>
      </w:r>
    </w:p>
    <w:p>
      <w:pPr>
        <w:widowControl/>
      </w:pPr>
      <w:r>
        <w:rPr>
          <w:b/>
          <w:i w:val="0"/>
        </w:rPr>
        <w:t>Statut au 3 août 2026 :</w:t>
      </w:r>
      <w:r>
        <w:rPr>
          <w:b w:val="0"/>
          <w:i w:val="0"/>
        </w:rPr>
        <w:t xml:space="preserve"> domaine scientifiquement actif, avec convergence sur la nomenclature et les besoins de qualité, mais transportabilité multicentrique et qualification de nombreux endpoints encore insuffisantes. Son usage de recherche doit conserver les données de rejet et la proportion d’examens non évaluables.</w:t>
      </w:r>
    </w:p>
    <w:p>
      <w:r>
        <w:br w:type="page"/>
      </w:r>
    </w:p>
    <w:p>
      <w:pPr>
        <w:pStyle w:val="Heading1"/>
        <w:pBdr>
          <w:bottom w:val="single" w:sz="12" w:space="7" w:color="22A6B3"/>
        </w:pBdr>
      </w:pPr>
      <w:r>
        <w:t>PARTIE X — ARTEFACTS ET PIÈGES TRANSVERSAUX</w:t>
      </w:r>
    </w:p>
    <w:p>
      <w:pPr>
        <w:pStyle w:val="Heading2"/>
      </w:pPr>
      <w:r>
        <w:t>40. Taxonomie causale</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900"/>
        <w:gridCol w:w="3000"/>
        <w:gridCol w:w="4460"/>
      </w:tblGrid>
      <w:tr>
        <w:trPr>
          <w:cantSplit/>
          <w:tblHeader w:val="true"/>
        </w:trPr>
        <w:tc>
          <w:tcPr>
            <w:tcW w:type="dxa" w:w="1900"/>
            <w:vAlign w:val="center"/>
            <w:tcMar>
              <w:top w:w="82" w:type="dxa"/>
              <w:start w:w="95" w:type="dxa"/>
              <w:bottom w:w="82" w:type="dxa"/>
              <w:end w:w="95" w:type="dxa"/>
            </w:tcMar>
            <w:shd w:fill="12344D"/>
          </w:tcPr>
          <w:p>
            <w:pPr>
              <w:spacing w:after="0" w:line="235" w:lineRule="auto"/>
              <w:jc w:val="left"/>
            </w:pPr>
            <w:r>
              <w:rPr>
                <w:b/>
                <w:i w:val="0"/>
                <w:color w:val="FFFFFF"/>
                <w:sz w:val="15"/>
              </w:rPr>
              <w:t>Cause</w:t>
            </w:r>
          </w:p>
        </w:tc>
        <w:tc>
          <w:tcPr>
            <w:tcW w:type="dxa" w:w="3000"/>
            <w:vAlign w:val="center"/>
            <w:tcMar>
              <w:top w:w="82" w:type="dxa"/>
              <w:start w:w="95" w:type="dxa"/>
              <w:bottom w:w="82" w:type="dxa"/>
              <w:end w:w="95" w:type="dxa"/>
            </w:tcMar>
            <w:shd w:fill="12344D"/>
          </w:tcPr>
          <w:p>
            <w:pPr>
              <w:spacing w:after="0" w:line="235" w:lineRule="auto"/>
              <w:jc w:val="left"/>
            </w:pPr>
            <w:r>
              <w:rPr>
                <w:b/>
                <w:i w:val="0"/>
                <w:color w:val="FFFFFF"/>
                <w:sz w:val="15"/>
              </w:rPr>
              <w:t>Manifestations possibles</w:t>
            </w:r>
          </w:p>
        </w:tc>
        <w:tc>
          <w:tcPr>
            <w:tcW w:type="dxa" w:w="4460"/>
            <w:vAlign w:val="center"/>
            <w:tcMar>
              <w:top w:w="82" w:type="dxa"/>
              <w:start w:w="95" w:type="dxa"/>
              <w:bottom w:w="82" w:type="dxa"/>
              <w:end w:w="95" w:type="dxa"/>
            </w:tcMar>
            <w:shd w:fill="12344D"/>
          </w:tcPr>
          <w:p>
            <w:pPr>
              <w:spacing w:after="0" w:line="235" w:lineRule="auto"/>
              <w:jc w:val="left"/>
            </w:pPr>
            <w:r>
              <w:rPr>
                <w:b/>
                <w:i w:val="0"/>
                <w:color w:val="FFFFFF"/>
                <w:sz w:val="15"/>
              </w:rPr>
              <w:t>Risque quantitatif</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Mouvement cardiaque</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Flou, ghosting, phases mélangées</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Contours et fits biaisés</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Respiration</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Désalignement, duplication, perte de netteté</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Incohérence inter-slice ou inter-contraste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Flux</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Signal résiduel, déphasage, ghosting</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Faux contraste, débit biaisé</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Hors-résonance B0</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Banding, distorsion, déplacement chimique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Perte régionale et mesure locale invalide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Inhomogénéité B1</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Excitation ou préparation non uniforme</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T1/T2 et contraste biaisés</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Susceptibilité</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Perte de signal et distorsion</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T2*, diffusion et GRE affectés</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Aliasing spatial</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Repliement anatomique</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Contamination de région</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Aliasing de phase</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Vitesse enroulée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Direction ou débit erroné</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Sous-échantillonnage</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Repliement résiduel ou texture artificielle</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Biais dépendant de la reconstruction</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Volume partiel</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Mélange de compartiments</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Moyenne non représentative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Gibbs et troncature</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Oscillations aux interfaces</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Faux liseré ou extrema</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Bruit et plancher</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Instabilité ou plateau de décroissance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Fit biaisé</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Dispositif</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Distorsion, vide de signal, erreurs de gating</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Région non évaluable</w:t>
            </w:r>
          </w:p>
        </w:tc>
      </w:tr>
    </w:tbl>
    <w:p>
      <w:pPr>
        <w:spacing w:after="0"/>
      </w:pPr>
    </w:p>
    <w:p>
      <w:pPr>
        <w:pStyle w:val="Heading2"/>
      </w:pPr>
      <w:r>
        <w:t>41. Artefact visible versus biais invisible</w:t>
      </w:r>
    </w:p>
    <w:p>
      <w:pPr>
        <w:widowControl/>
      </w:pPr>
      <w:r>
        <w:rPr>
          <w:b w:val="0"/>
          <w:i w:val="0"/>
        </w:rPr>
        <w:t>Un artefact visible peut conduire à exclure une mesure. Le risque le plus important est souvent un biais invisible : carte lisse mais valeur décalée, contour cohérent mais convention différente, reconstruction stable mais régularisée. La qualité doit donc évaluer à la fois apparence, métadonnées, cohérence physique et performance de mesure [R06].</w:t>
      </w:r>
    </w:p>
    <w:p>
      <w:pPr>
        <w:pStyle w:val="Heading2"/>
      </w:pPr>
      <w:r>
        <w:t>42. Pièges de langage</w:t>
      </w:r>
    </w:p>
    <w:p>
      <w:pPr>
        <w:pStyle w:val="ListBullet"/>
      </w:pPr>
      <w:r>
        <w:rPr>
          <w:b/>
          <w:i w:val="0"/>
        </w:rPr>
        <w:t>« normal »</w:t>
      </w:r>
      <w:r>
        <w:rPr>
          <w:b w:val="0"/>
          <w:i w:val="0"/>
        </w:rPr>
        <w:t xml:space="preserve"> sans méthode, population et intervalle de référence ;</w:t>
      </w:r>
    </w:p>
    <w:p>
      <w:pPr>
        <w:pStyle w:val="ListBullet"/>
      </w:pPr>
      <w:r>
        <w:rPr>
          <w:b/>
          <w:i w:val="0"/>
        </w:rPr>
        <w:t>« anormal »</w:t>
      </w:r>
      <w:r>
        <w:rPr>
          <w:b w:val="0"/>
          <w:i w:val="0"/>
        </w:rPr>
        <w:t xml:space="preserve"> sur la base d’une comparaison non transportable ;</w:t>
      </w:r>
    </w:p>
    <w:p>
      <w:pPr>
        <w:pStyle w:val="ListBullet"/>
      </w:pPr>
      <w:r>
        <w:rPr>
          <w:b/>
          <w:i w:val="0"/>
        </w:rPr>
        <w:t>« quantitatif »</w:t>
      </w:r>
      <w:r>
        <w:rPr>
          <w:b w:val="0"/>
          <w:i w:val="0"/>
        </w:rPr>
        <w:t xml:space="preserve"> pour une intensité arbitraire ;</w:t>
      </w:r>
    </w:p>
    <w:p>
      <w:pPr>
        <w:pStyle w:val="ListBullet"/>
      </w:pPr>
      <w:r>
        <w:rPr>
          <w:b/>
          <w:i w:val="0"/>
        </w:rPr>
        <w:t>« validé »</w:t>
      </w:r>
      <w:r>
        <w:rPr>
          <w:b w:val="0"/>
          <w:i w:val="0"/>
        </w:rPr>
        <w:t xml:space="preserve"> sans distinguer validation technique, analytique et clinique ;</w:t>
      </w:r>
    </w:p>
    <w:p>
      <w:pPr>
        <w:pStyle w:val="ListBullet"/>
      </w:pPr>
      <w:r>
        <w:rPr>
          <w:b/>
          <w:i w:val="0"/>
        </w:rPr>
        <w:t>« reproductible »</w:t>
      </w:r>
      <w:r>
        <w:rPr>
          <w:b w:val="0"/>
          <w:i w:val="0"/>
        </w:rPr>
        <w:t xml:space="preserve"> sans nommer ce qui varie ;</w:t>
      </w:r>
    </w:p>
    <w:p>
      <w:pPr>
        <w:pStyle w:val="ListBullet"/>
      </w:pPr>
      <w:r>
        <w:rPr>
          <w:b/>
          <w:i w:val="0"/>
        </w:rPr>
        <w:t>« précis »</w:t>
      </w:r>
      <w:r>
        <w:rPr>
          <w:b w:val="0"/>
          <w:i w:val="0"/>
        </w:rPr>
        <w:t xml:space="preserve"> utilisé pour signifier exact ;</w:t>
      </w:r>
    </w:p>
    <w:p>
      <w:pPr>
        <w:pStyle w:val="ListBullet"/>
      </w:pPr>
      <w:r>
        <w:rPr>
          <w:b/>
          <w:i w:val="0"/>
        </w:rPr>
        <w:t>« corrélé »</w:t>
      </w:r>
      <w:r>
        <w:rPr>
          <w:b w:val="0"/>
          <w:i w:val="0"/>
        </w:rPr>
        <w:t xml:space="preserve"> utilisé pour signifier en accord ;</w:t>
      </w:r>
    </w:p>
    <w:p>
      <w:pPr>
        <w:pStyle w:val="ListBullet"/>
      </w:pPr>
      <w:r>
        <w:rPr>
          <w:b/>
          <w:i w:val="0"/>
        </w:rPr>
        <w:t>« automatisé »</w:t>
      </w:r>
      <w:r>
        <w:rPr>
          <w:b w:val="0"/>
          <w:i w:val="0"/>
        </w:rPr>
        <w:t xml:space="preserve"> utilisé pour signifier objectif ou sans erreur ;</w:t>
      </w:r>
    </w:p>
    <w:p>
      <w:pPr>
        <w:pStyle w:val="ListBullet"/>
      </w:pPr>
      <w:r>
        <w:rPr>
          <w:b/>
          <w:i w:val="0"/>
        </w:rPr>
        <w:t>« harmonisé »</w:t>
      </w:r>
      <w:r>
        <w:rPr>
          <w:b w:val="0"/>
          <w:i w:val="0"/>
        </w:rPr>
        <w:t xml:space="preserve"> utilisé pour masquer une correction non traçable ;</w:t>
      </w:r>
    </w:p>
    <w:p>
      <w:pPr>
        <w:pStyle w:val="ListBullet"/>
      </w:pPr>
      <w:r>
        <w:rPr>
          <w:b/>
          <w:i w:val="0"/>
        </w:rPr>
        <w:t>« absence »</w:t>
      </w:r>
      <w:r>
        <w:rPr>
          <w:b w:val="0"/>
          <w:i w:val="0"/>
        </w:rPr>
        <w:t xml:space="preserve"> déduite d’un examen techniquement non concluant.</w:t>
      </w:r>
    </w:p>
    <w:p>
      <w:pPr>
        <w:pStyle w:val="Heading2"/>
      </w:pPr>
      <w:r>
        <w:t>43. Scénarios paradoxaux</w:t>
      </w:r>
    </w:p>
    <w:p>
      <w:pPr>
        <w:pStyle w:val="Heading3"/>
      </w:pPr>
      <w:r>
        <w:t>43.1 Image nette, mesure fausse</w:t>
      </w:r>
    </w:p>
    <w:p>
      <w:pPr>
        <w:widowControl/>
      </w:pPr>
      <w:r>
        <w:rPr>
          <w:b w:val="0"/>
          <w:i w:val="0"/>
        </w:rPr>
        <w:t>Une régularisation forte, un filtrage ou une mauvaise calibration peut produire une image convaincante. Le contrôle doit examiner phantoms, résidus, conservation des grandeurs et cohérence avec une référence.</w:t>
      </w:r>
    </w:p>
    <w:p>
      <w:pPr>
        <w:pStyle w:val="Heading3"/>
      </w:pPr>
      <w:r>
        <w:t>43.2 Excellente répétabilité, faible exactitude</w:t>
      </w:r>
    </w:p>
    <w:p>
      <w:pPr>
        <w:widowControl/>
      </w:pPr>
      <w:r>
        <w:rPr>
          <w:b w:val="0"/>
          <w:i w:val="0"/>
        </w:rPr>
        <w:t>Un biais systématique stable donne des résultats proches à chaque répétition. La répétabilité ne valide pas l’exactitude.</w:t>
      </w:r>
    </w:p>
    <w:p>
      <w:pPr>
        <w:pStyle w:val="Heading3"/>
      </w:pPr>
      <w:r>
        <w:t>43.3 Bonne corrélation, mauvais accord</w:t>
      </w:r>
    </w:p>
    <w:p>
      <w:pPr>
        <w:widowControl/>
      </w:pPr>
      <w:r>
        <w:rPr>
          <w:b w:val="0"/>
          <w:i w:val="0"/>
        </w:rPr>
        <w:t>Deux méthodes peuvent classer les sujets de façon similaire tout en différant d’une quantité systématique incompatible avec l’usage longitudinal ou les seuils.</w:t>
      </w:r>
    </w:p>
    <w:p>
      <w:pPr>
        <w:pStyle w:val="Heading3"/>
      </w:pPr>
      <w:r>
        <w:t>43.4 Valeur dans l’intervalle de référence, examen non fiable</w:t>
      </w:r>
    </w:p>
    <w:p>
      <w:pPr>
        <w:widowControl/>
      </w:pPr>
      <w:r>
        <w:rPr>
          <w:b w:val="0"/>
          <w:i w:val="0"/>
        </w:rPr>
        <w:t>Un résultat peut tomber par hasard dans l’intervalle malgré un mouvement, un fit mauvais ou une région contaminée. La qualité précède l’interprétation de la valeur.</w:t>
      </w:r>
    </w:p>
    <w:p>
      <w:pPr>
        <w:pStyle w:val="Heading3"/>
      </w:pPr>
      <w:r>
        <w:t>43.5 Changement significatif, non pertinent</w:t>
      </w:r>
    </w:p>
    <w:p>
      <w:pPr>
        <w:widowControl/>
      </w:pPr>
      <w:r>
        <w:rPr>
          <w:b w:val="0"/>
          <w:i w:val="0"/>
        </w:rPr>
        <w:t>Un grand échantillon peut rendre statistiquement significative une variation inférieure à l’erreur de mesure ou à la variation biologique. Signification statistique, changement réel et pertinence sont trois questions distinctes.</w:t>
      </w:r>
    </w:p>
    <w:p>
      <w:pPr>
        <w:pStyle w:val="Heading3"/>
      </w:pPr>
      <w:r>
        <w:t>43.6 Concordance globale, échec local</w:t>
      </w:r>
    </w:p>
    <w:p>
      <w:pPr>
        <w:widowControl/>
      </w:pPr>
      <w:r>
        <w:rPr>
          <w:b w:val="0"/>
          <w:i w:val="0"/>
        </w:rPr>
        <w:t>Un biais régional peut être masqué par une moyenne globale. Les analyses segmentaires nécessitent leur propre validation et ne bénéficient pas automatiquement de la robustesse globale.</w:t>
      </w:r>
    </w:p>
    <w:p>
      <w:r>
        <w:br w:type="page"/>
      </w:r>
    </w:p>
    <w:p>
      <w:pPr>
        <w:pStyle w:val="Heading1"/>
        <w:pBdr>
          <w:bottom w:val="single" w:sz="12" w:space="7" w:color="22A6B3"/>
        </w:pBdr>
      </w:pPr>
      <w:r>
        <w:t>PARTIE XI — QUALITÉ, HARMONISATION ET MÉTROLOGIE</w:t>
      </w:r>
    </w:p>
    <w:p>
      <w:pPr>
        <w:pStyle w:val="Heading2"/>
      </w:pPr>
      <w:r>
        <w:t>44. Qualité en trois étages</w:t>
      </w:r>
    </w:p>
    <w:p>
      <w:pPr>
        <w:widowControl/>
      </w:pPr>
      <w:r>
        <w:rPr>
          <w:b/>
          <w:i w:val="0"/>
        </w:rPr>
        <w:t>Qualité des données.</w:t>
      </w:r>
      <w:r>
        <w:rPr>
          <w:b w:val="0"/>
          <w:i w:val="0"/>
        </w:rPr>
        <w:t xml:space="preserve"> Couverture, signal, mouvement, artefacts, métadonnées et complétude.</w:t>
      </w:r>
    </w:p>
    <w:p>
      <w:pPr>
        <w:widowControl/>
      </w:pPr>
      <w:r>
        <w:rPr>
          <w:b/>
          <w:i w:val="0"/>
        </w:rPr>
        <w:t>Qualité de la mesure.</w:t>
      </w:r>
      <w:r>
        <w:rPr>
          <w:b w:val="0"/>
          <w:i w:val="0"/>
        </w:rPr>
        <w:t xml:space="preserve"> Segmentation, fit, calibrage, unité, incertitude et règle d’exclusion.</w:t>
      </w:r>
    </w:p>
    <w:p>
      <w:pPr>
        <w:widowControl/>
      </w:pPr>
      <w:r>
        <w:rPr>
          <w:b/>
          <w:i w:val="0"/>
        </w:rPr>
        <w:t>Qualité de l’inférence.</w:t>
      </w:r>
      <w:r>
        <w:rPr>
          <w:b w:val="0"/>
          <w:i w:val="0"/>
        </w:rPr>
        <w:t xml:space="preserve"> Correspondance entre mesurande, construit, population, comparateur et contexte d’usage.</w:t>
      </w:r>
    </w:p>
    <w:p>
      <w:pPr>
        <w:widowControl/>
      </w:pPr>
      <w:r>
        <w:rPr>
          <w:b w:val="0"/>
          <w:i w:val="0"/>
        </w:rPr>
        <w:t>Une donnée de bonne qualité peut soutenir une mauvaise inférence ; une hypothèse pertinente ne sauve pas une donnée non interprétable.</w:t>
      </w:r>
    </w:p>
    <w:p>
      <w:pPr>
        <w:pStyle w:val="Heading2"/>
      </w:pPr>
      <w:r>
        <w:t>45. Phantoms, volontaires voyageurs et références</w:t>
      </w:r>
    </w:p>
    <w:p>
      <w:pPr>
        <w:widowControl/>
      </w:pPr>
      <w:r>
        <w:rPr>
          <w:b w:val="0"/>
          <w:i w:val="0"/>
        </w:rPr>
        <w:t>Les phantoms testent stabilité, linéarité, biais et sensibilité aux conditions dans un objet contrôlé. Ils permettent la surveillance de dérive et les comparaisons inter-systèmes, mais ne reproduisent pas toutes les interactions in vivo [R09, R10].</w:t>
      </w:r>
    </w:p>
    <w:p>
      <w:pPr>
        <w:widowControl/>
      </w:pPr>
      <w:r>
        <w:rPr>
          <w:b w:val="0"/>
          <w:i w:val="0"/>
        </w:rPr>
        <w:t>Les volontaires voyageurs introduisent la physiologie humaine commune entre sites et révèlent des différences qui persistent malgré une méthode rapprochée. Ils restent un petit échantillon, exposé aux effets de temps et à la variation biologique [R11].</w:t>
      </w:r>
    </w:p>
    <w:p>
      <w:pPr>
        <w:widowControl/>
      </w:pPr>
      <w:r>
        <w:rPr>
          <w:b w:val="0"/>
          <w:i w:val="0"/>
        </w:rPr>
        <w:t>Les populations de référence caractérisent une distribution pour une méthode et des critères d’inclusion. Elles doivent documenter âge, sexe, morphologie, état physiologique, recrutement, exclusions, site et analyse. Les méta-analyses montrent une variation substantielle entre techniques et études [R12–R15].</w:t>
      </w:r>
    </w:p>
    <w:p>
      <w:pPr>
        <w:pStyle w:val="Heading2"/>
      </w:pPr>
      <w:r>
        <w:t>46. Harmonisation</w:t>
      </w:r>
    </w:p>
    <w:p>
      <w:pPr>
        <w:widowControl/>
      </w:pPr>
      <w:r>
        <w:rPr>
          <w:b w:val="0"/>
          <w:i w:val="0"/>
        </w:rPr>
        <w:t>Harmoniser peut signifier :</w:t>
      </w:r>
    </w:p>
    <w:p>
      <w:pPr>
        <w:pStyle w:val="ListBullet"/>
      </w:pPr>
      <w:r>
        <w:rPr>
          <w:b w:val="0"/>
          <w:i w:val="0"/>
        </w:rPr>
        <w:t>standardiser l’acquisition et l’analyse avant collecte ;</w:t>
      </w:r>
    </w:p>
    <w:p>
      <w:pPr>
        <w:pStyle w:val="ListBullet"/>
      </w:pPr>
      <w:r>
        <w:rPr>
          <w:b w:val="0"/>
          <w:i w:val="0"/>
        </w:rPr>
        <w:t>calibrer ou corriger avec une référence ;</w:t>
      </w:r>
    </w:p>
    <w:p>
      <w:pPr>
        <w:pStyle w:val="ListBullet"/>
      </w:pPr>
      <w:r>
        <w:rPr>
          <w:b w:val="0"/>
          <w:i w:val="0"/>
        </w:rPr>
        <w:t>inclure site ou méthode dans le modèle statistique ;</w:t>
      </w:r>
    </w:p>
    <w:p>
      <w:pPr>
        <w:pStyle w:val="ListBullet"/>
      </w:pPr>
      <w:r>
        <w:rPr>
          <w:b w:val="0"/>
          <w:i w:val="0"/>
        </w:rPr>
        <w:t>transformer des distributions après collecte ;</w:t>
      </w:r>
    </w:p>
    <w:p>
      <w:pPr>
        <w:pStyle w:val="ListBullet"/>
      </w:pPr>
      <w:r>
        <w:rPr>
          <w:b w:val="0"/>
          <w:i w:val="0"/>
        </w:rPr>
        <w:t>reconstruire les données avec une chaîne commune.</w:t>
      </w:r>
    </w:p>
    <w:p>
      <w:pPr>
        <w:widowControl/>
      </w:pPr>
      <w:r>
        <w:rPr>
          <w:b w:val="0"/>
          <w:i w:val="0"/>
        </w:rPr>
        <w:t>Ces opérations ne sont pas équivalentes. Une correction post hoc peut réduire une différence de site tout en supprimant une différence biologique corrélée au site. L’harmonisation doit préserver les données originales, déclarer la transformation, vérifier les invariants biologiques et être validée hors échantillon.</w:t>
      </w:r>
    </w:p>
    <w:p>
      <w:pPr>
        <w:spacing w:before="120" w:after="180" w:line="259" w:lineRule="auto"/>
        <w:ind w:left="173" w:right="86"/>
        <w:shd w:fill="E5F5F7"/>
        <w:pBdr>
          <w:left w:val="single" w:sz="24" w:space="9" w:color="22A6B3"/>
        </w:pBdr>
      </w:pPr>
      <w:r>
        <w:rPr>
          <w:b/>
          <w:i w:val="0"/>
          <w:color w:val="12344D"/>
          <w:sz w:val="18"/>
        </w:rPr>
        <w:t>Décision CMR-D04 — Harmonisation.</w:t>
      </w:r>
      <w:r>
        <w:rPr>
          <w:b w:val="0"/>
          <w:i w:val="0"/>
          <w:color w:val="12344D"/>
          <w:sz w:val="18"/>
        </w:rPr>
        <w:t xml:space="preserve"> Aucune méthode d’harmonisation ne doit être qualifiée de réussie uniquement parce que l’effet « site » diminue. Elle doit aussi démontrer la conservation du signal biologique pertinent et quantifier l’incertitude résiduelle.</w:t>
      </w:r>
    </w:p>
    <w:p>
      <w:pPr>
        <w:pStyle w:val="Heading2"/>
      </w:pPr>
      <w:r>
        <w:t>47. Répétabilité et reproductibilité</w:t>
      </w:r>
    </w:p>
    <w:p>
      <w:pPr>
        <w:widowControl/>
      </w:pPr>
      <w:r>
        <w:rPr>
          <w:b w:val="0"/>
          <w:i w:val="0"/>
        </w:rPr>
        <w:t>Un plan de fiabilité doit nommer les dimensions de variation : sujet, jour, opérateur, lecteur, système, site, séquence, reconstruction, logiciel et version. Les indices possibles — écart-type intra-sujet, coefficient de variation, ICC, biais, limites d’accord, erreur type de mesure — répondent à des questions différentes.</w:t>
      </w:r>
    </w:p>
    <w:p>
      <w:pPr>
        <w:widowControl/>
      </w:pPr>
      <w:r>
        <w:rPr>
          <w:b w:val="0"/>
          <w:i w:val="0"/>
        </w:rPr>
        <w:t>L’ICC dépend de l’hétérogénéité de l’échantillon. Il peut être élevé dans une population très variable malgré une erreur absolue importante. Le coefficient de variation devient instable près de zéro. Les limites d’accord décrivent la distribution des différences mais ne déterminent pas à elles seules une acceptabilité : celle-ci vient du contexte d’usage.</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900"/>
        <w:gridCol w:w="3000"/>
        <w:gridCol w:w="4460"/>
      </w:tblGrid>
      <w:tr>
        <w:trPr>
          <w:cantSplit/>
          <w:tblHeader w:val="true"/>
        </w:trPr>
        <w:tc>
          <w:tcPr>
            <w:tcW w:type="dxa" w:w="1900"/>
            <w:vAlign w:val="center"/>
            <w:tcMar>
              <w:top w:w="82" w:type="dxa"/>
              <w:start w:w="95" w:type="dxa"/>
              <w:bottom w:w="82" w:type="dxa"/>
              <w:end w:w="95" w:type="dxa"/>
            </w:tcMar>
            <w:shd w:fill="12344D"/>
          </w:tcPr>
          <w:p>
            <w:pPr>
              <w:spacing w:after="0" w:line="235" w:lineRule="auto"/>
              <w:jc w:val="left"/>
            </w:pPr>
            <w:r>
              <w:rPr>
                <w:b/>
                <w:i w:val="0"/>
                <w:color w:val="FFFFFF"/>
                <w:sz w:val="15"/>
              </w:rPr>
              <w:t>Question</w:t>
            </w:r>
          </w:p>
        </w:tc>
        <w:tc>
          <w:tcPr>
            <w:tcW w:type="dxa" w:w="3000"/>
            <w:vAlign w:val="center"/>
            <w:tcMar>
              <w:top w:w="82" w:type="dxa"/>
              <w:start w:w="95" w:type="dxa"/>
              <w:bottom w:w="82" w:type="dxa"/>
              <w:end w:w="95" w:type="dxa"/>
            </w:tcMar>
            <w:shd w:fill="12344D"/>
          </w:tcPr>
          <w:p>
            <w:pPr>
              <w:spacing w:after="0" w:line="235" w:lineRule="auto"/>
              <w:jc w:val="left"/>
            </w:pPr>
            <w:r>
              <w:rPr>
                <w:b/>
                <w:i w:val="0"/>
                <w:color w:val="FFFFFF"/>
                <w:sz w:val="15"/>
              </w:rPr>
              <w:t>Analyse appropriée</w:t>
            </w:r>
          </w:p>
        </w:tc>
        <w:tc>
          <w:tcPr>
            <w:tcW w:type="dxa" w:w="4460"/>
            <w:vAlign w:val="center"/>
            <w:tcMar>
              <w:top w:w="82" w:type="dxa"/>
              <w:start w:w="95" w:type="dxa"/>
              <w:bottom w:w="82" w:type="dxa"/>
              <w:end w:w="95" w:type="dxa"/>
            </w:tcMar>
            <w:shd w:fill="12344D"/>
          </w:tcPr>
          <w:p>
            <w:pPr>
              <w:spacing w:after="0" w:line="235" w:lineRule="auto"/>
              <w:jc w:val="left"/>
            </w:pPr>
            <w:r>
              <w:rPr>
                <w:b/>
                <w:i w:val="0"/>
                <w:color w:val="FFFFFF"/>
                <w:sz w:val="15"/>
              </w:rPr>
              <w:t>Conclusion interdite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Même sujet, même chaîne, répétition proche</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Erreur intra-sujet et limites d’accord</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 reproductible partout »</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Deux lecteurs</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Accord interlecteur et analyse des cas difficiles</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 automatisable »</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Deux logiciels</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Biais et accord par gamme de valeurs</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 interchangeable » sur corrélation seule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Plusieurs sites</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Composantes de variance et dérive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 harmonisé » sur moyenne globale seule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Suivi longitudinal</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Seuil de changement lié à l’erreur et variation biologique</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 changement réel » sur p-value seule</w:t>
            </w:r>
          </w:p>
        </w:tc>
      </w:tr>
    </w:tbl>
    <w:p>
      <w:pPr>
        <w:spacing w:after="0"/>
      </w:pPr>
    </w:p>
    <w:p>
      <w:pPr>
        <w:pStyle w:val="Heading2"/>
      </w:pPr>
      <w:r>
        <w:t>48. Validation et qualification</w:t>
      </w:r>
    </w:p>
    <w:p>
      <w:pPr>
        <w:widowControl/>
      </w:pPr>
      <w:r>
        <w:rPr>
          <w:b/>
          <w:i w:val="0"/>
        </w:rPr>
        <w:t>Validation technique.</w:t>
      </w:r>
      <w:r>
        <w:rPr>
          <w:b w:val="0"/>
          <w:i w:val="0"/>
        </w:rPr>
        <w:t xml:space="preserve"> Le système produit-il les données attendues dans des conditions testées ?</w:t>
      </w:r>
    </w:p>
    <w:p>
      <w:pPr>
        <w:widowControl/>
      </w:pPr>
      <w:r>
        <w:rPr>
          <w:b/>
          <w:i w:val="0"/>
        </w:rPr>
        <w:t>Validation analytique.</w:t>
      </w:r>
      <w:r>
        <w:rPr>
          <w:b w:val="0"/>
          <w:i w:val="0"/>
        </w:rPr>
        <w:t xml:space="preserve"> La mesure estime-t-elle le mesurande avec exactitude, précision, plage et robustesse suffisantes ?</w:t>
      </w:r>
    </w:p>
    <w:p>
      <w:pPr>
        <w:widowControl/>
      </w:pPr>
      <w:r>
        <w:rPr>
          <w:b/>
          <w:i w:val="0"/>
        </w:rPr>
        <w:t>Validation biologique.</w:t>
      </w:r>
      <w:r>
        <w:rPr>
          <w:b w:val="0"/>
          <w:i w:val="0"/>
        </w:rPr>
        <w:t xml:space="preserve"> La mesure varie-t-elle de façon cohérente avec le processus biologique ciblé ?</w:t>
      </w:r>
    </w:p>
    <w:p>
      <w:pPr>
        <w:widowControl/>
      </w:pPr>
      <w:r>
        <w:rPr>
          <w:b/>
          <w:i w:val="0"/>
        </w:rPr>
        <w:t>Qualification clinique ou de recherche.</w:t>
      </w:r>
      <w:r>
        <w:rPr>
          <w:b w:val="0"/>
          <w:i w:val="0"/>
        </w:rPr>
        <w:t xml:space="preserve"> Le biomarqueur est-il adapté au rôle prévu — diagnostic, pronostic, stratification, pharmacodynamie, sécurité ou endpoint — dans une population définie [R16] ?</w:t>
      </w:r>
    </w:p>
    <w:p>
      <w:pPr>
        <w:widowControl/>
      </w:pPr>
      <w:r>
        <w:rPr>
          <w:b/>
          <w:i w:val="0"/>
        </w:rPr>
        <w:t>Validité externe.</w:t>
      </w:r>
      <w:r>
        <w:rPr>
          <w:b w:val="0"/>
          <w:i w:val="0"/>
        </w:rPr>
        <w:t xml:space="preserve"> La performance se maintient-elle dans d’autres sites, populations et chaînes ?</w:t>
      </w:r>
    </w:p>
    <w:p>
      <w:pPr>
        <w:widowControl/>
      </w:pPr>
      <w:r>
        <w:rPr>
          <w:b w:val="0"/>
          <w:i w:val="0"/>
        </w:rPr>
        <w:t>Le passage d’un étage au suivant n’est jamais automatique. Une excellente validation analytique ne démontre pas l’utilité d’un biomarqueur ; une association pronostique ne démontre pas qu’une modification du biomarqueur améliore un résultat.</w:t>
      </w:r>
    </w:p>
    <w:p>
      <w:pPr>
        <w:pStyle w:val="Heading2"/>
      </w:pPr>
      <w:r>
        <w:t>49. Données manquantes et non-évaluabilité</w:t>
      </w:r>
    </w:p>
    <w:p>
      <w:pPr>
        <w:widowControl/>
      </w:pPr>
      <w:r>
        <w:rPr>
          <w:b w:val="0"/>
          <w:i w:val="0"/>
        </w:rPr>
        <w:t>Les échecs d’IRM cardiaque ne sont pas aléatoires : arythmie, dyspnée, incapacité d’apnée, dispositif, morphologie ou gravité peuvent augmenter la non-évaluabilité. Exclure ces sujets peut surestimer la performance et réduire la validité externe.</w:t>
      </w:r>
    </w:p>
    <w:p>
      <w:pPr>
        <w:widowControl/>
      </w:pPr>
      <w:r>
        <w:rPr>
          <w:b w:val="0"/>
          <w:i w:val="0"/>
        </w:rPr>
        <w:t>Tout travail quantitatif doit distinguer : non acquis, incomplet, techniquement non interprétable, mesure rejetée par QC, donnée analysable mais incertaine, et donnée biologiquement négative. Les dénominateurs doivent rester visibles.</w:t>
      </w:r>
    </w:p>
    <w:p>
      <w:r>
        <w:br w:type="page"/>
      </w:r>
    </w:p>
    <w:p>
      <w:pPr>
        <w:pStyle w:val="Heading1"/>
        <w:pBdr>
          <w:bottom w:val="single" w:sz="12" w:space="7" w:color="22A6B3"/>
        </w:pBdr>
      </w:pPr>
      <w:r>
        <w:t>PARTIE XII — CONSTRUITS, OBJECTIFS ET HYPOTHÈSES</w:t>
      </w:r>
    </w:p>
    <w:p>
      <w:pPr>
        <w:pStyle w:val="Heading2"/>
      </w:pPr>
      <w:r>
        <w:t>50. Bibliothèque de construits CMR-C01 à CMR-C18</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800"/>
        <w:gridCol w:w="2100"/>
        <w:gridCol w:w="2500"/>
        <w:gridCol w:w="2960"/>
      </w:tblGrid>
      <w:tr>
        <w:trPr>
          <w:cantSplit/>
          <w:tblHeader w:val="true"/>
        </w:trPr>
        <w:tc>
          <w:tcPr>
            <w:tcW w:type="dxa" w:w="1800"/>
            <w:vAlign w:val="center"/>
            <w:tcMar>
              <w:top w:w="82" w:type="dxa"/>
              <w:start w:w="95" w:type="dxa"/>
              <w:bottom w:w="82" w:type="dxa"/>
              <w:end w:w="95" w:type="dxa"/>
            </w:tcMar>
            <w:shd w:fill="12344D"/>
          </w:tcPr>
          <w:p>
            <w:pPr>
              <w:spacing w:after="0" w:line="235" w:lineRule="auto"/>
              <w:jc w:val="left"/>
            </w:pPr>
            <w:r>
              <w:rPr>
                <w:b/>
                <w:i w:val="0"/>
                <w:color w:val="FFFFFF"/>
                <w:sz w:val="14"/>
              </w:rPr>
              <w:t>ID</w:t>
            </w:r>
          </w:p>
        </w:tc>
        <w:tc>
          <w:tcPr>
            <w:tcW w:type="dxa" w:w="2100"/>
            <w:vAlign w:val="center"/>
            <w:tcMar>
              <w:top w:w="82" w:type="dxa"/>
              <w:start w:w="95" w:type="dxa"/>
              <w:bottom w:w="82" w:type="dxa"/>
              <w:end w:w="95" w:type="dxa"/>
            </w:tcMar>
            <w:shd w:fill="12344D"/>
          </w:tcPr>
          <w:p>
            <w:pPr>
              <w:spacing w:after="0" w:line="235" w:lineRule="auto"/>
              <w:jc w:val="left"/>
            </w:pPr>
            <w:r>
              <w:rPr>
                <w:b/>
                <w:i w:val="0"/>
                <w:color w:val="FFFFFF"/>
                <w:sz w:val="14"/>
              </w:rPr>
              <w:t>Construit</w:t>
            </w:r>
          </w:p>
        </w:tc>
        <w:tc>
          <w:tcPr>
            <w:tcW w:type="dxa" w:w="2500"/>
            <w:vAlign w:val="center"/>
            <w:tcMar>
              <w:top w:w="82" w:type="dxa"/>
              <w:start w:w="95" w:type="dxa"/>
              <w:bottom w:w="82" w:type="dxa"/>
              <w:end w:w="95" w:type="dxa"/>
            </w:tcMar>
            <w:shd w:fill="12344D"/>
          </w:tcPr>
          <w:p>
            <w:pPr>
              <w:spacing w:after="0" w:line="235" w:lineRule="auto"/>
              <w:jc w:val="left"/>
            </w:pPr>
            <w:r>
              <w:rPr>
                <w:b/>
                <w:i w:val="0"/>
                <w:color w:val="FFFFFF"/>
                <w:sz w:val="14"/>
              </w:rPr>
              <w:t>Observable possible</w:t>
            </w:r>
          </w:p>
        </w:tc>
        <w:tc>
          <w:tcPr>
            <w:tcW w:type="dxa" w:w="2960"/>
            <w:vAlign w:val="center"/>
            <w:tcMar>
              <w:top w:w="82" w:type="dxa"/>
              <w:start w:w="95" w:type="dxa"/>
              <w:bottom w:w="82" w:type="dxa"/>
              <w:end w:w="95" w:type="dxa"/>
            </w:tcMar>
            <w:shd w:fill="12344D"/>
          </w:tcPr>
          <w:p>
            <w:pPr>
              <w:spacing w:after="0" w:line="235" w:lineRule="auto"/>
              <w:jc w:val="left"/>
            </w:pPr>
            <w:r>
              <w:rPr>
                <w:b/>
                <w:i w:val="0"/>
                <w:color w:val="FFFFFF"/>
                <w:sz w:val="14"/>
              </w:rPr>
              <w:t>Confusion majeure</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CMR-C01</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Géométrie cavitaire</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Contours et volumes</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Convention de segmentation</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CMR-C02</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Masse myocardique apparente</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Volume myocardique dérivé</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Densité conventionnelle, phase</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CMR-C03</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Mouvement de paroi</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Ciné et déplacement</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Charge et mouvement global</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CMR-C04</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Déformation</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Strain et strain rate</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Méthode, repère, hors-plan</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CMR-C05</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Relaxation longitudinale effective</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T1 estimé</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Séquence, champ, rythme</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CMR-C06</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Relaxation transverse effective</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T2 estimé</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Préparation, B0/B1, mouvement</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CMR-C07</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Déphasage effectif</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T2* estimé</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Susceptibilité et plancher de bruit</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CMR-C08</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Espace extracellulaire accessible</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ECV estimé</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Hématocrite et cinétique</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CMR-C09</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Distribution tardive de contraste</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LGE relatif</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Référence et suppression</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CMR-C10</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Délivrance capillaire apparente</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Courbes de perfusion</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Fonction d’entrée et modèle</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CMR-C11</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Vitesse macroscopique</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Phase encodée</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Offset et aliasing</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CMR-C12</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Flux volumique</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Intégrale vitesse-surface</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Plan et segmentation</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CMR-C13</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Organisation de flux</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Champ 4D dérivé</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Résolution et dérivées</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CMR-C14</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Diffusion effective</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Signal DWI, ADC apparent</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Mouvement et perfusion</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CMR-C15</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Anisotropie effective</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Tenseur et orientations</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Modèle et repère</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CMR-C16</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Morphologie tissulaire</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Images pondérées</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Contraste non spécifique</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CMR-C17</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Stabilité de mesure</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Répétitions et QC</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Variation biologique</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CMR-C18</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Changement longitudinal</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Différence entre temps</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Rupture de méthode et régression vers la moyenne</w:t>
            </w:r>
          </w:p>
        </w:tc>
      </w:tr>
    </w:tbl>
    <w:p>
      <w:pPr>
        <w:spacing w:after="0"/>
      </w:pPr>
    </w:p>
    <w:p>
      <w:pPr>
        <w:pStyle w:val="Heading2"/>
      </w:pPr>
      <w:r>
        <w:t>51. Objectifs CMR-O01 à CMR-O18</w:t>
      </w:r>
    </w:p>
    <w:p>
      <w:pPr>
        <w:pStyle w:val="Heading3"/>
      </w:pPr>
      <w:r>
        <w:t>CMR-O01 — Caractériser la fidélité d’une mesure de volume</w:t>
      </w:r>
    </w:p>
    <w:p>
      <w:pPr>
        <w:widowControl/>
      </w:pPr>
      <w:r>
        <w:rPr>
          <w:b/>
          <w:i w:val="0"/>
        </w:rPr>
        <w:t>Population :</w:t>
      </w:r>
      <w:r>
        <w:rPr>
          <w:b w:val="0"/>
          <w:i w:val="0"/>
        </w:rPr>
        <w:t xml:space="preserve"> objets, volontaires ou sujets couvrant la gamme pertinente. </w:t>
      </w:r>
      <w:r>
        <w:rPr>
          <w:b/>
          <w:i w:val="0"/>
        </w:rPr>
        <w:t>Mesurande :</w:t>
      </w:r>
      <w:r>
        <w:rPr>
          <w:b w:val="0"/>
          <w:i w:val="0"/>
        </w:rPr>
        <w:t xml:space="preserve"> volume selon convention préspécifiée. </w:t>
      </w:r>
      <w:r>
        <w:rPr>
          <w:b/>
          <w:i w:val="0"/>
        </w:rPr>
        <w:t>Référence :</w:t>
      </w:r>
      <w:r>
        <w:rPr>
          <w:b w:val="0"/>
          <w:i w:val="0"/>
        </w:rPr>
        <w:t xml:space="preserve"> méthode indépendante ou objet traçable. </w:t>
      </w:r>
      <w:r>
        <w:rPr>
          <w:b/>
          <w:i w:val="0"/>
        </w:rPr>
        <w:t>Endpoint :</w:t>
      </w:r>
      <w:r>
        <w:rPr>
          <w:b w:val="0"/>
          <w:i w:val="0"/>
        </w:rPr>
        <w:t xml:space="preserve"> biais, dispersion et taux de non-évaluabilité. </w:t>
      </w:r>
      <w:r>
        <w:rPr>
          <w:b/>
          <w:i w:val="0"/>
        </w:rPr>
        <w:t>Condition de succès :</w:t>
      </w:r>
      <w:r>
        <w:rPr>
          <w:b w:val="0"/>
          <w:i w:val="0"/>
        </w:rPr>
        <w:t xml:space="preserve"> erreur compatible avec l’usage déclaré.</w:t>
      </w:r>
    </w:p>
    <w:p>
      <w:pPr>
        <w:pStyle w:val="Heading3"/>
      </w:pPr>
      <w:r>
        <w:t>CMR-O02 — Comparer ciné bSSFP et GRE</w:t>
      </w:r>
    </w:p>
    <w:p>
      <w:pPr>
        <w:widowControl/>
      </w:pPr>
      <w:r>
        <w:rPr>
          <w:b w:val="0"/>
          <w:i w:val="0"/>
        </w:rPr>
        <w:t>Comparer contraste, contours et mesures, sans présumer l’interchangeabilité. L’étude doit séparer différence de séquence, différence de contour et effet du lecteur.</w:t>
      </w:r>
    </w:p>
    <w:p>
      <w:pPr>
        <w:pStyle w:val="Heading3"/>
      </w:pPr>
      <w:r>
        <w:t>CMR-O03 — Quantifier l’effet de la résolution sur le strain</w:t>
      </w:r>
    </w:p>
    <w:p>
      <w:pPr>
        <w:widowControl/>
      </w:pPr>
      <w:r>
        <w:rPr>
          <w:b w:val="0"/>
          <w:i w:val="0"/>
        </w:rPr>
        <w:t>Faire varier résolution spatiale et temporelle dans une chaîne contrôlée. Tester global et segmentaire séparément, avec cas limites et mouvement hors plan.</w:t>
      </w:r>
    </w:p>
    <w:p>
      <w:pPr>
        <w:pStyle w:val="Heading3"/>
      </w:pPr>
      <w:r>
        <w:t>CMR-O04 — Évaluer la stabilité locale de T1</w:t>
      </w:r>
    </w:p>
    <w:p>
      <w:pPr>
        <w:widowControl/>
      </w:pPr>
      <w:r>
        <w:rPr>
          <w:b w:val="0"/>
          <w:i w:val="0"/>
        </w:rPr>
        <w:t>Combiner phantom, contrôles humains et journal de maintenance. Définir la dérive acceptable selon le changement biologique minimal visé.</w:t>
      </w:r>
    </w:p>
    <w:p>
      <w:pPr>
        <w:pStyle w:val="Heading3"/>
      </w:pPr>
      <w:r>
        <w:t>CMR-O05 — Évaluer la transportabilité de T2</w:t>
      </w:r>
    </w:p>
    <w:p>
      <w:pPr>
        <w:widowControl/>
      </w:pPr>
      <w:r>
        <w:rPr>
          <w:b w:val="0"/>
          <w:i w:val="0"/>
        </w:rPr>
        <w:t>Comparer sites ou méthodes avec objets et volontaires communs. L’objectif n’est pas seulement de corréler les valeurs, mais de mesurer les biais et leur dépendance à la gamme.</w:t>
      </w:r>
    </w:p>
    <w:p>
      <w:pPr>
        <w:pStyle w:val="Heading3"/>
      </w:pPr>
      <w:r>
        <w:t>CMR-O06 — Valider un estimateur ECV</w:t>
      </w:r>
    </w:p>
    <w:p>
      <w:pPr>
        <w:widowControl/>
      </w:pPr>
      <w:r>
        <w:rPr>
          <w:b w:val="0"/>
          <w:i w:val="0"/>
        </w:rPr>
        <w:t>Évaluer les quatre mesures T1, l’hématocrite, l’enregistrement et la cinétique. Tester propagation d’incertitude et sensibilité aux données manquantes.</w:t>
      </w:r>
    </w:p>
    <w:p>
      <w:pPr>
        <w:pStyle w:val="Heading3"/>
      </w:pPr>
      <w:r>
        <w:t>CMR-O07 — Qualifier une quantification de LGE</w:t>
      </w:r>
    </w:p>
    <w:p>
      <w:pPr>
        <w:widowControl/>
      </w:pPr>
      <w:r>
        <w:rPr>
          <w:b w:val="0"/>
          <w:i w:val="0"/>
        </w:rPr>
        <w:t>Définir le construit — étendue relative, masse ou distribution — puis comparer méthodes de segmentation et références. Ne pas utiliser « fibrose » comme mesurande sans validation histologique adaptée.</w:t>
      </w:r>
    </w:p>
    <w:p>
      <w:pPr>
        <w:pStyle w:val="Heading3"/>
      </w:pPr>
      <w:r>
        <w:t>CMR-O08 — Valider une perfusion quantitative</w:t>
      </w:r>
    </w:p>
    <w:p>
      <w:pPr>
        <w:widowControl/>
      </w:pPr>
      <w:r>
        <w:rPr>
          <w:b w:val="0"/>
          <w:i w:val="0"/>
        </w:rPr>
        <w:t>Documenter relation signal-concentration, fonction d’entrée, modèle, unités, reconstruction, stress physiologique et référence. Étudier les échecs de saturation et mouvement.</w:t>
      </w:r>
    </w:p>
    <w:p>
      <w:pPr>
        <w:pStyle w:val="Heading3"/>
      </w:pPr>
      <w:r>
        <w:t>CMR-O09 — Valider un débit de contraste de phase</w:t>
      </w:r>
    </w:p>
    <w:p>
      <w:pPr>
        <w:widowControl/>
      </w:pPr>
      <w:r>
        <w:rPr>
          <w:b w:val="0"/>
          <w:i w:val="0"/>
        </w:rPr>
        <w:t>Tester offset, aliasing, plan, segmentation et conservation des flux. Produire une incertitude par mesure, pas seulement une moyenne de groupe.</w:t>
      </w:r>
    </w:p>
    <w:p>
      <w:pPr>
        <w:pStyle w:val="Heading3"/>
      </w:pPr>
      <w:r>
        <w:t>CMR-O10 — Évaluer un biomarqueur 4D Flow</w:t>
      </w:r>
    </w:p>
    <w:p>
      <w:pPr>
        <w:widowControl/>
      </w:pPr>
      <w:r>
        <w:rPr>
          <w:b w:val="0"/>
          <w:i w:val="0"/>
        </w:rPr>
        <w:t>Séparer validation du champ de vitesse et validation du dérivé. Tester résolution, segmentation, correction de phase et reproductibilité inter-site.</w:t>
      </w:r>
    </w:p>
    <w:p>
      <w:pPr>
        <w:pStyle w:val="Heading3"/>
      </w:pPr>
      <w:r>
        <w:t>CMR-O11 — Évaluer une métrique cDTI</w:t>
      </w:r>
    </w:p>
    <w:p>
      <w:pPr>
        <w:widowControl/>
      </w:pPr>
      <w:r>
        <w:rPr>
          <w:b w:val="0"/>
          <w:i w:val="0"/>
        </w:rPr>
        <w:t>Définir repère, modèle, compensation de mouvement et seuil de qualité. Rapporter le taux de tenseurs non physiques et d’examens rejetés.</w:t>
      </w:r>
    </w:p>
    <w:p>
      <w:pPr>
        <w:pStyle w:val="Heading3"/>
      </w:pPr>
      <w:r>
        <w:t>CMR-O12 — Construire un intervalle de référence</w:t>
      </w:r>
    </w:p>
    <w:p>
      <w:pPr>
        <w:widowControl/>
      </w:pPr>
      <w:r>
        <w:rPr>
          <w:b w:val="0"/>
          <w:i w:val="0"/>
        </w:rPr>
        <w:t>Recruter une population pertinente, documenter méthode et facteurs biologiques, estimer la distribution et valider dans un échantillon indépendant.</w:t>
      </w:r>
    </w:p>
    <w:p>
      <w:pPr>
        <w:pStyle w:val="Heading3"/>
      </w:pPr>
      <w:r>
        <w:t>CMR-O13 — Détecter une rupture de série</w:t>
      </w:r>
    </w:p>
    <w:p>
      <w:pPr>
        <w:widowControl/>
      </w:pPr>
      <w:r>
        <w:rPr>
          <w:b w:val="0"/>
          <w:i w:val="0"/>
        </w:rPr>
        <w:t>Introduire une mise à jour contrôlée de séquence, reconstruction ou logiciel. Quantifier le biais de pont et décider si les mesures longitudinales restent combinables.</w:t>
      </w:r>
    </w:p>
    <w:p>
      <w:pPr>
        <w:pStyle w:val="Heading3"/>
      </w:pPr>
      <w:r>
        <w:t>CMR-O14 — Évaluer un contrôle qualité automatique</w:t>
      </w:r>
    </w:p>
    <w:p>
      <w:pPr>
        <w:widowControl/>
      </w:pPr>
      <w:r>
        <w:rPr>
          <w:b w:val="0"/>
          <w:i w:val="0"/>
        </w:rPr>
        <w:t>Comparer au jugement expert et aux erreurs connues, avec validation externe. Mesurer sensibilité aux échecs rares, faux rejets et faux acceptés.</w:t>
      </w:r>
    </w:p>
    <w:p>
      <w:pPr>
        <w:pStyle w:val="Heading3"/>
      </w:pPr>
      <w:r>
        <w:t>CMR-O15 — Mesurer la répétabilité</w:t>
      </w:r>
    </w:p>
    <w:p>
      <w:pPr>
        <w:widowControl/>
      </w:pPr>
      <w:r>
        <w:rPr>
          <w:b w:val="0"/>
          <w:i w:val="0"/>
        </w:rPr>
        <w:t>Répéter sous conditions proches, sans confondre variabilité physiologique et technique. Définir l’intervalle temporel et les facteurs maintenus constants.</w:t>
      </w:r>
    </w:p>
    <w:p>
      <w:pPr>
        <w:pStyle w:val="Heading3"/>
      </w:pPr>
      <w:r>
        <w:t>CMR-O16 — Mesurer la reproductibilité</w:t>
      </w:r>
    </w:p>
    <w:p>
      <w:pPr>
        <w:widowControl/>
      </w:pPr>
      <w:r>
        <w:rPr>
          <w:b w:val="0"/>
          <w:i w:val="0"/>
        </w:rPr>
        <w:t>Faire varier explicitement lecteur, site, système, logiciel ou version. Estimer les composantes de variance et l’accord absolu.</w:t>
      </w:r>
    </w:p>
    <w:p>
      <w:pPr>
        <w:pStyle w:val="Heading3"/>
      </w:pPr>
      <w:r>
        <w:t>CMR-O17 — Évaluer un changement longitudinal</w:t>
      </w:r>
    </w:p>
    <w:p>
      <w:pPr>
        <w:widowControl/>
      </w:pPr>
      <w:r>
        <w:rPr>
          <w:b w:val="0"/>
          <w:i w:val="0"/>
        </w:rPr>
        <w:t>Définir la différence minimale détectable à partir de l’erreur et de la variation biologique. Préserver les examens non évaluables dans l’analyse.</w:t>
      </w:r>
    </w:p>
    <w:p>
      <w:pPr>
        <w:pStyle w:val="Heading3"/>
      </w:pPr>
      <w:r>
        <w:t>CMR-O18 — Cartographier la non-évaluabilité</w:t>
      </w:r>
    </w:p>
    <w:p>
      <w:pPr>
        <w:widowControl/>
      </w:pPr>
      <w:r>
        <w:rPr>
          <w:b w:val="0"/>
          <w:i w:val="0"/>
        </w:rPr>
        <w:t>Identifier quels sujets, régions et séquences échouent, pourquoi et à quelle étape. Tester si l’échec est associé au phénotype ou au site.</w:t>
      </w:r>
    </w:p>
    <w:p>
      <w:pPr>
        <w:pStyle w:val="Heading2"/>
      </w:pPr>
      <w:r>
        <w:t>52. Hypothèses réfutables CMR-H01 à CMR-H18</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900"/>
        <w:gridCol w:w="3000"/>
        <w:gridCol w:w="4460"/>
      </w:tblGrid>
      <w:tr>
        <w:trPr>
          <w:cantSplit/>
          <w:tblHeader w:val="true"/>
        </w:trPr>
        <w:tc>
          <w:tcPr>
            <w:tcW w:type="dxa" w:w="1900"/>
            <w:vAlign w:val="center"/>
            <w:tcMar>
              <w:top w:w="82" w:type="dxa"/>
              <w:start w:w="95" w:type="dxa"/>
              <w:bottom w:w="82" w:type="dxa"/>
              <w:end w:w="95" w:type="dxa"/>
            </w:tcMar>
            <w:shd w:fill="12344D"/>
          </w:tcPr>
          <w:p>
            <w:pPr>
              <w:spacing w:after="0" w:line="235" w:lineRule="auto"/>
              <w:jc w:val="left"/>
            </w:pPr>
            <w:r>
              <w:rPr>
                <w:b/>
                <w:i w:val="0"/>
                <w:color w:val="FFFFFF"/>
                <w:sz w:val="15"/>
              </w:rPr>
              <w:t>ID</w:t>
            </w:r>
          </w:p>
        </w:tc>
        <w:tc>
          <w:tcPr>
            <w:tcW w:type="dxa" w:w="3000"/>
            <w:vAlign w:val="center"/>
            <w:tcMar>
              <w:top w:w="82" w:type="dxa"/>
              <w:start w:w="95" w:type="dxa"/>
              <w:bottom w:w="82" w:type="dxa"/>
              <w:end w:w="95" w:type="dxa"/>
            </w:tcMar>
            <w:shd w:fill="12344D"/>
          </w:tcPr>
          <w:p>
            <w:pPr>
              <w:spacing w:after="0" w:line="235" w:lineRule="auto"/>
              <w:jc w:val="left"/>
            </w:pPr>
            <w:r>
              <w:rPr>
                <w:b/>
                <w:i w:val="0"/>
                <w:color w:val="FFFFFF"/>
                <w:sz w:val="15"/>
              </w:rPr>
              <w:t>Hypothèse</w:t>
            </w:r>
          </w:p>
        </w:tc>
        <w:tc>
          <w:tcPr>
            <w:tcW w:type="dxa" w:w="4460"/>
            <w:vAlign w:val="center"/>
            <w:tcMar>
              <w:top w:w="82" w:type="dxa"/>
              <w:start w:w="95" w:type="dxa"/>
              <w:bottom w:w="82" w:type="dxa"/>
              <w:end w:w="95" w:type="dxa"/>
            </w:tcMar>
            <w:shd w:fill="12344D"/>
          </w:tcPr>
          <w:p>
            <w:pPr>
              <w:spacing w:after="0" w:line="235" w:lineRule="auto"/>
              <w:jc w:val="left"/>
            </w:pPr>
            <w:r>
              <w:rPr>
                <w:b/>
                <w:i w:val="0"/>
                <w:color w:val="FFFFFF"/>
                <w:sz w:val="15"/>
              </w:rPr>
              <w:t>Réfutation opérationnelle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CMR-H01</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Une chaîne de volumes conserve un biais compatible avec son usage</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Limites d’accord dépassant le seuil préspécifié</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CMR-H02</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bSSFP et GRE sont interchangeables après harmonisation de contours</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Biais résiduel dépendant du volume ou du rythme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CMR-H03</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Le strain global est moins sensible à la résolution que le segmentaire</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Effet égal ou supérieur sur le global</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CMR-H04</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Le phantom détecte les dérives majeures de T1 avant les contrôles humains</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Dérive humaine sans signal phantom associé</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CMR-H05</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Une standardisation rapprochée réduit la variance inter-site T2</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Variance inchangée ou perte du signal biologique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CMR-H06</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L’incertitude ECV est dominée par une composante identifiable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Aucune composante dominante stable selon les cas</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CMR-H07</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Deux méthodes LGE produisent des classements non interchangeables</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Accord préspécifié démontré dans toute la gamme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CMR-H08</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Le modèle de perfusion reste identifiable sous mouvement représentatif</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Paramètres instables ou multimodaux</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CMR-H09</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La correction de phase réduit le biais de flux sans augmenter la variance au-delà du seuil</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Échec d’accord ou artefacts induits</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CMR-H10</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Un dérivé 4D Flow ajoute une information répétable au débit simple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Fiabilité ou valeur incrémentale insuffisante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CMR-H11</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Une métrique cDTI est reproductible entre jours dans la population ciblée</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Limites incompatibles avec l’usage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CMR-H12</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L’intervalle de référence externe couvre la proportion attendue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Couverture insuffisante ou biais de sous-groupe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CMR-H13</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Une étude de pont corrige la rupture de version</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Interaction résiduelle version-valeur ou version-site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CMR-H14</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Le QC automatique détecte les erreurs critiques avec sensibilité suffisante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Faux acceptés au-delà du plafond prévu</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CMR-H15</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La répétabilité locale reste stable dans le temps</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Dérive des composantes de variance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CMR-H16</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La variance lecteur est inférieure à la variance inter-sujet utile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Variance lecteur dominante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CMR-H17</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Une variation longitudinale dépasse erreur technique et biologique</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Intervalle du changement recouvrant la zone d’indécision</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CMR-H18</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Les données manquantes sont indépendantes du phénotype après ajustement</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Association résiduelle avec gravité, rythme ou site</w:t>
            </w:r>
          </w:p>
        </w:tc>
      </w:tr>
    </w:tbl>
    <w:p>
      <w:pPr>
        <w:spacing w:after="0"/>
      </w:pPr>
    </w:p>
    <w:p>
      <w:r>
        <w:br w:type="page"/>
      </w:r>
    </w:p>
    <w:p>
      <w:pPr>
        <w:pStyle w:val="Heading1"/>
        <w:pBdr>
          <w:bottom w:val="single" w:sz="12" w:space="7" w:color="22A6B3"/>
        </w:pBdr>
      </w:pPr>
      <w:r>
        <w:t>PARTIE XIII — DÉCISIONS SCIENTIFIQUES SUCCESSIVES</w:t>
      </w:r>
    </w:p>
    <w:p>
      <w:pPr>
        <w:pStyle w:val="Heading2"/>
      </w:pPr>
      <w:r>
        <w:t>53. Chaîne CMR-D00 à CMR-D18</w:t>
      </w:r>
    </w:p>
    <w:p>
      <w:pPr>
        <w:pStyle w:val="Heading3"/>
      </w:pPr>
      <w:r>
        <w:t>CMR-D00 — Reformuler l’intention</w:t>
      </w:r>
    </w:p>
    <w:p>
      <w:pPr>
        <w:widowControl/>
      </w:pPr>
      <w:r>
        <w:rPr>
          <w:b w:val="0"/>
          <w:i w:val="0"/>
        </w:rPr>
        <w:t>Transformer « étudier l’IRM cardiaque » en une question nommant construit, population, rôle de la mesure et conséquence scientifique.</w:t>
      </w:r>
    </w:p>
    <w:p>
      <w:pPr>
        <w:pStyle w:val="Heading3"/>
      </w:pPr>
      <w:r>
        <w:t>CMR-D01 — Nommer le construit</w:t>
      </w:r>
    </w:p>
    <w:p>
      <w:pPr>
        <w:widowControl/>
      </w:pPr>
      <w:r>
        <w:rPr>
          <w:b w:val="0"/>
          <w:i w:val="0"/>
        </w:rPr>
        <w:t>Choisir un construit de la bibliothèque ou en créer un avec définition. Refuser les termes génériques tels que « atteinte » ou « fonction » sans décomposition.</w:t>
      </w:r>
    </w:p>
    <w:p>
      <w:pPr>
        <w:pStyle w:val="Heading3"/>
      </w:pPr>
      <w:r>
        <w:t>CMR-D02 — Définir le mesurande</w:t>
      </w:r>
    </w:p>
    <w:p>
      <w:pPr>
        <w:widowControl/>
      </w:pPr>
      <w:r>
        <w:rPr>
          <w:b w:val="0"/>
          <w:i w:val="0"/>
        </w:rPr>
        <w:t>Préciser grandeur, région, phase, repère, unité et convention. Si cette définition manque, aucune validation analytique n’est possible.</w:t>
      </w:r>
    </w:p>
    <w:p>
      <w:pPr>
        <w:pStyle w:val="Heading3"/>
      </w:pPr>
      <w:r>
        <w:t>CMR-D03 — Identifier la chaîne de mesure</w:t>
      </w:r>
    </w:p>
    <w:p>
      <w:pPr>
        <w:widowControl/>
      </w:pPr>
      <w:r>
        <w:rPr>
          <w:b w:val="0"/>
          <w:i w:val="0"/>
        </w:rPr>
        <w:t>Documenter séquence, préparation, échantillonnage, reconstruction, analyse et version au niveau nécessaire pour reconstruire la logique, sans produire un protocole clinique.</w:t>
      </w:r>
    </w:p>
    <w:p>
      <w:pPr>
        <w:pStyle w:val="Heading3"/>
      </w:pPr>
      <w:r>
        <w:t>CMR-D04 — Définir le contexte d’usage</w:t>
      </w:r>
    </w:p>
    <w:p>
      <w:pPr>
        <w:widowControl/>
      </w:pPr>
      <w:r>
        <w:rPr>
          <w:b w:val="0"/>
          <w:i w:val="0"/>
        </w:rPr>
        <w:t>Préciser exploration, diagnostic de recherche, pronostic, sélection, pharmacodynamie, sécurité ou endpoint. Un biomarqueur peut être valide dans un rôle et insuffisant dans un autre.</w:t>
      </w:r>
    </w:p>
    <w:p>
      <w:pPr>
        <w:pStyle w:val="Heading3"/>
      </w:pPr>
      <w:r>
        <w:t>CMR-D05 — Choisir la population source</w:t>
      </w:r>
    </w:p>
    <w:p>
      <w:pPr>
        <w:widowControl/>
      </w:pPr>
      <w:r>
        <w:rPr>
          <w:b w:val="0"/>
          <w:i w:val="0"/>
        </w:rPr>
        <w:t>Décrire spectre, facteurs physiologiques, exclusions et faisabilité. Prévoir les non-imageables.</w:t>
      </w:r>
    </w:p>
    <w:p>
      <w:pPr>
        <w:pStyle w:val="Heading3"/>
      </w:pPr>
      <w:r>
        <w:t>CMR-D06 — Choisir la référence</w:t>
      </w:r>
    </w:p>
    <w:p>
      <w:pPr>
        <w:widowControl/>
      </w:pPr>
      <w:r>
        <w:rPr>
          <w:b w:val="0"/>
          <w:i w:val="0"/>
        </w:rPr>
        <w:t>Une référence peut être physique, phantom, méthode comparative, histologie, mesure invasive, consensus expert ou résultat clinique. Ses propres erreurs doivent être reconnues.</w:t>
      </w:r>
    </w:p>
    <w:p>
      <w:pPr>
        <w:pStyle w:val="Heading3"/>
      </w:pPr>
      <w:r>
        <w:t>CMR-D07 — Définir la qualité avant l’analyse</w:t>
      </w:r>
    </w:p>
    <w:p>
      <w:pPr>
        <w:widowControl/>
      </w:pPr>
      <w:r>
        <w:rPr>
          <w:b w:val="0"/>
          <w:i w:val="0"/>
        </w:rPr>
        <w:t>Séparer critères d’acceptation, règles de correction, échecs et niveaux d’incertitude. Les règles ne doivent pas être modifiées en observant les résultats.</w:t>
      </w:r>
    </w:p>
    <w:p>
      <w:pPr>
        <w:pStyle w:val="Heading3"/>
      </w:pPr>
      <w:r>
        <w:t>CMR-D08 — Définir les confondeurs techniques</w:t>
      </w:r>
    </w:p>
    <w:p>
      <w:pPr>
        <w:widowControl/>
      </w:pPr>
      <w:r>
        <w:rPr>
          <w:b w:val="0"/>
          <w:i w:val="0"/>
        </w:rPr>
        <w:t>Champ, rythme, respiration, contraste, antenne, site, reconstruction, logiciel, lecteur et version sont évalués selon le biomarqueur.</w:t>
      </w:r>
    </w:p>
    <w:p>
      <w:pPr>
        <w:pStyle w:val="Heading3"/>
      </w:pPr>
      <w:r>
        <w:t>CMR-D09 — Définir les confondeurs biologiques</w:t>
      </w:r>
    </w:p>
    <w:p>
      <w:pPr>
        <w:widowControl/>
      </w:pPr>
      <w:r>
        <w:rPr>
          <w:b w:val="0"/>
          <w:i w:val="0"/>
        </w:rPr>
        <w:t>Âge, sexe, taille, fréquence, charge, hydratation, hématocrite, heure et autres variables pertinentes sont préspécifiés sans inventer un ajustement universel.</w:t>
      </w:r>
    </w:p>
    <w:p>
      <w:pPr>
        <w:pStyle w:val="Heading3"/>
      </w:pPr>
      <w:r>
        <w:t>CMR-D10 — Choisir l’unité d’analyse</w:t>
      </w:r>
    </w:p>
    <w:p>
      <w:pPr>
        <w:widowControl/>
      </w:pPr>
      <w:r>
        <w:rPr>
          <w:b w:val="0"/>
          <w:i w:val="0"/>
        </w:rPr>
        <w:t>Sujet, examen, ventricule, segment, voxel ou cycle ne sont pas indépendants. La structure hiérarchique doit être reflétée dans le plan d’analyse.</w:t>
      </w:r>
    </w:p>
    <w:p>
      <w:pPr>
        <w:pStyle w:val="Heading3"/>
      </w:pPr>
      <w:r>
        <w:t>CMR-D11 — Définir répétitions et changements de conditions</w:t>
      </w:r>
    </w:p>
    <w:p>
      <w:pPr>
        <w:widowControl/>
      </w:pPr>
      <w:r>
        <w:rPr>
          <w:b w:val="0"/>
          <w:i w:val="0"/>
        </w:rPr>
        <w:t>Nommer ce qui reste constant et ce qui varie. Séparer répétabilité, reproductibilité et changement biologique.</w:t>
      </w:r>
    </w:p>
    <w:p>
      <w:pPr>
        <w:pStyle w:val="Heading3"/>
      </w:pPr>
      <w:r>
        <w:t>CMR-D12 — Fixer le critère d’acceptabilité</w:t>
      </w:r>
    </w:p>
    <w:p>
      <w:pPr>
        <w:widowControl/>
      </w:pPr>
      <w:r>
        <w:rPr>
          <w:b w:val="0"/>
          <w:i w:val="0"/>
        </w:rPr>
        <w:t>Le seuil d’erreur acceptable vient du contexte d’usage, pas de la seule littérature ni d’une p-value.</w:t>
      </w:r>
    </w:p>
    <w:p>
      <w:pPr>
        <w:pStyle w:val="Heading3"/>
      </w:pPr>
      <w:r>
        <w:t>CMR-D13 — Préserver les données brutes et la provenance</w:t>
      </w:r>
    </w:p>
    <w:p>
      <w:pPr>
        <w:widowControl/>
      </w:pPr>
      <w:r>
        <w:rPr>
          <w:b w:val="0"/>
          <w:i w:val="0"/>
        </w:rPr>
        <w:t>Conserver source, version, transformations, exclusions et résultats intermédiaires nécessaires à l’audit. Une valeur sans provenance est non réutilisable.</w:t>
      </w:r>
    </w:p>
    <w:p>
      <w:pPr>
        <w:pStyle w:val="Heading3"/>
      </w:pPr>
      <w:r>
        <w:t>CMR-D14 — Planifier l’étude de pont</w:t>
      </w:r>
    </w:p>
    <w:p>
      <w:pPr>
        <w:widowControl/>
      </w:pPr>
      <w:r>
        <w:rPr>
          <w:b w:val="0"/>
          <w:i w:val="0"/>
        </w:rPr>
        <w:t>Tout changement de chaîne susceptible de modifier la mesure nécessite comparaison parallèle ou justification documentée.</w:t>
      </w:r>
    </w:p>
    <w:p>
      <w:pPr>
        <w:pStyle w:val="Heading3"/>
      </w:pPr>
      <w:r>
        <w:t>CMR-D15 — Définir l’incertitude</w:t>
      </w:r>
    </w:p>
    <w:p>
      <w:pPr>
        <w:widowControl/>
      </w:pPr>
      <w:r>
        <w:rPr>
          <w:b w:val="0"/>
          <w:i w:val="0"/>
        </w:rPr>
        <w:t>Inclure au moins variabilité répétée et biais connus pertinents. Ne pas présenter une décimale supplémentaire comme de l’information.</w:t>
      </w:r>
    </w:p>
    <w:p>
      <w:pPr>
        <w:pStyle w:val="Heading3"/>
      </w:pPr>
      <w:r>
        <w:t>CMR-D16 — Tester la falsifiabilité</w:t>
      </w:r>
    </w:p>
    <w:p>
      <w:pPr>
        <w:widowControl/>
      </w:pPr>
      <w:r>
        <w:rPr>
          <w:b w:val="0"/>
          <w:i w:val="0"/>
        </w:rPr>
        <w:t>Énoncer le résultat qui invaliderait l’hypothèse. Une étude conçue seulement pour montrer la faisabilité ne qualifie pas un biomarqueur.</w:t>
      </w:r>
    </w:p>
    <w:p>
      <w:pPr>
        <w:pStyle w:val="Heading3"/>
      </w:pPr>
      <w:r>
        <w:t>CMR-D17 — Adjuger les contradictions</w:t>
      </w:r>
    </w:p>
    <w:p>
      <w:pPr>
        <w:widowControl/>
      </w:pPr>
      <w:r>
        <w:rPr>
          <w:b w:val="0"/>
          <w:i w:val="0"/>
        </w:rPr>
        <w:t>Conserver désaccords entre lecteurs, méthodes, phantoms et données humaines. Prévoir une analyse de sensibilité, pas une suppression silencieuse.</w:t>
      </w:r>
    </w:p>
    <w:p>
      <w:pPr>
        <w:pStyle w:val="Heading3"/>
      </w:pPr>
      <w:r>
        <w:t>CMR-D18 — Autoriser ou refuser la conception de protocole</w:t>
      </w:r>
    </w:p>
    <w:p>
      <w:pPr>
        <w:widowControl/>
      </w:pPr>
      <w:r>
        <w:rPr>
          <w:b w:val="0"/>
          <w:i w:val="0"/>
        </w:rPr>
        <w:t xml:space="preserve">La sortie est </w:t>
      </w:r>
      <w:r>
        <w:rPr>
          <w:b/>
          <w:i w:val="0"/>
        </w:rPr>
        <w:t>READY_FOR_PROTOCOL_DESIGN</w:t>
      </w:r>
      <w:r>
        <w:rPr>
          <w:b w:val="0"/>
          <w:i w:val="0"/>
        </w:rPr>
        <w:t xml:space="preserve">, </w:t>
      </w:r>
      <w:r>
        <w:rPr>
          <w:b/>
          <w:i w:val="0"/>
        </w:rPr>
        <w:t>RESEARCH_CLARIFICATION_REQUIRED</w:t>
      </w:r>
      <w:r>
        <w:rPr>
          <w:b w:val="0"/>
          <w:i w:val="0"/>
        </w:rPr>
        <w:t xml:space="preserve"> ou </w:t>
      </w:r>
      <w:r>
        <w:rPr>
          <w:b/>
          <w:i w:val="0"/>
        </w:rPr>
        <w:t>NOT_JUSTIFIED</w:t>
      </w:r>
      <w:r>
        <w:rPr>
          <w:b w:val="0"/>
          <w:i w:val="0"/>
        </w:rPr>
        <w:t>. Ce Reasoning Book ne franchit pas lui-même cette porte.</w:t>
      </w:r>
    </w:p>
    <w:p>
      <w:r>
        <w:br w:type="page"/>
      </w:r>
    </w:p>
    <w:p>
      <w:pPr>
        <w:pStyle w:val="Heading1"/>
        <w:pBdr>
          <w:bottom w:val="single" w:sz="12" w:space="7" w:color="22A6B3"/>
        </w:pBdr>
      </w:pPr>
      <w:r>
        <w:t>PARTIE XIV — CONDITIONS DE REFUS</w:t>
      </w:r>
    </w:p>
    <w:p>
      <w:pPr>
        <w:pStyle w:val="Heading2"/>
      </w:pPr>
      <w:r>
        <w:t>54. Principe</w:t>
      </w:r>
    </w:p>
    <w:p>
      <w:pPr>
        <w:widowControl/>
      </w:pPr>
      <w:r>
        <w:rPr>
          <w:b w:val="0"/>
          <w:i w:val="0"/>
        </w:rPr>
        <w:t>Une condition de refus n’est pas une recommandation clinique. Elle empêche la transformation d’une idée scientifique insuffisamment définie en protocole ou en assertion forte.</w:t>
      </w:r>
    </w:p>
    <w:p>
      <w:pPr>
        <w:pStyle w:val="Heading2"/>
      </w:pPr>
      <w:r>
        <w:t>55. Registre CMR-RF01 à CMR-RF24</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900"/>
        <w:gridCol w:w="3000"/>
        <w:gridCol w:w="4460"/>
      </w:tblGrid>
      <w:tr>
        <w:trPr>
          <w:cantSplit/>
          <w:tblHeader w:val="true"/>
        </w:trPr>
        <w:tc>
          <w:tcPr>
            <w:tcW w:type="dxa" w:w="1900"/>
            <w:vAlign w:val="center"/>
            <w:tcMar>
              <w:top w:w="82" w:type="dxa"/>
              <w:start w:w="95" w:type="dxa"/>
              <w:bottom w:w="82" w:type="dxa"/>
              <w:end w:w="95" w:type="dxa"/>
            </w:tcMar>
            <w:shd w:fill="12344D"/>
          </w:tcPr>
          <w:p>
            <w:pPr>
              <w:spacing w:after="0" w:line="235" w:lineRule="auto"/>
              <w:jc w:val="left"/>
            </w:pPr>
            <w:r>
              <w:rPr>
                <w:b/>
                <w:i w:val="0"/>
                <w:color w:val="FFFFFF"/>
                <w:sz w:val="15"/>
              </w:rPr>
              <w:t>ID</w:t>
            </w:r>
          </w:p>
        </w:tc>
        <w:tc>
          <w:tcPr>
            <w:tcW w:type="dxa" w:w="3000"/>
            <w:vAlign w:val="center"/>
            <w:tcMar>
              <w:top w:w="82" w:type="dxa"/>
              <w:start w:w="95" w:type="dxa"/>
              <w:bottom w:w="82" w:type="dxa"/>
              <w:end w:w="95" w:type="dxa"/>
            </w:tcMar>
            <w:shd w:fill="12344D"/>
          </w:tcPr>
          <w:p>
            <w:pPr>
              <w:spacing w:after="0" w:line="235" w:lineRule="auto"/>
              <w:jc w:val="left"/>
            </w:pPr>
            <w:r>
              <w:rPr>
                <w:b/>
                <w:i w:val="0"/>
                <w:color w:val="FFFFFF"/>
                <w:sz w:val="15"/>
              </w:rPr>
              <w:t>Condition bloquante</w:t>
            </w:r>
          </w:p>
        </w:tc>
        <w:tc>
          <w:tcPr>
            <w:tcW w:type="dxa" w:w="4460"/>
            <w:vAlign w:val="center"/>
            <w:tcMar>
              <w:top w:w="82" w:type="dxa"/>
              <w:start w:w="95" w:type="dxa"/>
              <w:bottom w:w="82" w:type="dxa"/>
              <w:end w:w="95" w:type="dxa"/>
            </w:tcMar>
            <w:shd w:fill="12344D"/>
          </w:tcPr>
          <w:p>
            <w:pPr>
              <w:spacing w:after="0" w:line="235" w:lineRule="auto"/>
              <w:jc w:val="left"/>
            </w:pPr>
            <w:r>
              <w:rPr>
                <w:b/>
                <w:i w:val="0"/>
                <w:color w:val="FFFFFF"/>
                <w:sz w:val="15"/>
              </w:rPr>
              <w:t>Sortie exigée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CMR-RF01</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Construit non défini</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Clarifier le phénomène visé</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CMR-RF02</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Mesurande sans région, phase ou unité</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Compléter la définition</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CMR-RF03</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Intensité pondérée présentée comme valeur quantitative</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Requalifier l’observable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CMR-RF04</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Nom de séquence utilisé comme preuve d’équivalence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Décrire et comparer les chaînes</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CMR-RF05</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Valeur de référence importée sans compatibilité</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Construire ou valider une référence locale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CMR-RF06</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Seuil universel proposé pour T1, T2, T2* ou strain</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Retirer ou borner le seuil</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CMR-RF07</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LGE assimilé à un substrat unique</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Reformuler et justifier le construit</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CMR-RF08</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ECV assimilé à la fraction de collagène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Corriger l’interprétation</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CMR-RF09</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Strain sans technique, repère ou algorithme</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Compléter les attributs</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CMR-RF10</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Perfusion quantitative sans fonction d’entrée ou modèle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Définir la chaîne quantitative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CMR-RF11</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Flux sans correction de phase évaluée</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Valider ou limiter l’usage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CMR-RF12</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Dérivé 4D Flow sans validation du champ de vitesse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Revenir à l’étage précédent</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CMR-RF13</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cDTI interprété comme histologie directe</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Requalifier l’inférence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CMR-RF14</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Corrélation utilisée comme preuve d’accord</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Fournir une analyse d’accord</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CMR-RF15</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ICC seul utilisé pour l’interchangeabilité</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Ajouter erreur absolue et biais</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CMR-RF16</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QC défini après lecture des résultats</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Refaire ou qualifier l’analyse exploratoire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CMR-RF17</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Échecs techniques fusionnés avec résultats négatifs</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Restaurer les états manquants</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CMR-RF18</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Mise à jour de reconstruction non tracée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Détecter la rupture et étudier le pont</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CMR-RF19</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Harmonisation sans conservation du signal biologique</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Revalider hors échantillon</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CMR-RF20</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Mesure automatisée sans validation externe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Limiter au statut exploratoire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CMR-RF21</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Incertitude incompatible avec le changement visé</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Redéfinir l’endpoint ou la méthode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CMR-RF22</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Population non imageable exclue sans description</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Restaurer le dénominateur et analyser le biais</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CMR-RF23</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Recommandation thérapeutique dérivée de ce corpus</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Sortir du périmètre documentaire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CMR-RF24</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Contradiction avec une source normative non déclarée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Suspendre et adjuder explicitement</w:t>
            </w:r>
          </w:p>
        </w:tc>
      </w:tr>
    </w:tbl>
    <w:p>
      <w:pPr>
        <w:spacing w:after="0"/>
      </w:pPr>
    </w:p>
    <w:p>
      <w:pPr>
        <w:pStyle w:val="Heading2"/>
      </w:pPr>
      <w:r>
        <w:t>56. États de sortie</w:t>
      </w:r>
    </w:p>
    <w:p>
      <w:pPr>
        <w:pStyle w:val="Heading3"/>
      </w:pPr>
      <w:r>
        <w:t>READY_FOR_PROTOCOL_DESIGN</w:t>
      </w:r>
    </w:p>
    <w:p>
      <w:pPr>
        <w:widowControl/>
      </w:pPr>
      <w:r>
        <w:rPr>
          <w:b w:val="0"/>
          <w:i w:val="0"/>
        </w:rPr>
        <w:t>Construit, mesurande, contexte d’usage, population, chaîne de mesure, référence, QC, incertitude et hypothèse sont suffisamment définis pour qu’un document ultérieur puisse concevoir un protocole.</w:t>
      </w:r>
    </w:p>
    <w:p>
      <w:pPr>
        <w:pStyle w:val="Heading3"/>
      </w:pPr>
      <w:r>
        <w:t>RESEARCH_CLARIFICATION_REQUIRED</w:t>
      </w:r>
    </w:p>
    <w:p>
      <w:pPr>
        <w:widowControl/>
      </w:pPr>
      <w:r>
        <w:rPr>
          <w:b w:val="0"/>
          <w:i w:val="0"/>
        </w:rPr>
        <w:t>La question est pertinente mais une ambiguïté scientifique, un manque de référence ou une incertitude technique empêche la spécification.</w:t>
      </w:r>
    </w:p>
    <w:p>
      <w:pPr>
        <w:pStyle w:val="Heading3"/>
      </w:pPr>
      <w:r>
        <w:t>NOT_JUSTIFIED</w:t>
      </w:r>
    </w:p>
    <w:p>
      <w:pPr>
        <w:widowControl/>
      </w:pPr>
      <w:r>
        <w:rPr>
          <w:b w:val="0"/>
          <w:i w:val="0"/>
        </w:rPr>
        <w:t>La mesure ne répond pas au construit, la précision est incompatible avec l’usage, la preuve est insuffisante ou la question franchit une frontière interdite.</w:t>
      </w:r>
    </w:p>
    <w:p>
      <w:r>
        <w:br w:type="page"/>
      </w:r>
    </w:p>
    <w:p>
      <w:pPr>
        <w:pStyle w:val="Heading1"/>
        <w:pBdr>
          <w:bottom w:val="single" w:sz="12" w:space="7" w:color="22A6B3"/>
        </w:pBdr>
      </w:pPr>
      <w:r>
        <w:t>PARTIE XV — POPULATIONS ET CONTEXTES PARTICULIERS</w:t>
      </w:r>
    </w:p>
    <w:p>
      <w:pPr>
        <w:pStyle w:val="Heading2"/>
      </w:pPr>
      <w:r>
        <w:t>57. Arythmie et variabilité du cycle</w:t>
      </w:r>
    </w:p>
    <w:p>
      <w:pPr>
        <w:widowControl/>
      </w:pPr>
      <w:r>
        <w:rPr>
          <w:b w:val="0"/>
          <w:i w:val="0"/>
        </w:rPr>
        <w:t>L’arythmie affecte le déclenchement, l’état stationnaire, les préparations dépendantes du cycle, le mapping, la ciné et la représentativité des battements. Les stratégies de rejet peuvent sélectionner un sous-ensemble non représentatif. Les résultats doivent rapporter la règle de sélection et le taux de données rejetées.</w:t>
      </w:r>
    </w:p>
    <w:p>
      <w:pPr>
        <w:pStyle w:val="Heading2"/>
      </w:pPr>
      <w:r>
        <w:t>58. Incapacité d’apnée et dyspnée</w:t>
      </w:r>
    </w:p>
    <w:p>
      <w:pPr>
        <w:widowControl/>
      </w:pPr>
      <w:r>
        <w:rPr>
          <w:b w:val="0"/>
          <w:i w:val="0"/>
        </w:rPr>
        <w:t>Les sujets qui ne maintiennent pas l’apnée peuvent être exclus précisément en raison du phénotype étudié. Les acquisitions libres ou corrigées changent la chaîne de mesure ; leur équivalence doit être testée. La durée, les reprises et la non-évaluabilité appartiennent à la faisabilité scientifique.</w:t>
      </w:r>
    </w:p>
    <w:p>
      <w:pPr>
        <w:pStyle w:val="Heading2"/>
      </w:pPr>
      <w:r>
        <w:t>59. Dispositifs et matériaux</w:t>
      </w:r>
    </w:p>
    <w:p>
      <w:pPr>
        <w:widowControl/>
      </w:pPr>
      <w:r>
        <w:rPr>
          <w:b w:val="0"/>
          <w:i w:val="0"/>
        </w:rPr>
        <w:t>La présence d’un dispositif peut altérer sécurité, ECG, champ, signal et reconstruction. Ce livre ne traite pas l’éligibilité clinique. Il impose seulement de distinguer région non visible, mesure biaisée et absence de phénomène. Les séquences alternatives ne sont comparables qu’après validation.</w:t>
      </w:r>
    </w:p>
    <w:p>
      <w:pPr>
        <w:pStyle w:val="Heading2"/>
      </w:pPr>
      <w:r>
        <w:t>60. Enfants et croissance</w:t>
      </w:r>
    </w:p>
    <w:p>
      <w:pPr>
        <w:widowControl/>
      </w:pPr>
      <w:r>
        <w:rPr>
          <w:b w:val="0"/>
          <w:i w:val="0"/>
        </w:rPr>
        <w:t>Taille cardiaque, fréquence, capacité de coopération, sédation éventuelle, repères et intervalles de référence diffèrent. Indexer une mesure à la surface corporelle ne supprime pas toute dépendance à la croissance. Les méthodes et références adultes ne sont pas automatiquement transportables.</w:t>
      </w:r>
    </w:p>
    <w:p>
      <w:pPr>
        <w:pStyle w:val="Heading2"/>
      </w:pPr>
      <w:r>
        <w:t>61. Grossesse</w:t>
      </w:r>
    </w:p>
    <w:p>
      <w:pPr>
        <w:widowControl/>
      </w:pPr>
      <w:r>
        <w:rPr>
          <w:b w:val="0"/>
          <w:i w:val="0"/>
        </w:rPr>
        <w:t>Les changements de volume circulant, fréquence et hématocrite peuvent modifier des biomarqueurs. La décision d’imager ou d’utiliser un contraste relève d’une gouvernance clinique extérieure. Dans la recherche, l’absence systématique de cette population limite la validité externe et doit être déclarée.</w:t>
      </w:r>
    </w:p>
    <w:p>
      <w:pPr>
        <w:pStyle w:val="Heading2"/>
      </w:pPr>
      <w:r>
        <w:t>62. Fonction rénale ou contraste indisponible</w:t>
      </w:r>
    </w:p>
    <w:p>
      <w:pPr>
        <w:widowControl/>
      </w:pPr>
      <w:r>
        <w:rPr>
          <w:b w:val="0"/>
          <w:i w:val="0"/>
        </w:rPr>
        <w:t>L’absence de contraste rend indisponibles certains observables, mais ne transforme pas T1 natif, T2 ou ciné en substituts équivalents. L’architecture doit préciser quel construit reste mesurable et quelles conclusions deviennent impossibles.</w:t>
      </w:r>
    </w:p>
    <w:p>
      <w:pPr>
        <w:pStyle w:val="Heading2"/>
      </w:pPr>
      <w:r>
        <w:t>63. Obésité, claustrophobie et limites géométriques</w:t>
      </w:r>
    </w:p>
    <w:p>
      <w:pPr>
        <w:widowControl/>
      </w:pPr>
      <w:r>
        <w:rPr>
          <w:b w:val="0"/>
          <w:i w:val="0"/>
        </w:rPr>
        <w:t>Positionnement, champ de vue, sensibilité d’antenne, confort et mouvement peuvent changer. Une qualité réduite dans ces groupes peut créer un biais d’exclusion. Les performances moyennes d’une cohorte sélectionnée ne décrivent pas cette population.</w:t>
      </w:r>
    </w:p>
    <w:p>
      <w:pPr>
        <w:pStyle w:val="Heading2"/>
      </w:pPr>
      <w:r>
        <w:t>64. Anatomies complexes et morphologies atypiques</w:t>
      </w:r>
    </w:p>
    <w:p>
      <w:pPr>
        <w:widowControl/>
      </w:pPr>
      <w:r>
        <w:rPr>
          <w:b w:val="0"/>
          <w:i w:val="0"/>
        </w:rPr>
        <w:t>Les conventions de plans, segments, volumes et flux peuvent ne pas s’appliquer directement. La mesure doit être définie à partir de l’anatomie réelle, sans forcer une géométrie standard ni mélanger règles de ventricules morphologiques différents.</w:t>
      </w:r>
    </w:p>
    <w:p>
      <w:pPr>
        <w:pStyle w:val="Heading2"/>
      </w:pPr>
      <w:r>
        <w:t>65. Sujets instables ou non imagés</w:t>
      </w:r>
    </w:p>
    <w:p>
      <w:pPr>
        <w:widowControl/>
      </w:pPr>
      <w:r>
        <w:rPr>
          <w:b w:val="0"/>
          <w:i w:val="0"/>
        </w:rPr>
        <w:t>Les sujets non adressés, interrompus ou non imageables font partie de la population source. Leur absence de données peut être informative. La performance d’un biomarqueur chez les seuls sujets ayant un examen complet ne doit pas être extrapolée silencieusement.</w:t>
      </w:r>
    </w:p>
    <w:p>
      <w:r>
        <w:br w:type="page"/>
      </w:r>
    </w:p>
    <w:p>
      <w:pPr>
        <w:pStyle w:val="Heading1"/>
        <w:pBdr>
          <w:bottom w:val="single" w:sz="12" w:space="7" w:color="22A6B3"/>
        </w:pBdr>
      </w:pPr>
      <w:r>
        <w:t>PARTIE XVI — APPLICATIONS SCIENTIFIQUES SANS CHAPITRE PATHOLOGIQUE</w:t>
      </w:r>
    </w:p>
    <w:p>
      <w:pPr>
        <w:pStyle w:val="Heading2"/>
      </w:pPr>
      <w:r>
        <w:t>66. Rôle de cette cartographie</w:t>
      </w:r>
    </w:p>
    <w:p>
      <w:pPr>
        <w:widowControl/>
      </w:pPr>
      <w:r>
        <w:rPr>
          <w:b w:val="0"/>
          <w:i w:val="0"/>
        </w:rPr>
        <w:t>Les techniques décrites peuvent soutenir des recherches sur fonction, structure, perfusion, lésions, expansion extracellulaire, surcharge, flux ou microstructure. Les futurs livres pathologiques devront sélectionner les construits pertinents et apporter leurs propres preuves.</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900"/>
        <w:gridCol w:w="3000"/>
        <w:gridCol w:w="4460"/>
      </w:tblGrid>
      <w:tr>
        <w:trPr>
          <w:cantSplit/>
          <w:tblHeader w:val="true"/>
        </w:trPr>
        <w:tc>
          <w:tcPr>
            <w:tcW w:type="dxa" w:w="1900"/>
            <w:vAlign w:val="center"/>
            <w:tcMar>
              <w:top w:w="82" w:type="dxa"/>
              <w:start w:w="95" w:type="dxa"/>
              <w:bottom w:w="82" w:type="dxa"/>
              <w:end w:w="95" w:type="dxa"/>
            </w:tcMar>
            <w:shd w:fill="12344D"/>
          </w:tcPr>
          <w:p>
            <w:pPr>
              <w:spacing w:after="0" w:line="235" w:lineRule="auto"/>
              <w:jc w:val="left"/>
            </w:pPr>
            <w:r>
              <w:rPr>
                <w:b/>
                <w:i w:val="0"/>
                <w:color w:val="FFFFFF"/>
                <w:sz w:val="15"/>
              </w:rPr>
              <w:t>Domaine d’application</w:t>
            </w:r>
          </w:p>
        </w:tc>
        <w:tc>
          <w:tcPr>
            <w:tcW w:type="dxa" w:w="3000"/>
            <w:vAlign w:val="center"/>
            <w:tcMar>
              <w:top w:w="82" w:type="dxa"/>
              <w:start w:w="95" w:type="dxa"/>
              <w:bottom w:w="82" w:type="dxa"/>
              <w:end w:w="95" w:type="dxa"/>
            </w:tcMar>
            <w:shd w:fill="12344D"/>
          </w:tcPr>
          <w:p>
            <w:pPr>
              <w:spacing w:after="0" w:line="235" w:lineRule="auto"/>
              <w:jc w:val="left"/>
            </w:pPr>
            <w:r>
              <w:rPr>
                <w:b/>
                <w:i w:val="0"/>
                <w:color w:val="FFFFFF"/>
                <w:sz w:val="15"/>
              </w:rPr>
              <w:t>Construits mobilisables</w:t>
            </w:r>
          </w:p>
        </w:tc>
        <w:tc>
          <w:tcPr>
            <w:tcW w:type="dxa" w:w="4460"/>
            <w:vAlign w:val="center"/>
            <w:tcMar>
              <w:top w:w="82" w:type="dxa"/>
              <w:start w:w="95" w:type="dxa"/>
              <w:bottom w:w="82" w:type="dxa"/>
              <w:end w:w="95" w:type="dxa"/>
            </w:tcMar>
            <w:shd w:fill="12344D"/>
          </w:tcPr>
          <w:p>
            <w:pPr>
              <w:spacing w:after="0" w:line="235" w:lineRule="auto"/>
              <w:jc w:val="left"/>
            </w:pPr>
            <w:r>
              <w:rPr>
                <w:b/>
                <w:i w:val="0"/>
                <w:color w:val="FFFFFF"/>
                <w:sz w:val="15"/>
              </w:rPr>
              <w:t>Frontière maintenue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Lésion ischémique</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Perfusion, LGE, mouvement, volumes</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Aucun critère diagnostique ni décision de revascularisation</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Inflammation</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T1, T2, ECV, LGE, fonction</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Aucun critère de myocardite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Infiltration ou surcharge</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T1, ECV, T2*, morphologie</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Aucun seuil de maladie ni traitement</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Cardiomyopathies</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Volumes, masse, strain, LGE, mapping</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Aucune classification pathologique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Insuffisance cardiaque</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Volumes, strain, perfusion, flux</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Aucune recommandation thérapeutique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Maladies valvulaires et shunts</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Ciné, flux 2D, 4D Flow</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Aucun seuil d’intervention</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Recherche interventionnelle</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Endpoints quantitatifs</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Aucune qualification automatique d’un surrogate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Pronostic</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Mesures globales ou tissulaires</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Association non assimilée à causalité</w:t>
            </w:r>
          </w:p>
        </w:tc>
      </w:tr>
    </w:tbl>
    <w:p>
      <w:pPr>
        <w:spacing w:after="0"/>
      </w:pPr>
    </w:p>
    <w:p>
      <w:pPr>
        <w:pStyle w:val="Heading2"/>
      </w:pPr>
      <w:r>
        <w:t>67. Règle de réutilisation</w:t>
      </w:r>
    </w:p>
    <w:p>
      <w:pPr>
        <w:widowControl/>
      </w:pPr>
      <w:r>
        <w:rPr>
          <w:b w:val="0"/>
          <w:i w:val="0"/>
        </w:rPr>
        <w:t>Un futur Reasoning Book pathologique peut citer une définition, une dépendance technique ou une condition de refus de RB-004. Il ne peut pas importer un seuil ou transformer une propriété générale en critère spécifique sans preuve datée et contexte d’usage propre.</w:t>
      </w:r>
    </w:p>
    <w:p>
      <w:r>
        <w:br w:type="page"/>
      </w:r>
    </w:p>
    <w:p>
      <w:pPr>
        <w:pStyle w:val="Heading1"/>
        <w:pBdr>
          <w:bottom w:val="single" w:sz="12" w:space="7" w:color="22A6B3"/>
        </w:pBdr>
      </w:pPr>
      <w:r>
        <w:t>PARTIE XVII — EVIDENCE MAP</w:t>
      </w:r>
    </w:p>
    <w:p>
      <w:pPr>
        <w:pStyle w:val="Heading2"/>
      </w:pPr>
      <w:r>
        <w:t>68. Carte d’évidence principale</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800"/>
        <w:gridCol w:w="2100"/>
        <w:gridCol w:w="2500"/>
        <w:gridCol w:w="2960"/>
      </w:tblGrid>
      <w:tr>
        <w:trPr>
          <w:cantSplit/>
          <w:tblHeader w:val="true"/>
        </w:trPr>
        <w:tc>
          <w:tcPr>
            <w:tcW w:type="dxa" w:w="1800"/>
            <w:vAlign w:val="center"/>
            <w:tcMar>
              <w:top w:w="82" w:type="dxa"/>
              <w:start w:w="95" w:type="dxa"/>
              <w:bottom w:w="82" w:type="dxa"/>
              <w:end w:w="95" w:type="dxa"/>
            </w:tcMar>
            <w:shd w:fill="12344D"/>
          </w:tcPr>
          <w:p>
            <w:pPr>
              <w:spacing w:after="0" w:line="235" w:lineRule="auto"/>
              <w:jc w:val="left"/>
            </w:pPr>
            <w:r>
              <w:rPr>
                <w:b/>
                <w:i w:val="0"/>
                <w:color w:val="FFFFFF"/>
                <w:sz w:val="14"/>
              </w:rPr>
              <w:t>Assertion</w:t>
            </w:r>
          </w:p>
        </w:tc>
        <w:tc>
          <w:tcPr>
            <w:tcW w:type="dxa" w:w="2100"/>
            <w:vAlign w:val="center"/>
            <w:tcMar>
              <w:top w:w="82" w:type="dxa"/>
              <w:start w:w="95" w:type="dxa"/>
              <w:bottom w:w="82" w:type="dxa"/>
              <w:end w:w="95" w:type="dxa"/>
            </w:tcMar>
            <w:shd w:fill="12344D"/>
          </w:tcPr>
          <w:p>
            <w:pPr>
              <w:spacing w:after="0" w:line="235" w:lineRule="auto"/>
              <w:jc w:val="left"/>
            </w:pPr>
            <w:r>
              <w:rPr>
                <w:b/>
                <w:i w:val="0"/>
                <w:color w:val="FFFFFF"/>
                <w:sz w:val="14"/>
              </w:rPr>
              <w:t>Niveau</w:t>
            </w:r>
          </w:p>
        </w:tc>
        <w:tc>
          <w:tcPr>
            <w:tcW w:type="dxa" w:w="2500"/>
            <w:vAlign w:val="center"/>
            <w:tcMar>
              <w:top w:w="82" w:type="dxa"/>
              <w:start w:w="95" w:type="dxa"/>
              <w:bottom w:w="82" w:type="dxa"/>
              <w:end w:w="95" w:type="dxa"/>
            </w:tcMar>
            <w:shd w:fill="12344D"/>
          </w:tcPr>
          <w:p>
            <w:pPr>
              <w:spacing w:after="0" w:line="235" w:lineRule="auto"/>
              <w:jc w:val="left"/>
            </w:pPr>
            <w:r>
              <w:rPr>
                <w:b/>
                <w:i w:val="0"/>
                <w:color w:val="FFFFFF"/>
                <w:sz w:val="14"/>
              </w:rPr>
              <w:t>Sources</w:t>
            </w:r>
          </w:p>
        </w:tc>
        <w:tc>
          <w:tcPr>
            <w:tcW w:type="dxa" w:w="2960"/>
            <w:vAlign w:val="center"/>
            <w:tcMar>
              <w:top w:w="82" w:type="dxa"/>
              <w:start w:w="95" w:type="dxa"/>
              <w:bottom w:w="82" w:type="dxa"/>
              <w:end w:w="95" w:type="dxa"/>
            </w:tcMar>
            <w:shd w:fill="12344D"/>
          </w:tcPr>
          <w:p>
            <w:pPr>
              <w:spacing w:after="0" w:line="235" w:lineRule="auto"/>
              <w:jc w:val="left"/>
            </w:pPr>
            <w:r>
              <w:rPr>
                <w:b/>
                <w:i w:val="0"/>
                <w:color w:val="FFFFFF"/>
                <w:sz w:val="14"/>
              </w:rPr>
              <w:t>Portée et limite</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CMR-A01 — Le signal est produit par une chaîne d’expérience et de reconstruction</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ÉTABLI</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R03–R05</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Principe général ; l’équation exacte dépend de la séquence</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CMR-A02 — Les protocoles et analyses doivent être standardisés et documentés</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CONVERGENT</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R01, R02</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Consensus ; ne crée pas l’équivalence entre implémentations</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CMR-A03 — Les artefacts peuvent être visibles ou produire un biais discret</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ÉTABLI</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R06</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Taxonomie générale ; impact à quantifier par mesure</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CMR-A04 — T1, T2, T2* et ECV sont dépendants de la méthode</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CONVERGENT</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R07–R15, R43</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Forte convergence ; ampleur variable selon méthode et population</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CMR-A05 — Les phantoms soutiennent le QC mais ne remplacent pas l’in vivo</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CONVERGENT</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R09, R10</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Validation de stabilité ; transport biologique limité</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CMR-A06 — Un endpoint CMR exige validation analytique et qualification d’usage</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CONVERGENT</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R16, R41, R42</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Cadre méthodologique ; acceptabilité propre à chaque usage</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CMR-A07 — Les volumes ciné sont reproductibles sous chaîne contrôlée</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CONTEXTUEL</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R02, R17, R18</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Dépend des conventions, de la séquence et de la population</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CMR-A08 — Le sang noir dépend du flux et du mouvement</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CONVERGENT</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R20</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Multiples mécanismes ; aucune technique universelle</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CMR-A09 — Le LGE est un contraste relatif de distribution tardive</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CONVERGENT</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R21, R23</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Relation histologique contextuelle ; non spécifique en général</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CMR-A10 — La perfusion quantitative dépend de la fonction d’entrée et du modèle</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CONVERGENT</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R22</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Consensus récent ; harmonisation multicentrique encore active</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CMR-A11 — Le T2* multi-écho est sensible au modèle et à la susceptibilité</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CONVERGENT</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R07, R24</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Seuils non transférables hors contexte</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CMR-A12 — Le flux de contraste de phase exige correction et segmentation contrôlées</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CONVERGENT</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R25–R27</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Validation mature pour certains usages ; incertitude locale variable</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CMR-A13 — Les dérivés 4D Flow ajoutent des hypothèses</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CONVERGENT</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R28–R30</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Consensus versionné ; qualification variable selon dérivé</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CMR-A14 — La diffusion cardiaque reste très sensible au mouvement</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CONVERGENT</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R31</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Consensus récent ; de nombreux endpoints restent exploratoires</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CMR-A15 — Les mesures de strain ne sont pas automatiquement interchangeables</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CONVERGENT</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R32–R37</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Démontré entre techniques et logiciels ; global plus robuste que segmentaire dans plusieurs études</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CMR-A16 — La correction respiratoire est un modèle, pas une vérité observée</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CONVERGENT</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R38</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Performance dépend de la stratégie et de l’anatomie</w:t>
            </w:r>
          </w:p>
        </w:tc>
      </w:tr>
      <w:tr>
        <w:trPr>
          <w:cantSplit/>
        </w:trPr>
        <w:tc>
          <w:tcPr>
            <w:tcW w:type="dxa" w:w="1800"/>
            <w:vAlign w:val="center"/>
            <w:tcMar>
              <w:top w:w="82" w:type="dxa"/>
              <w:start w:w="95" w:type="dxa"/>
              <w:bottom w:w="82" w:type="dxa"/>
              <w:end w:w="95" w:type="dxa"/>
            </w:tcMar>
            <w:shd w:fill="FFFFFF"/>
          </w:tcPr>
          <w:p>
            <w:pPr>
              <w:spacing w:after="0" w:line="235" w:lineRule="auto"/>
              <w:jc w:val="left"/>
            </w:pPr>
            <w:r>
              <w:rPr>
                <w:b w:val="0"/>
                <w:i w:val="0"/>
                <w:color w:val="24323D"/>
                <w:sz w:val="14"/>
              </w:rPr>
              <w:t>CMR-A17 — La bSSFP est sensible à la hors-résonance</w:t>
            </w:r>
          </w:p>
        </w:tc>
        <w:tc>
          <w:tcPr>
            <w:tcW w:type="dxa" w:w="2100"/>
            <w:vAlign w:val="center"/>
            <w:tcMar>
              <w:top w:w="82" w:type="dxa"/>
              <w:start w:w="95" w:type="dxa"/>
              <w:bottom w:w="82" w:type="dxa"/>
              <w:end w:w="95" w:type="dxa"/>
            </w:tcMar>
            <w:shd w:fill="FFFFFF"/>
          </w:tcPr>
          <w:p>
            <w:pPr>
              <w:spacing w:after="0" w:line="235" w:lineRule="auto"/>
              <w:jc w:val="left"/>
            </w:pPr>
            <w:r>
              <w:rPr>
                <w:b w:val="0"/>
                <w:i w:val="0"/>
                <w:color w:val="24323D"/>
                <w:sz w:val="14"/>
              </w:rPr>
              <w:t>ÉTABLI</w:t>
            </w:r>
          </w:p>
        </w:tc>
        <w:tc>
          <w:tcPr>
            <w:tcW w:type="dxa" w:w="2500"/>
            <w:vAlign w:val="center"/>
            <w:tcMar>
              <w:top w:w="82" w:type="dxa"/>
              <w:start w:w="95" w:type="dxa"/>
              <w:bottom w:w="82" w:type="dxa"/>
              <w:end w:w="95" w:type="dxa"/>
            </w:tcMar>
            <w:shd w:fill="FFFFFF"/>
          </w:tcPr>
          <w:p>
            <w:pPr>
              <w:spacing w:after="0" w:line="235" w:lineRule="auto"/>
              <w:jc w:val="left"/>
            </w:pPr>
            <w:r>
              <w:rPr>
                <w:b w:val="0"/>
                <w:i w:val="0"/>
                <w:color w:val="24323D"/>
                <w:sz w:val="14"/>
              </w:rPr>
              <w:t>R39, R40</w:t>
            </w:r>
          </w:p>
        </w:tc>
        <w:tc>
          <w:tcPr>
            <w:tcW w:type="dxa" w:w="2960"/>
            <w:vAlign w:val="center"/>
            <w:tcMar>
              <w:top w:w="82" w:type="dxa"/>
              <w:start w:w="95" w:type="dxa"/>
              <w:bottom w:w="82" w:type="dxa"/>
              <w:end w:w="95" w:type="dxa"/>
            </w:tcMar>
            <w:shd w:fill="FFFFFF"/>
          </w:tcPr>
          <w:p>
            <w:pPr>
              <w:spacing w:after="0" w:line="235" w:lineRule="auto"/>
              <w:jc w:val="left"/>
            </w:pPr>
            <w:r>
              <w:rPr>
                <w:b w:val="0"/>
                <w:i w:val="0"/>
                <w:color w:val="24323D"/>
                <w:sz w:val="14"/>
              </w:rPr>
              <w:t>Méthodes de mitigation en évolution</w:t>
            </w:r>
          </w:p>
        </w:tc>
      </w:tr>
      <w:tr>
        <w:trPr>
          <w:cantSplit/>
        </w:trPr>
        <w:tc>
          <w:tcPr>
            <w:tcW w:type="dxa" w:w="1800"/>
            <w:vAlign w:val="center"/>
            <w:tcMar>
              <w:top w:w="82" w:type="dxa"/>
              <w:start w:w="95" w:type="dxa"/>
              <w:bottom w:w="82" w:type="dxa"/>
              <w:end w:w="95" w:type="dxa"/>
            </w:tcMar>
            <w:shd w:fill="F2F8FA"/>
          </w:tcPr>
          <w:p>
            <w:pPr>
              <w:spacing w:after="0" w:line="235" w:lineRule="auto"/>
              <w:jc w:val="left"/>
            </w:pPr>
            <w:r>
              <w:rPr>
                <w:b w:val="0"/>
                <w:i w:val="0"/>
                <w:color w:val="24323D"/>
                <w:sz w:val="14"/>
              </w:rPr>
              <w:t>CMR-A18 — Répétabilité, reproductibilité et accord sont distincts</w:t>
            </w:r>
          </w:p>
        </w:tc>
        <w:tc>
          <w:tcPr>
            <w:tcW w:type="dxa" w:w="2100"/>
            <w:vAlign w:val="center"/>
            <w:tcMar>
              <w:top w:w="82" w:type="dxa"/>
              <w:start w:w="95" w:type="dxa"/>
              <w:bottom w:w="82" w:type="dxa"/>
              <w:end w:w="95" w:type="dxa"/>
            </w:tcMar>
            <w:shd w:fill="F2F8FA"/>
          </w:tcPr>
          <w:p>
            <w:pPr>
              <w:spacing w:after="0" w:line="235" w:lineRule="auto"/>
              <w:jc w:val="left"/>
            </w:pPr>
            <w:r>
              <w:rPr>
                <w:b w:val="0"/>
                <w:i w:val="0"/>
                <w:color w:val="24323D"/>
                <w:sz w:val="14"/>
              </w:rPr>
              <w:t>ÉTABLI</w:t>
            </w:r>
          </w:p>
        </w:tc>
        <w:tc>
          <w:tcPr>
            <w:tcW w:type="dxa" w:w="2500"/>
            <w:vAlign w:val="center"/>
            <w:tcMar>
              <w:top w:w="82" w:type="dxa"/>
              <w:start w:w="95" w:type="dxa"/>
              <w:bottom w:w="82" w:type="dxa"/>
              <w:end w:w="95" w:type="dxa"/>
            </w:tcMar>
            <w:shd w:fill="F2F8FA"/>
          </w:tcPr>
          <w:p>
            <w:pPr>
              <w:spacing w:after="0" w:line="235" w:lineRule="auto"/>
              <w:jc w:val="left"/>
            </w:pPr>
            <w:r>
              <w:rPr>
                <w:b w:val="0"/>
                <w:i w:val="0"/>
                <w:color w:val="24323D"/>
                <w:sz w:val="14"/>
              </w:rPr>
              <w:t>R16, R42</w:t>
            </w:r>
          </w:p>
        </w:tc>
        <w:tc>
          <w:tcPr>
            <w:tcW w:type="dxa" w:w="2960"/>
            <w:vAlign w:val="center"/>
            <w:tcMar>
              <w:top w:w="82" w:type="dxa"/>
              <w:start w:w="95" w:type="dxa"/>
              <w:bottom w:w="82" w:type="dxa"/>
              <w:end w:w="95" w:type="dxa"/>
            </w:tcMar>
            <w:shd w:fill="F2F8FA"/>
          </w:tcPr>
          <w:p>
            <w:pPr>
              <w:spacing w:after="0" w:line="235" w:lineRule="auto"/>
              <w:jc w:val="left"/>
            </w:pPr>
            <w:r>
              <w:rPr>
                <w:b w:val="0"/>
                <w:i w:val="0"/>
                <w:color w:val="24323D"/>
                <w:sz w:val="14"/>
              </w:rPr>
              <w:t>Définitions générales ; choix statistique contextuel</w:t>
            </w:r>
          </w:p>
        </w:tc>
      </w:tr>
    </w:tbl>
    <w:p>
      <w:pPr>
        <w:spacing w:after="0"/>
      </w:pPr>
    </w:p>
    <w:p>
      <w:pPr>
        <w:pStyle w:val="Heading2"/>
      </w:pPr>
      <w:r>
        <w:t>69. Adjudication des preuves</w:t>
      </w:r>
    </w:p>
    <w:p>
      <w:pPr>
        <w:widowControl/>
      </w:pPr>
      <w:r>
        <w:rPr>
          <w:b w:val="0"/>
          <w:i w:val="0"/>
        </w:rPr>
        <w:t>Chaque source est utilisée avec une stance explicite :</w:t>
      </w:r>
    </w:p>
    <w:p>
      <w:pPr>
        <w:pStyle w:val="ListBullet"/>
      </w:pPr>
      <w:r>
        <w:rPr>
          <w:b/>
          <w:i w:val="0"/>
        </w:rPr>
        <w:t>SUPPORTS</w:t>
      </w:r>
      <w:r>
        <w:rPr>
          <w:b w:val="0"/>
          <w:i w:val="0"/>
        </w:rPr>
        <w:t xml:space="preserve"> lorsqu’elle soutient directement une assertion ;</w:t>
      </w:r>
    </w:p>
    <w:p>
      <w:pPr>
        <w:pStyle w:val="ListBullet"/>
      </w:pPr>
      <w:r>
        <w:rPr>
          <w:b/>
          <w:i w:val="0"/>
        </w:rPr>
        <w:t>QUALIFIES</w:t>
      </w:r>
      <w:r>
        <w:rPr>
          <w:b w:val="0"/>
          <w:i w:val="0"/>
        </w:rPr>
        <w:t xml:space="preserve"> lorsqu’elle en limite la portée ou en précise les conditions ;</w:t>
      </w:r>
    </w:p>
    <w:p>
      <w:pPr>
        <w:pStyle w:val="ListBullet"/>
      </w:pPr>
      <w:r>
        <w:rPr>
          <w:b/>
          <w:i w:val="0"/>
        </w:rPr>
        <w:t>REFUTES</w:t>
      </w:r>
      <w:r>
        <w:rPr>
          <w:b w:val="0"/>
          <w:i w:val="0"/>
        </w:rPr>
        <w:t xml:space="preserve"> lorsqu’elle contredit une proposition ;</w:t>
      </w:r>
    </w:p>
    <w:p>
      <w:pPr>
        <w:pStyle w:val="ListBullet"/>
      </w:pPr>
      <w:r>
        <w:rPr>
          <w:b/>
          <w:i w:val="0"/>
        </w:rPr>
        <w:t>MENTIONS</w:t>
      </w:r>
      <w:r>
        <w:rPr>
          <w:b w:val="0"/>
          <w:i w:val="0"/>
        </w:rPr>
        <w:t xml:space="preserve"> lorsqu’elle fournit seulement un contexte.</w:t>
      </w:r>
    </w:p>
    <w:p>
      <w:pPr>
        <w:widowControl/>
      </w:pPr>
      <w:r>
        <w:rPr>
          <w:b w:val="0"/>
          <w:i w:val="0"/>
        </w:rPr>
        <w:t xml:space="preserve">La majorité des références de ce livre </w:t>
      </w:r>
      <w:r>
        <w:rPr>
          <w:b/>
          <w:i w:val="0"/>
        </w:rPr>
        <w:t>SUPPORTS</w:t>
      </w:r>
      <w:r>
        <w:rPr>
          <w:b w:val="0"/>
          <w:i w:val="0"/>
        </w:rPr>
        <w:t xml:space="preserve"> ou </w:t>
      </w:r>
      <w:r>
        <w:rPr>
          <w:b/>
          <w:i w:val="0"/>
        </w:rPr>
        <w:t>QUALIFIES</w:t>
      </w:r>
      <w:r>
        <w:rPr>
          <w:b w:val="0"/>
          <w:i w:val="0"/>
        </w:rPr>
        <w:t>. Aucune référence n’est utilisée comme autorité absolue. Les consensus synthétisent une pratique et des preuves datées ; les études de reproductibilité testent une chaîne particulière ; les revues de physique expliquent des mécanismes mais ne qualifient pas un endpoint.</w:t>
      </w:r>
    </w:p>
    <w:p>
      <w:r>
        <w:br w:type="page"/>
      </w:r>
    </w:p>
    <w:p>
      <w:pPr>
        <w:pStyle w:val="Heading1"/>
        <w:pBdr>
          <w:bottom w:val="single" w:sz="12" w:space="7" w:color="22A6B3"/>
        </w:pBdr>
      </w:pPr>
      <w:r>
        <w:t>PARTIE XVIII — LIMITATIONS, CONTROVERSES ET QUESTIONS OUVERTES</w:t>
      </w:r>
    </w:p>
    <w:p>
      <w:pPr>
        <w:pStyle w:val="Heading2"/>
      </w:pPr>
      <w:r>
        <w:t>70. Limitations du présent corpus</w:t>
      </w:r>
    </w:p>
    <w:p>
      <w:pPr>
        <w:pStyle w:val="ListBullet"/>
      </w:pPr>
      <w:r>
        <w:rPr>
          <w:b w:val="0"/>
          <w:i w:val="0"/>
        </w:rPr>
        <w:t>la littérature est dominée par certains champs, équipements, régions et populations ;</w:t>
      </w:r>
    </w:p>
    <w:p>
      <w:pPr>
        <w:pStyle w:val="ListBullet"/>
      </w:pPr>
      <w:r>
        <w:rPr>
          <w:b w:val="0"/>
          <w:i w:val="0"/>
        </w:rPr>
        <w:t>de nombreuses comparaisons regroupent des changements simultanés de séquence, reconstruction et logiciel ;</w:t>
      </w:r>
    </w:p>
    <w:p>
      <w:pPr>
        <w:pStyle w:val="ListBullet"/>
      </w:pPr>
      <w:r>
        <w:rPr>
          <w:b w:val="0"/>
          <w:i w:val="0"/>
        </w:rPr>
        <w:t>les données négatives et échecs techniques sont sous-publiés ;</w:t>
      </w:r>
    </w:p>
    <w:p>
      <w:pPr>
        <w:pStyle w:val="ListBullet"/>
      </w:pPr>
      <w:r>
        <w:rPr>
          <w:b w:val="0"/>
          <w:i w:val="0"/>
        </w:rPr>
        <w:t>les versions commerciales ou de reconstruction évoluent plus vite que certains consensus ;</w:t>
      </w:r>
    </w:p>
    <w:p>
      <w:pPr>
        <w:pStyle w:val="ListBullet"/>
      </w:pPr>
      <w:r>
        <w:rPr>
          <w:b w:val="0"/>
          <w:i w:val="0"/>
        </w:rPr>
        <w:t>les références pathologiques sont volontairement exclues ;</w:t>
      </w:r>
    </w:p>
    <w:p>
      <w:pPr>
        <w:pStyle w:val="ListBullet"/>
      </w:pPr>
      <w:r>
        <w:rPr>
          <w:b w:val="0"/>
          <w:i w:val="0"/>
        </w:rPr>
        <w:t>aucune revue systématique nouvelle ni méta-analyse n’a été réalisée pour ce livre ;</w:t>
      </w:r>
    </w:p>
    <w:p>
      <w:pPr>
        <w:pStyle w:val="ListBullet"/>
      </w:pPr>
      <w:r>
        <w:rPr>
          <w:b w:val="0"/>
          <w:i w:val="0"/>
        </w:rPr>
        <w:t>les identifiants et statuts bibliographiques sont arrêtés au 3 août 2026 ;</w:t>
      </w:r>
    </w:p>
    <w:p>
      <w:pPr>
        <w:pStyle w:val="ListBullet"/>
      </w:pPr>
      <w:r>
        <w:rPr>
          <w:b w:val="0"/>
          <w:i w:val="0"/>
        </w:rPr>
        <w:t>L’admission documentaire de RB-004 dans PD-013, état 1.4, ne constitue ni une révision scientifique humaine, ni un PASS PD-011, ni une autorisation de publication publique.</w:t>
      </w:r>
    </w:p>
    <w:p>
      <w:pPr>
        <w:pStyle w:val="Heading2"/>
      </w:pPr>
      <w:r>
        <w:t>71. Controverses conservées</w:t>
      </w:r>
    </w:p>
    <w:p>
      <w:pPr>
        <w:pStyle w:val="Heading3"/>
      </w:pPr>
      <w:r>
        <w:t>71.1 Standardiser ou calibrer</w:t>
      </w:r>
    </w:p>
    <w:p>
      <w:pPr>
        <w:widowControl/>
      </w:pPr>
      <w:r>
        <w:rPr>
          <w:b w:val="0"/>
          <w:i w:val="0"/>
        </w:rPr>
        <w:t>Une chaîne commune facilite les comparaisons mais peut figer une méthode biaisée. Une calibration permet des corrections mais dépend de la commutabilité de la référence. La stratégie doit être adaptée au mesurande.</w:t>
      </w:r>
    </w:p>
    <w:p>
      <w:pPr>
        <w:pStyle w:val="Heading3"/>
      </w:pPr>
      <w:r>
        <w:t>71.2 Valeur absolue ou valeur locale</w:t>
      </w:r>
    </w:p>
    <w:p>
      <w:pPr>
        <w:widowControl/>
      </w:pPr>
      <w:r>
        <w:rPr>
          <w:b w:val="0"/>
          <w:i w:val="0"/>
        </w:rPr>
        <w:t>L’ambition de mesures universelles s’oppose à la dépendance persistante au champ, à la séquence et à la reconstruction. Pour le mapping et le strain, les références locales restent souvent nécessaires ; leur simple existence ne garantit toutefois pas une validation suffisante.</w:t>
      </w:r>
    </w:p>
    <w:p>
      <w:pPr>
        <w:pStyle w:val="Heading3"/>
      </w:pPr>
      <w:r>
        <w:t>71.3 Global ou segmentaire</w:t>
      </w:r>
    </w:p>
    <w:p>
      <w:pPr>
        <w:widowControl/>
      </w:pPr>
      <w:r>
        <w:rPr>
          <w:b w:val="0"/>
          <w:i w:val="0"/>
        </w:rPr>
        <w:t>Le global est plus stable mais peut masquer une anomalie localisée. Le segmentaire est plus sensible aux erreurs. L’objectif scientifique, pas la préférence esthétique, doit déterminer le niveau.</w:t>
      </w:r>
    </w:p>
    <w:p>
      <w:pPr>
        <w:pStyle w:val="Heading3"/>
      </w:pPr>
      <w:r>
        <w:t>71.4 Automatisation</w:t>
      </w:r>
    </w:p>
    <w:p>
      <w:pPr>
        <w:widowControl/>
      </w:pPr>
      <w:r>
        <w:rPr>
          <w:b w:val="0"/>
          <w:i w:val="0"/>
        </w:rPr>
        <w:t>L’automatisation réduit certains effets lecteur mais introduit dépendance aux données d’entraînement, au contrôle des échecs et à la version. Un résultat automatisé sans drapeau d’incertitude peut rendre l’erreur moins visible.</w:t>
      </w:r>
    </w:p>
    <w:p>
      <w:pPr>
        <w:pStyle w:val="Heading3"/>
      </w:pPr>
      <w:r>
        <w:t>71.5 Correction de mouvement</w:t>
      </w:r>
    </w:p>
    <w:p>
      <w:pPr>
        <w:widowControl/>
      </w:pPr>
      <w:r>
        <w:rPr>
          <w:b w:val="0"/>
          <w:i w:val="0"/>
        </w:rPr>
        <w:t>Corriger augmente parfois l’analysabilité mais peut déformer les données. La comparaison avec l’image non corrigée et l’évaluation de l’impact quantitatif restent nécessaires.</w:t>
      </w:r>
    </w:p>
    <w:p>
      <w:pPr>
        <w:pStyle w:val="Heading3"/>
      </w:pPr>
      <w:r>
        <w:t>71.6 Biomarqueur surrogate</w:t>
      </w:r>
    </w:p>
    <w:p>
      <w:pPr>
        <w:widowControl/>
      </w:pPr>
      <w:r>
        <w:rPr>
          <w:b w:val="0"/>
          <w:i w:val="0"/>
        </w:rPr>
        <w:t>Une mesure associée à un résultat et modifiée par une intervention n’est pas automatiquement un substitut causal. La qualification surrogate exige une preuve distincte, hors portée de ce socle.</w:t>
      </w:r>
    </w:p>
    <w:p>
      <w:pPr>
        <w:pStyle w:val="Heading2"/>
      </w:pPr>
      <w:r>
        <w:t>72. Knowledge Gaps KG-CMR-01 à KG-CMR-20</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900"/>
        <w:gridCol w:w="3000"/>
        <w:gridCol w:w="4460"/>
      </w:tblGrid>
      <w:tr>
        <w:trPr>
          <w:cantSplit/>
          <w:tblHeader w:val="true"/>
        </w:trPr>
        <w:tc>
          <w:tcPr>
            <w:tcW w:type="dxa" w:w="1900"/>
            <w:vAlign w:val="center"/>
            <w:tcMar>
              <w:top w:w="82" w:type="dxa"/>
              <w:start w:w="95" w:type="dxa"/>
              <w:bottom w:w="82" w:type="dxa"/>
              <w:end w:w="95" w:type="dxa"/>
            </w:tcMar>
            <w:shd w:fill="12344D"/>
          </w:tcPr>
          <w:p>
            <w:pPr>
              <w:spacing w:after="0" w:line="235" w:lineRule="auto"/>
              <w:jc w:val="left"/>
            </w:pPr>
            <w:r>
              <w:rPr>
                <w:b/>
                <w:i w:val="0"/>
                <w:color w:val="FFFFFF"/>
                <w:sz w:val="15"/>
              </w:rPr>
              <w:t>ID</w:t>
            </w:r>
          </w:p>
        </w:tc>
        <w:tc>
          <w:tcPr>
            <w:tcW w:type="dxa" w:w="3000"/>
            <w:vAlign w:val="center"/>
            <w:tcMar>
              <w:top w:w="82" w:type="dxa"/>
              <w:start w:w="95" w:type="dxa"/>
              <w:bottom w:w="82" w:type="dxa"/>
              <w:end w:w="95" w:type="dxa"/>
            </w:tcMar>
            <w:shd w:fill="12344D"/>
          </w:tcPr>
          <w:p>
            <w:pPr>
              <w:spacing w:after="0" w:line="235" w:lineRule="auto"/>
              <w:jc w:val="left"/>
            </w:pPr>
            <w:r>
              <w:rPr>
                <w:b/>
                <w:i w:val="0"/>
                <w:color w:val="FFFFFF"/>
                <w:sz w:val="15"/>
              </w:rPr>
              <w:t>Lacune</w:t>
            </w:r>
          </w:p>
        </w:tc>
        <w:tc>
          <w:tcPr>
            <w:tcW w:type="dxa" w:w="4460"/>
            <w:vAlign w:val="center"/>
            <w:tcMar>
              <w:top w:w="82" w:type="dxa"/>
              <w:start w:w="95" w:type="dxa"/>
              <w:bottom w:w="82" w:type="dxa"/>
              <w:end w:w="95" w:type="dxa"/>
            </w:tcMar>
            <w:shd w:fill="12344D"/>
          </w:tcPr>
          <w:p>
            <w:pPr>
              <w:spacing w:after="0" w:line="235" w:lineRule="auto"/>
              <w:jc w:val="left"/>
            </w:pPr>
            <w:r>
              <w:rPr>
                <w:b/>
                <w:i w:val="0"/>
                <w:color w:val="FFFFFF"/>
                <w:sz w:val="15"/>
              </w:rPr>
              <w:t>Preuve nécessaire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KG-CMR-01</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Traçabilité des changements de reconstruction</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Études de pont versionnées et multi-site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KG-CMR-02</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Commutabilité des phantoms T1/T2 avec le myocarde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Comparaisons coordonnées phantom–humain</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KG-CMR-03</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Références multicentriques réellement transférables</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Cohortes diverses avec chaînes décrites</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KG-CMR-04</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Variation biologique intra-individuelle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Répétitions longitudinales indépendantes de la technique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KG-CMR-05</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Changement minimal pertinent pour chaque biomarqueur</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Lien entre erreur, biologie et contexte d’usage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KG-CMR-06</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Interopérabilité du strain</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Benchmarks ouverts, phantoms numériques et données réelles</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KG-CMR-07</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Strain segmentaire robuste</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Validation contre références et cas hors plan</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KG-CMR-08</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Quantification de perfusion multi-constructeur</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Validation externe avec références et stress documentés</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KG-CMR-09</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LGE diffus et méthodes de segmentation</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Références tissulaires et analyses de sensibilité</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KG-CMR-10</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T2* hors contextes les mieux établis</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Validation analytique et biologique spécifique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KG-CMR-11</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Dérivés 4D Flow</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Répétabilité, exactitude et valeur incrémentale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KG-CMR-12</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cDTI multicentrique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Protocoles de recherche harmonisés et taux d’échec complets</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KG-CMR-13</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QC automatique généralisable</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Jeux externes, erreurs rares et surveillance de dérive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KG-CMR-14</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Mesures en arythmie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Références battement-par-battement et représentativité</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KG-CMR-15</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Imagerie libre et auto-gâtée</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Comparaison à chaînes conventionnelles par mesurande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KG-CMR-16</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Populations pédiatriques et croissance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Références longitudinales et adaptées à l’âge</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KG-CMR-17</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Populations sous-représentées</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Recrutement prospectif et analyse de transportabilité</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KG-CMR-18</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Données non évaluables</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Registres d’échec et modèles de données manquantes</w:t>
            </w:r>
          </w:p>
        </w:tc>
      </w:tr>
      <w:tr>
        <w:trPr>
          <w:cantSplit/>
        </w:trPr>
        <w:tc>
          <w:tcPr>
            <w:tcW w:type="dxa" w:w="1900"/>
            <w:vAlign w:val="center"/>
            <w:tcMar>
              <w:top w:w="82" w:type="dxa"/>
              <w:start w:w="95" w:type="dxa"/>
              <w:bottom w:w="82" w:type="dxa"/>
              <w:end w:w="95" w:type="dxa"/>
            </w:tcMar>
            <w:shd w:fill="FFFFFF"/>
          </w:tcPr>
          <w:p>
            <w:pPr>
              <w:spacing w:after="0" w:line="235" w:lineRule="auto"/>
              <w:jc w:val="left"/>
            </w:pPr>
            <w:r>
              <w:rPr>
                <w:b w:val="0"/>
                <w:i w:val="0"/>
                <w:color w:val="24323D"/>
                <w:sz w:val="15"/>
              </w:rPr>
              <w:t>KG-CMR-19</w:t>
            </w:r>
          </w:p>
        </w:tc>
        <w:tc>
          <w:tcPr>
            <w:tcW w:type="dxa" w:w="3000"/>
            <w:vAlign w:val="center"/>
            <w:tcMar>
              <w:top w:w="82" w:type="dxa"/>
              <w:start w:w="95" w:type="dxa"/>
              <w:bottom w:w="82" w:type="dxa"/>
              <w:end w:w="95" w:type="dxa"/>
            </w:tcMar>
            <w:shd w:fill="FFFFFF"/>
          </w:tcPr>
          <w:p>
            <w:pPr>
              <w:spacing w:after="0" w:line="235" w:lineRule="auto"/>
              <w:jc w:val="left"/>
            </w:pPr>
            <w:r>
              <w:rPr>
                <w:b w:val="0"/>
                <w:i w:val="0"/>
                <w:color w:val="24323D"/>
                <w:sz w:val="15"/>
              </w:rPr>
              <w:t>Incertitude au niveau individuel</w:t>
            </w:r>
          </w:p>
        </w:tc>
        <w:tc>
          <w:tcPr>
            <w:tcW w:type="dxa" w:w="4460"/>
            <w:vAlign w:val="center"/>
            <w:tcMar>
              <w:top w:w="82" w:type="dxa"/>
              <w:start w:w="95" w:type="dxa"/>
              <w:bottom w:w="82" w:type="dxa"/>
              <w:end w:w="95" w:type="dxa"/>
            </w:tcMar>
            <w:shd w:fill="FFFFFF"/>
          </w:tcPr>
          <w:p>
            <w:pPr>
              <w:spacing w:after="0" w:line="235" w:lineRule="auto"/>
              <w:jc w:val="left"/>
            </w:pPr>
            <w:r>
              <w:rPr>
                <w:b w:val="0"/>
                <w:i w:val="0"/>
                <w:color w:val="24323D"/>
                <w:sz w:val="15"/>
              </w:rPr>
              <w:t>Propagation complète et calibration empirique</w:t>
            </w:r>
          </w:p>
        </w:tc>
      </w:tr>
      <w:tr>
        <w:trPr>
          <w:cantSplit/>
        </w:trPr>
        <w:tc>
          <w:tcPr>
            <w:tcW w:type="dxa" w:w="1900"/>
            <w:vAlign w:val="center"/>
            <w:tcMar>
              <w:top w:w="82" w:type="dxa"/>
              <w:start w:w="95" w:type="dxa"/>
              <w:bottom w:w="82" w:type="dxa"/>
              <w:end w:w="95" w:type="dxa"/>
            </w:tcMar>
            <w:shd w:fill="F2F8FA"/>
          </w:tcPr>
          <w:p>
            <w:pPr>
              <w:spacing w:after="0" w:line="235" w:lineRule="auto"/>
              <w:jc w:val="left"/>
            </w:pPr>
            <w:r>
              <w:rPr>
                <w:b w:val="0"/>
                <w:i w:val="0"/>
                <w:color w:val="24323D"/>
                <w:sz w:val="15"/>
              </w:rPr>
              <w:t>KG-CMR-20</w:t>
            </w:r>
          </w:p>
        </w:tc>
        <w:tc>
          <w:tcPr>
            <w:tcW w:type="dxa" w:w="3000"/>
            <w:vAlign w:val="center"/>
            <w:tcMar>
              <w:top w:w="82" w:type="dxa"/>
              <w:start w:w="95" w:type="dxa"/>
              <w:bottom w:w="82" w:type="dxa"/>
              <w:end w:w="95" w:type="dxa"/>
            </w:tcMar>
            <w:shd w:fill="F2F8FA"/>
          </w:tcPr>
          <w:p>
            <w:pPr>
              <w:spacing w:after="0" w:line="235" w:lineRule="auto"/>
              <w:jc w:val="left"/>
            </w:pPr>
            <w:r>
              <w:rPr>
                <w:b w:val="0"/>
                <w:i w:val="0"/>
                <w:color w:val="24323D"/>
                <w:sz w:val="15"/>
              </w:rPr>
              <w:t>Conservation quantitative par reconstruction apprise</w:t>
            </w:r>
          </w:p>
        </w:tc>
        <w:tc>
          <w:tcPr>
            <w:tcW w:type="dxa" w:w="4460"/>
            <w:vAlign w:val="center"/>
            <w:tcMar>
              <w:top w:w="82" w:type="dxa"/>
              <w:start w:w="95" w:type="dxa"/>
              <w:bottom w:w="82" w:type="dxa"/>
              <w:end w:w="95" w:type="dxa"/>
            </w:tcMar>
            <w:shd w:fill="F2F8FA"/>
          </w:tcPr>
          <w:p>
            <w:pPr>
              <w:spacing w:after="0" w:line="235" w:lineRule="auto"/>
              <w:jc w:val="left"/>
            </w:pPr>
            <w:r>
              <w:rPr>
                <w:b w:val="0"/>
                <w:i w:val="0"/>
                <w:color w:val="24323D"/>
                <w:sz w:val="15"/>
              </w:rPr>
              <w:t>Tests physiques, adversariaux et hors distribution</w:t>
            </w:r>
          </w:p>
        </w:tc>
      </w:tr>
    </w:tbl>
    <w:p>
      <w:pPr>
        <w:spacing w:after="0"/>
      </w:pPr>
    </w:p>
    <w:p>
      <w:pPr>
        <w:pStyle w:val="Heading2"/>
      </w:pPr>
      <w:r>
        <w:t>73. Questions ouvertes</w:t>
      </w:r>
    </w:p>
    <w:p>
      <w:pPr>
        <w:pStyle w:val="ListNumber"/>
        <w:numPr>
          <w:ilvl w:val="0"/>
          <w:numId w:val="13"/>
        </w:numPr>
      </w:pPr>
      <w:r>
        <w:rPr>
          <w:b w:val="0"/>
          <w:i w:val="0"/>
        </w:rPr>
        <w:t>Quelles propriétés doivent rester invariantes lors d’une harmonisation qui modifie la distribution des valeurs ?</w:t>
      </w:r>
    </w:p>
    <w:p>
      <w:pPr>
        <w:pStyle w:val="ListNumber"/>
        <w:numPr>
          <w:ilvl w:val="0"/>
          <w:numId w:val="13"/>
        </w:numPr>
      </w:pPr>
      <w:r>
        <w:rPr>
          <w:b w:val="0"/>
          <w:i w:val="0"/>
        </w:rPr>
        <w:t>Comment construire une chaîne de référence commune sans imposer une implémentation unique ?</w:t>
      </w:r>
    </w:p>
    <w:p>
      <w:pPr>
        <w:pStyle w:val="ListNumber"/>
        <w:numPr>
          <w:ilvl w:val="0"/>
          <w:numId w:val="13"/>
        </w:numPr>
      </w:pPr>
      <w:r>
        <w:rPr>
          <w:b w:val="0"/>
          <w:i w:val="0"/>
        </w:rPr>
        <w:t>Quel niveau d’incertitude doit accompagner une valeur pixel-à-pixel pour éviter une fausse précision ?</w:t>
      </w:r>
    </w:p>
    <w:p>
      <w:pPr>
        <w:pStyle w:val="ListNumber"/>
        <w:numPr>
          <w:ilvl w:val="0"/>
          <w:numId w:val="13"/>
        </w:numPr>
      </w:pPr>
      <w:r>
        <w:rPr>
          <w:b w:val="0"/>
          <w:i w:val="0"/>
        </w:rPr>
        <w:t>Comment séparer variation biologique, mouvement et changement technique lors d’un suivi court ?</w:t>
      </w:r>
    </w:p>
    <w:p>
      <w:pPr>
        <w:pStyle w:val="ListNumber"/>
        <w:numPr>
          <w:ilvl w:val="0"/>
          <w:numId w:val="13"/>
        </w:numPr>
      </w:pPr>
      <w:r>
        <w:rPr>
          <w:b w:val="0"/>
          <w:i w:val="0"/>
        </w:rPr>
        <w:t>Quand un contrôle humain doit-il pouvoir annuler un QC automatique, et comment auditer cette décision ?</w:t>
      </w:r>
    </w:p>
    <w:p>
      <w:pPr>
        <w:pStyle w:val="ListNumber"/>
        <w:numPr>
          <w:ilvl w:val="0"/>
          <w:numId w:val="13"/>
        </w:numPr>
      </w:pPr>
      <w:r>
        <w:rPr>
          <w:b w:val="0"/>
          <w:i w:val="0"/>
        </w:rPr>
        <w:t>Quels dérivés 4D Flow restent stables à la résolution réellement disponible ?</w:t>
      </w:r>
    </w:p>
    <w:p>
      <w:pPr>
        <w:pStyle w:val="ListNumber"/>
        <w:numPr>
          <w:ilvl w:val="0"/>
          <w:numId w:val="13"/>
        </w:numPr>
      </w:pPr>
      <w:r>
        <w:rPr>
          <w:b w:val="0"/>
          <w:i w:val="0"/>
        </w:rPr>
        <w:t>Quelles métriques cDTI sont suffisamment robustes pour dépasser la recherche méthodologique ?</w:t>
      </w:r>
    </w:p>
    <w:p>
      <w:pPr>
        <w:pStyle w:val="ListNumber"/>
        <w:numPr>
          <w:ilvl w:val="0"/>
          <w:numId w:val="13"/>
        </w:numPr>
      </w:pPr>
      <w:r>
        <w:rPr>
          <w:b w:val="0"/>
          <w:i w:val="0"/>
        </w:rPr>
        <w:t>Comment intégrer les patients non imageables dans l’estimation de la performance ?</w:t>
      </w:r>
    </w:p>
    <w:p>
      <w:pPr>
        <w:pStyle w:val="ListNumber"/>
        <w:numPr>
          <w:ilvl w:val="0"/>
          <w:numId w:val="13"/>
        </w:numPr>
      </w:pPr>
      <w:r>
        <w:rPr>
          <w:b w:val="0"/>
          <w:i w:val="0"/>
        </w:rPr>
        <w:t>Quelle étude de pont minimale est nécessaire après une mise à jour de reconstruction ?</w:t>
      </w:r>
    </w:p>
    <w:p>
      <w:pPr>
        <w:pStyle w:val="ListNumber"/>
        <w:numPr>
          <w:ilvl w:val="0"/>
          <w:numId w:val="13"/>
        </w:numPr>
      </w:pPr>
      <w:r>
        <w:rPr>
          <w:b w:val="0"/>
          <w:i w:val="0"/>
        </w:rPr>
        <w:t>Comment versionner des intervalles de référence lorsque la chaîne de mesure évolue ?</w:t>
      </w:r>
    </w:p>
    <w:p>
      <w:pPr>
        <w:pStyle w:val="ListNumber"/>
        <w:numPr>
          <w:ilvl w:val="0"/>
          <w:numId w:val="13"/>
        </w:numPr>
      </w:pPr>
      <w:r>
        <w:rPr>
          <w:b w:val="0"/>
          <w:i w:val="0"/>
        </w:rPr>
        <w:t>Une mesure globale plus robuste mais moins localisée répond-elle réellement au construit visé ?</w:t>
      </w:r>
    </w:p>
    <w:p>
      <w:pPr>
        <w:pStyle w:val="ListNumber"/>
        <w:numPr>
          <w:ilvl w:val="0"/>
          <w:numId w:val="13"/>
        </w:numPr>
      </w:pPr>
      <w:r>
        <w:rPr>
          <w:b w:val="0"/>
          <w:i w:val="0"/>
        </w:rPr>
        <w:t>Comment démontrer qu’une reconstruction améliore la mesure plutôt que son apparence ?</w:t>
      </w:r>
    </w:p>
    <w:p>
      <w:r>
        <w:br w:type="page"/>
      </w:r>
    </w:p>
    <w:p>
      <w:pPr>
        <w:pStyle w:val="Heading1"/>
        <w:pBdr>
          <w:bottom w:val="single" w:sz="12" w:space="7" w:color="22A6B3"/>
        </w:pBdr>
      </w:pPr>
      <w:r>
        <w:t>PARTIE XIX — GLOSSAIRE ET LANGAGE NORMATIF</w:t>
      </w:r>
    </w:p>
    <w:p>
      <w:pPr>
        <w:pStyle w:val="Heading2"/>
      </w:pPr>
      <w:r>
        <w:t>74. Glossaire opérationnel</w:t>
      </w:r>
    </w:p>
    <w:p>
      <w:pPr>
        <w:pStyle w:val="Heading3"/>
      </w:pPr>
      <w:r>
        <w:t>Accuracy / exactitude</w:t>
      </w:r>
    </w:p>
    <w:p>
      <w:pPr>
        <w:widowControl/>
      </w:pPr>
      <w:r>
        <w:rPr>
          <w:b w:val="0"/>
          <w:i w:val="0"/>
        </w:rPr>
        <w:t>Proximité entre résultat et référence appropriée ; comporte trueness et précision selon le cadre métrologique.</w:t>
      </w:r>
    </w:p>
    <w:p>
      <w:pPr>
        <w:pStyle w:val="Heading3"/>
      </w:pPr>
      <w:r>
        <w:t>Agreement / accord</w:t>
      </w:r>
    </w:p>
    <w:p>
      <w:pPr>
        <w:widowControl/>
      </w:pPr>
      <w:r>
        <w:rPr>
          <w:b w:val="0"/>
          <w:i w:val="0"/>
        </w:rPr>
        <w:t>Proximité des résultats entre méthodes, lecteurs ou répétitions, évaluée dans l’unité du mesurande.</w:t>
      </w:r>
    </w:p>
    <w:p>
      <w:pPr>
        <w:pStyle w:val="Heading3"/>
      </w:pPr>
      <w:r>
        <w:t>Artefact</w:t>
      </w:r>
    </w:p>
    <w:p>
      <w:pPr>
        <w:widowControl/>
      </w:pPr>
      <w:r>
        <w:rPr>
          <w:b w:val="0"/>
          <w:i w:val="0"/>
        </w:rPr>
        <w:t>Structure ou modification du signal produite par la chaîne de mesure plutôt que par le phénomène interprété.</w:t>
      </w:r>
    </w:p>
    <w:p>
      <w:pPr>
        <w:pStyle w:val="Heading3"/>
      </w:pPr>
      <w:r>
        <w:t>bSSFP</w:t>
      </w:r>
    </w:p>
    <w:p>
      <w:pPr>
        <w:widowControl/>
      </w:pPr>
      <w:r>
        <w:rPr>
          <w:b w:val="0"/>
          <w:i w:val="0"/>
        </w:rPr>
        <w:t>Steady-state free precession équilibrée ; famille cohérente sensible au rapport T2/T1 et à la hors-résonance.</w:t>
      </w:r>
    </w:p>
    <w:p>
      <w:pPr>
        <w:pStyle w:val="Heading3"/>
      </w:pPr>
      <w:r>
        <w:t>Cine</w:t>
      </w:r>
    </w:p>
    <w:p>
      <w:pPr>
        <w:widowControl/>
      </w:pPr>
      <w:r>
        <w:rPr>
          <w:b w:val="0"/>
          <w:i w:val="0"/>
        </w:rPr>
        <w:t>Série d’images représentant des phases cardiaques reconstruites à partir d’un ou plusieurs cycles.</w:t>
      </w:r>
    </w:p>
    <w:p>
      <w:pPr>
        <w:pStyle w:val="Heading3"/>
      </w:pPr>
      <w:r>
        <w:t>ECV</w:t>
      </w:r>
    </w:p>
    <w:p>
      <w:pPr>
        <w:widowControl/>
      </w:pPr>
      <w:r>
        <w:rPr>
          <w:b w:val="0"/>
          <w:i w:val="0"/>
        </w:rPr>
        <w:t>Fraction de volume extracellulaire accessible estimée via variations de R1 sanguin et myocardique et hématocrite.</w:t>
      </w:r>
    </w:p>
    <w:p>
      <w:pPr>
        <w:pStyle w:val="Heading3"/>
      </w:pPr>
      <w:r>
        <w:t>Feature Tracking</w:t>
      </w:r>
    </w:p>
    <w:p>
      <w:pPr>
        <w:widowControl/>
      </w:pPr>
      <w:r>
        <w:rPr>
          <w:b w:val="0"/>
          <w:i w:val="0"/>
        </w:rPr>
        <w:t>Estimation de mouvement et déformation à partir de caractéristiques visibles dans des cinés.</w:t>
      </w:r>
    </w:p>
    <w:p>
      <w:pPr>
        <w:pStyle w:val="Heading3"/>
      </w:pPr>
      <w:r>
        <w:t>Harmonisation</w:t>
      </w:r>
    </w:p>
    <w:p>
      <w:pPr>
        <w:widowControl/>
      </w:pPr>
      <w:r>
        <w:rPr>
          <w:b w:val="0"/>
          <w:i w:val="0"/>
        </w:rPr>
        <w:t>Ensemble explicite d’opérations visant la comparabilité entre chaînes, sans garantie automatique de validité.</w:t>
      </w:r>
    </w:p>
    <w:p>
      <w:pPr>
        <w:pStyle w:val="Heading3"/>
      </w:pPr>
      <w:r>
        <w:t>LGE</w:t>
      </w:r>
    </w:p>
    <w:p>
      <w:pPr>
        <w:widowControl/>
      </w:pPr>
      <w:r>
        <w:rPr>
          <w:b w:val="0"/>
          <w:i w:val="0"/>
        </w:rPr>
        <w:t>Rehaussement tardif relatif après contraste extracellulaire et préparation d’annulation.</w:t>
      </w:r>
    </w:p>
    <w:p>
      <w:pPr>
        <w:pStyle w:val="Heading3"/>
      </w:pPr>
      <w:r>
        <w:t>Mapping</w:t>
      </w:r>
    </w:p>
    <w:p>
      <w:pPr>
        <w:widowControl/>
      </w:pPr>
      <w:r>
        <w:rPr>
          <w:b w:val="0"/>
          <w:i w:val="0"/>
        </w:rPr>
        <w:t>Estimation spatialisée d’un paramètre de modèle à partir de plusieurs états de signal.</w:t>
      </w:r>
    </w:p>
    <w:p>
      <w:pPr>
        <w:pStyle w:val="Heading3"/>
      </w:pPr>
      <w:r>
        <w:t>Mesurande</w:t>
      </w:r>
    </w:p>
    <w:p>
      <w:pPr>
        <w:widowControl/>
      </w:pPr>
      <w:r>
        <w:rPr>
          <w:b w:val="0"/>
          <w:i w:val="0"/>
        </w:rPr>
        <w:t>Grandeur précisément définie destinée à être mesurée.</w:t>
      </w:r>
    </w:p>
    <w:p>
      <w:pPr>
        <w:pStyle w:val="Heading3"/>
      </w:pPr>
      <w:r>
        <w:t>Motion correction</w:t>
      </w:r>
    </w:p>
    <w:p>
      <w:pPr>
        <w:widowControl/>
      </w:pPr>
      <w:r>
        <w:rPr>
          <w:b w:val="0"/>
          <w:i w:val="0"/>
        </w:rPr>
        <w:t>Transformation ou reconstruction visant à réduire l’effet du mouvement selon un modèle.</w:t>
      </w:r>
    </w:p>
    <w:p>
      <w:pPr>
        <w:pStyle w:val="Heading3"/>
      </w:pPr>
      <w:r>
        <w:t>Repeatability / répétabilité</w:t>
      </w:r>
    </w:p>
    <w:p>
      <w:pPr>
        <w:widowControl/>
      </w:pPr>
      <w:r>
        <w:rPr>
          <w:b w:val="0"/>
          <w:i w:val="0"/>
        </w:rPr>
        <w:t>Précision sous conditions répétées définies.</w:t>
      </w:r>
    </w:p>
    <w:p>
      <w:pPr>
        <w:pStyle w:val="Heading3"/>
      </w:pPr>
      <w:r>
        <w:t>Reproducibility / reproductibilité</w:t>
      </w:r>
    </w:p>
    <w:p>
      <w:pPr>
        <w:widowControl/>
      </w:pPr>
      <w:r>
        <w:rPr>
          <w:b w:val="0"/>
          <w:i w:val="0"/>
        </w:rPr>
        <w:t>Précision lorsque certaines conditions définies changent.</w:t>
      </w:r>
    </w:p>
    <w:p>
      <w:pPr>
        <w:pStyle w:val="Heading3"/>
      </w:pPr>
      <w:r>
        <w:t>Strain</w:t>
      </w:r>
    </w:p>
    <w:p>
      <w:pPr>
        <w:widowControl/>
      </w:pPr>
      <w:r>
        <w:rPr>
          <w:b w:val="0"/>
          <w:i w:val="0"/>
        </w:rPr>
        <w:t>Déformation relative par rapport à un état et un repère définis.</w:t>
      </w:r>
    </w:p>
    <w:p>
      <w:pPr>
        <w:pStyle w:val="Heading3"/>
      </w:pPr>
      <w:r>
        <w:t>Validation analytique</w:t>
      </w:r>
    </w:p>
    <w:p>
      <w:pPr>
        <w:widowControl/>
      </w:pPr>
      <w:r>
        <w:rPr>
          <w:b w:val="0"/>
          <w:i w:val="0"/>
        </w:rPr>
        <w:t>Démonstration que la chaîne mesure le mesurande avec une performance adaptée.</w:t>
      </w:r>
    </w:p>
    <w:p>
      <w:pPr>
        <w:pStyle w:val="Heading2"/>
      </w:pPr>
      <w:r>
        <w:t>75. Formulations autorisées</w:t>
      </w:r>
    </w:p>
    <w:p>
      <w:pPr>
        <w:pStyle w:val="ListBullet"/>
      </w:pPr>
      <w:r>
        <w:rPr>
          <w:b w:val="0"/>
          <w:i w:val="0"/>
        </w:rPr>
        <w:t>« compatible avec le construit sous les conditions déclarées » ;</w:t>
      </w:r>
    </w:p>
    <w:p>
      <w:pPr>
        <w:pStyle w:val="ListBullet"/>
      </w:pPr>
      <w:r>
        <w:rPr>
          <w:b w:val="0"/>
          <w:i w:val="0"/>
        </w:rPr>
        <w:t>« valeur supérieure à l’intervalle de référence de cette méthode » ;</w:t>
      </w:r>
    </w:p>
    <w:p>
      <w:pPr>
        <w:pStyle w:val="ListBullet"/>
      </w:pPr>
      <w:r>
        <w:rPr>
          <w:b w:val="0"/>
          <w:i w:val="0"/>
        </w:rPr>
        <w:t>« mesure non évaluable pour raison technique » ;</w:t>
      </w:r>
    </w:p>
    <w:p>
      <w:pPr>
        <w:pStyle w:val="ListBullet"/>
      </w:pPr>
      <w:r>
        <w:rPr>
          <w:b w:val="0"/>
          <w:i w:val="0"/>
        </w:rPr>
        <w:t>« association observée, sans preuve de causalité » ;</w:t>
      </w:r>
    </w:p>
    <w:p>
      <w:pPr>
        <w:pStyle w:val="ListBullet"/>
      </w:pPr>
      <w:r>
        <w:rPr>
          <w:b w:val="0"/>
          <w:i w:val="0"/>
        </w:rPr>
        <w:t>« bonne répétabilité intra-chaîne » ;</w:t>
      </w:r>
    </w:p>
    <w:p>
      <w:pPr>
        <w:pStyle w:val="ListBullet"/>
      </w:pPr>
      <w:r>
        <w:rPr>
          <w:b w:val="0"/>
          <w:i w:val="0"/>
        </w:rPr>
        <w:t>« accord insuffisant pour l’interchangeabilité » ;</w:t>
      </w:r>
    </w:p>
    <w:p>
      <w:pPr>
        <w:pStyle w:val="ListBullet"/>
      </w:pPr>
      <w:r>
        <w:rPr>
          <w:b w:val="0"/>
          <w:i w:val="0"/>
        </w:rPr>
        <w:t>« biomarqueur exploratoire » ;</w:t>
      </w:r>
    </w:p>
    <w:p>
      <w:pPr>
        <w:pStyle w:val="ListBullet"/>
      </w:pPr>
      <w:r>
        <w:rPr>
          <w:b w:val="0"/>
          <w:i w:val="0"/>
        </w:rPr>
        <w:t>« incertitude non quantifiée » ;</w:t>
      </w:r>
    </w:p>
    <w:p>
      <w:pPr>
        <w:pStyle w:val="ListBullet"/>
      </w:pPr>
      <w:r>
        <w:rPr>
          <w:b w:val="0"/>
          <w:i w:val="0"/>
        </w:rPr>
        <w:t>« rupture de série possible après mise à jour ».</w:t>
      </w:r>
    </w:p>
    <w:p>
      <w:pPr>
        <w:pStyle w:val="Heading2"/>
      </w:pPr>
      <w:r>
        <w:t>76. Formulations prohibées sans preuve additionnelle</w:t>
      </w:r>
    </w:p>
    <w:p>
      <w:pPr>
        <w:pStyle w:val="ListBullet"/>
      </w:pPr>
      <w:r>
        <w:rPr>
          <w:b w:val="0"/>
          <w:i w:val="0"/>
        </w:rPr>
        <w:t>« valeur normale universelle » ;</w:t>
      </w:r>
    </w:p>
    <w:p>
      <w:pPr>
        <w:pStyle w:val="ListBullet"/>
      </w:pPr>
      <w:r>
        <w:rPr>
          <w:b w:val="0"/>
          <w:i w:val="0"/>
        </w:rPr>
        <w:t>« séquence gold standard » sans contexte ;</w:t>
      </w:r>
    </w:p>
    <w:p>
      <w:pPr>
        <w:pStyle w:val="ListBullet"/>
      </w:pPr>
      <w:r>
        <w:rPr>
          <w:b w:val="0"/>
          <w:i w:val="0"/>
        </w:rPr>
        <w:t>« absence de maladie » déduite d’une mesure négative ou non concluante ;</w:t>
      </w:r>
    </w:p>
    <w:p>
      <w:pPr>
        <w:pStyle w:val="ListBullet"/>
      </w:pPr>
      <w:r>
        <w:rPr>
          <w:b w:val="0"/>
          <w:i w:val="0"/>
        </w:rPr>
        <w:t>« fibrose quantifiée » par LGE ou ECV seuls ;</w:t>
      </w:r>
    </w:p>
    <w:p>
      <w:pPr>
        <w:pStyle w:val="ListBullet"/>
      </w:pPr>
      <w:r>
        <w:rPr>
          <w:b w:val="0"/>
          <w:i w:val="0"/>
        </w:rPr>
        <w:t>« fibres myocardiques visualisées » par DTI ;</w:t>
      </w:r>
    </w:p>
    <w:p>
      <w:pPr>
        <w:pStyle w:val="ListBullet"/>
      </w:pPr>
      <w:r>
        <w:rPr>
          <w:b w:val="0"/>
          <w:i w:val="0"/>
        </w:rPr>
        <w:t>« mesures interchangeables » sur corrélation ;</w:t>
      </w:r>
    </w:p>
    <w:p>
      <w:pPr>
        <w:pStyle w:val="ListBullet"/>
      </w:pPr>
      <w:r>
        <w:rPr>
          <w:b w:val="0"/>
          <w:i w:val="0"/>
        </w:rPr>
        <w:t>« reproductibilité excellente » sans dimension ni erreur absolue ;</w:t>
      </w:r>
    </w:p>
    <w:p>
      <w:pPr>
        <w:pStyle w:val="ListBullet"/>
      </w:pPr>
      <w:r>
        <w:rPr>
          <w:b w:val="0"/>
          <w:i w:val="0"/>
        </w:rPr>
        <w:t>« harmonisation réussie » sur disparition de l’effet site ;</w:t>
      </w:r>
    </w:p>
    <w:p>
      <w:pPr>
        <w:pStyle w:val="ListBullet"/>
      </w:pPr>
      <w:r>
        <w:rPr>
          <w:b w:val="0"/>
          <w:i w:val="0"/>
        </w:rPr>
        <w:t>« biomarqueur validé » sans contexte d’usage ;</w:t>
      </w:r>
    </w:p>
    <w:p>
      <w:pPr>
        <w:pStyle w:val="ListBullet"/>
      </w:pPr>
      <w:r>
        <w:rPr>
          <w:b w:val="0"/>
          <w:i w:val="0"/>
        </w:rPr>
        <w:t>« amélioration clinique » déduite d’un changement d’image.</w:t>
      </w:r>
    </w:p>
    <w:p>
      <w:pPr>
        <w:pStyle w:val="Heading2"/>
      </w:pPr>
      <w:r>
        <w:t>77. Conclusion méthodologique</w:t>
      </w:r>
    </w:p>
    <w:p>
      <w:pPr>
        <w:widowControl/>
      </w:pPr>
      <w:r>
        <w:rPr>
          <w:b w:val="0"/>
          <w:i w:val="0"/>
        </w:rPr>
        <w:t>L’IRM cardiaque quantitative est puissante parce qu’elle permet de construire des contrastes, d’échantillonner le mouvement et d’estimer plusieurs propriétés dans un même examen. Cette pluralité crée aussi son principal risque : confondre image, mesure, construit et décision.</w:t>
      </w:r>
    </w:p>
    <w:p>
      <w:pPr>
        <w:widowControl/>
      </w:pPr>
      <w:r>
        <w:rPr>
          <w:b w:val="0"/>
          <w:i w:val="0"/>
        </w:rPr>
        <w:t>Le socle officiel de RB-004 est donc une discipline de chaîne. Toute conclusion doit rester liée à la propriété visée, à la famille de séquence, à la reconstruction, au mouvement, à l’estimateur, au contrôle qualité, à l’incertitude et au contexte d’usage. Les valeurs isolées, seuils universels et équivalences implicites sont refusés.</w:t>
      </w:r>
    </w:p>
    <w:p>
      <w:pPr>
        <w:widowControl/>
      </w:pPr>
      <w:r>
        <w:rPr>
          <w:b w:val="0"/>
          <w:i w:val="0"/>
        </w:rPr>
        <w:t>Ce livre autorise les futurs Reasoning Books à réutiliser une physique, une métrologie et un langage communs. Il ne leur fournit ni diagnostic, ni protocole, ni recommandation. Leur travail commencera là où celui-ci s’arrête : sélectionner des construits pertinents, ajouter les preuves pathologiques et franchir séparément la porte de non-protocole.</w:t>
      </w:r>
    </w:p>
    <w:p>
      <w:r>
        <w:br w:type="page"/>
      </w:r>
    </w:p>
    <w:p>
      <w:pPr>
        <w:pStyle w:val="Heading1"/>
        <w:pBdr>
          <w:bottom w:val="single" w:sz="12" w:space="7" w:color="22A6B3"/>
        </w:pBdr>
      </w:pPr>
      <w:r>
        <w:t>RÉFÉRENCES SCIENTIFIQUES</w:t>
      </w:r>
    </w:p>
    <w:p>
      <w:pPr>
        <w:pStyle w:val="Heading2"/>
      </w:pPr>
      <w:r>
        <w:t>78. Politique de traçabilité</w:t>
      </w:r>
    </w:p>
    <w:p>
      <w:pPr>
        <w:widowControl/>
      </w:pPr>
      <w:r>
        <w:rPr>
          <w:b w:val="0"/>
          <w:i w:val="0"/>
        </w:rPr>
        <w:t xml:space="preserve">Les identifiants ont été vérifiés dans les notices de l’éditeur, PubMed ou PubMed Central disponibles au 3 août 2026. </w:t>
      </w:r>
      <w:r>
        <w:rPr>
          <w:b/>
          <w:i w:val="0"/>
        </w:rPr>
        <w:t>N/A</w:t>
      </w:r>
      <w:r>
        <w:rPr>
          <w:b w:val="0"/>
          <w:i w:val="0"/>
        </w:rPr>
        <w:t xml:space="preserve"> signifie qu’aucun identifiant de ce type n’a été identifié pour l’objet cité ; il ne doit pas être remplacé par une invention. Les références sont numérotées selon leur fonction dans le raisonnement, non selon une hiérarchie de prestige.</w:t>
      </w:r>
    </w:p>
    <w:p>
      <w:pPr>
        <w:pStyle w:val="Reference"/>
        <w:widowControl/>
      </w:pPr>
      <w:r>
        <w:rPr>
          <w:b w:val="0"/>
          <w:i w:val="0"/>
        </w:rPr>
        <w:t xml:space="preserve">[R01] Kramer CM, Barkhausen J, Bucciarelli-Ducci C, Flamm SD, Kim RJ, Nagel E. Standardized cardiovascular magnetic resonance imaging (CMR) protocols: 2020 update. </w:t>
      </w:r>
      <w:r>
        <w:rPr>
          <w:b w:val="0"/>
          <w:i/>
        </w:rPr>
        <w:t>J Cardiovasc Magn Reson</w:t>
      </w:r>
      <w:r>
        <w:rPr>
          <w:b w:val="0"/>
          <w:i w:val="0"/>
        </w:rPr>
        <w:t xml:space="preserve">. 2020;22:17. DOI: 10.1186/s12968-020-00607-1. PMID: 32089132. PMCID: PMC7038611. </w:t>
      </w:r>
      <w:hyperlink r:id="rId56">
        <w:r>
          <w:rPr>
            <w:color w:val="22A6B3"/>
            <w:u w:val="single"/>
          </w:rPr>
          <w:t>Notice PubMed</w:t>
        </w:r>
      </w:hyperlink>
    </w:p>
    <w:p>
      <w:pPr>
        <w:pStyle w:val="Reference"/>
        <w:widowControl/>
      </w:pPr>
      <w:r>
        <w:rPr>
          <w:b w:val="0"/>
          <w:i w:val="0"/>
        </w:rPr>
        <w:t xml:space="preserve">[R02] Schulz-Menger J, et al. Standardized image interpretation and post-processing in cardiovascular magnetic resonance — 2020 update. </w:t>
      </w:r>
      <w:r>
        <w:rPr>
          <w:b w:val="0"/>
          <w:i/>
        </w:rPr>
        <w:t>J Cardiovasc Magn Reson</w:t>
      </w:r>
      <w:r>
        <w:rPr>
          <w:b w:val="0"/>
          <w:i w:val="0"/>
        </w:rPr>
        <w:t xml:space="preserve">. 2020;22:19. DOI: 10.1186/s12968-020-00610-6. PMID: 32160925. PMCID: PMC7066763. </w:t>
      </w:r>
      <w:hyperlink r:id="rId57">
        <w:r>
          <w:rPr>
            <w:color w:val="22A6B3"/>
            <w:u w:val="single"/>
          </w:rPr>
          <w:t>Notice PubMed</w:t>
        </w:r>
      </w:hyperlink>
    </w:p>
    <w:p>
      <w:pPr>
        <w:pStyle w:val="Reference"/>
        <w:widowControl/>
      </w:pPr>
      <w:r>
        <w:rPr>
          <w:b w:val="0"/>
          <w:i w:val="0"/>
        </w:rPr>
        <w:t xml:space="preserve">[R03] Ridgway JP. Cardiovascular magnetic resonance physics for clinicians: part I. </w:t>
      </w:r>
      <w:r>
        <w:rPr>
          <w:b w:val="0"/>
          <w:i/>
        </w:rPr>
        <w:t>J Cardiovasc Magn Reson</w:t>
      </w:r>
      <w:r>
        <w:rPr>
          <w:b w:val="0"/>
          <w:i w:val="0"/>
        </w:rPr>
        <w:t xml:space="preserve">. 2010;12:71. DOI: 10.1186/1532-429X-12-71. PMID: 21118531. PMCID: PMC3016368. </w:t>
      </w:r>
      <w:hyperlink r:id="rId58">
        <w:r>
          <w:rPr>
            <w:color w:val="22A6B3"/>
            <w:u w:val="single"/>
          </w:rPr>
          <w:t>Notice PubMed</w:t>
        </w:r>
      </w:hyperlink>
    </w:p>
    <w:p>
      <w:pPr>
        <w:pStyle w:val="Reference"/>
        <w:widowControl/>
      </w:pPr>
      <w:r>
        <w:rPr>
          <w:b w:val="0"/>
          <w:i w:val="0"/>
        </w:rPr>
        <w:t xml:space="preserve">[R04] Biglands JD, Radjenovic A, Ridgway JP. Cardiovascular magnetic resonance physics for clinicians: part II. </w:t>
      </w:r>
      <w:r>
        <w:rPr>
          <w:b w:val="0"/>
          <w:i/>
        </w:rPr>
        <w:t>J Cardiovasc Magn Reson</w:t>
      </w:r>
      <w:r>
        <w:rPr>
          <w:b w:val="0"/>
          <w:i w:val="0"/>
        </w:rPr>
        <w:t xml:space="preserve">. 2012;14:66. DOI: 10.1186/1532-429X-14-66. PMID: 22995744. PMCID: PMC3533879. </w:t>
      </w:r>
      <w:hyperlink r:id="rId59">
        <w:r>
          <w:rPr>
            <w:color w:val="22A6B3"/>
            <w:u w:val="single"/>
          </w:rPr>
          <w:t>Notice PubMed</w:t>
        </w:r>
      </w:hyperlink>
    </w:p>
    <w:p>
      <w:pPr>
        <w:pStyle w:val="Reference"/>
        <w:widowControl/>
      </w:pPr>
      <w:r>
        <w:rPr>
          <w:b w:val="0"/>
          <w:i w:val="0"/>
        </w:rPr>
        <w:t xml:space="preserve">[R05] Gruber B, Froeling M, Leiner T, Klomp DWJ. RF coils: a practical guide for nonphysicists. </w:t>
      </w:r>
      <w:r>
        <w:rPr>
          <w:b w:val="0"/>
          <w:i/>
        </w:rPr>
        <w:t>J Magn Reson Imaging</w:t>
      </w:r>
      <w:r>
        <w:rPr>
          <w:b w:val="0"/>
          <w:i w:val="0"/>
        </w:rPr>
        <w:t xml:space="preserve">. 2018;48:590–604. DOI: 10.1002/jmri.26187. PMID: 29897651. PMCID: PMC6175221. </w:t>
      </w:r>
      <w:hyperlink r:id="rId60">
        <w:r>
          <w:rPr>
            <w:color w:val="22A6B3"/>
            <w:u w:val="single"/>
          </w:rPr>
          <w:t>Notice PubMed</w:t>
        </w:r>
      </w:hyperlink>
    </w:p>
    <w:p>
      <w:pPr>
        <w:pStyle w:val="Reference"/>
        <w:widowControl/>
      </w:pPr>
      <w:r>
        <w:rPr>
          <w:b w:val="0"/>
          <w:i w:val="0"/>
        </w:rPr>
        <w:t xml:space="preserve">[R06] Ferreira PF, Gatehouse PD, Mohiaddin RH, Firmin DN. Cardiovascular magnetic resonance artefacts. </w:t>
      </w:r>
      <w:r>
        <w:rPr>
          <w:b w:val="0"/>
          <w:i/>
        </w:rPr>
        <w:t>J Cardiovasc Magn Reson</w:t>
      </w:r>
      <w:r>
        <w:rPr>
          <w:b w:val="0"/>
          <w:i w:val="0"/>
        </w:rPr>
        <w:t xml:space="preserve">. 2013;15:41. DOI: 10.1186/1532-429X-15-41. PMID: 23697969. PMCID: PMC3674921. </w:t>
      </w:r>
      <w:hyperlink r:id="rId61">
        <w:r>
          <w:rPr>
            <w:color w:val="22A6B3"/>
            <w:u w:val="single"/>
          </w:rPr>
          <w:t>Notice PubMed</w:t>
        </w:r>
      </w:hyperlink>
    </w:p>
    <w:p>
      <w:pPr>
        <w:pStyle w:val="Reference"/>
        <w:widowControl/>
      </w:pPr>
      <w:r>
        <w:rPr>
          <w:b w:val="0"/>
          <w:i w:val="0"/>
        </w:rPr>
        <w:t xml:space="preserve">[R07] Messroghli DR, et al. Clinical recommendations for cardiovascular magnetic resonance mapping of T1, T2, T2* and extracellular volume. </w:t>
      </w:r>
      <w:r>
        <w:rPr>
          <w:b w:val="0"/>
          <w:i/>
        </w:rPr>
        <w:t>J Cardiovasc Magn Reson</w:t>
      </w:r>
      <w:r>
        <w:rPr>
          <w:b w:val="0"/>
          <w:i w:val="0"/>
        </w:rPr>
        <w:t xml:space="preserve">. 2017;19:75. DOI: 10.1186/s12968-017-0389-8. PMID: 28992817. PMCID: PMC5633041. </w:t>
      </w:r>
      <w:hyperlink r:id="rId62">
        <w:r>
          <w:rPr>
            <w:color w:val="22A6B3"/>
            <w:u w:val="single"/>
          </w:rPr>
          <w:t>Notice PubMed</w:t>
        </w:r>
      </w:hyperlink>
    </w:p>
    <w:p>
      <w:pPr>
        <w:pStyle w:val="Reference"/>
        <w:widowControl/>
      </w:pPr>
      <w:r>
        <w:rPr>
          <w:b w:val="0"/>
          <w:i w:val="0"/>
        </w:rPr>
        <w:t xml:space="preserve">[R08] Cameron D, Vassiliou VS, Higgins DM, Gatehouse PD. Towards accurate and precise T1 and extracellular volume mapping in the myocardium: a guide to current pitfalls and their solutions. </w:t>
      </w:r>
      <w:r>
        <w:rPr>
          <w:b w:val="0"/>
          <w:i/>
        </w:rPr>
        <w:t>MAGMA</w:t>
      </w:r>
      <w:r>
        <w:rPr>
          <w:b w:val="0"/>
          <w:i w:val="0"/>
        </w:rPr>
        <w:t xml:space="preserve">. 2018;31:143–163. DOI: 10.1007/s10334-017-0631-2. PMID: 28608328. PMCID: PMC5813078. </w:t>
      </w:r>
      <w:hyperlink r:id="rId63">
        <w:r>
          <w:rPr>
            <w:color w:val="22A6B3"/>
            <w:u w:val="single"/>
          </w:rPr>
          <w:t>Notice PubMed</w:t>
        </w:r>
      </w:hyperlink>
    </w:p>
    <w:p>
      <w:pPr>
        <w:pStyle w:val="Reference"/>
        <w:widowControl/>
      </w:pPr>
      <w:r>
        <w:rPr>
          <w:b w:val="0"/>
          <w:i w:val="0"/>
        </w:rPr>
        <w:t xml:space="preserve">[R09] Vassiliou VS, et al. Magnetic resonance imaging phantoms for quality-control of myocardial T1 and ECV mapping. </w:t>
      </w:r>
      <w:r>
        <w:rPr>
          <w:b w:val="0"/>
          <w:i/>
        </w:rPr>
        <w:t>J Cardiovasc Magn Reson</w:t>
      </w:r>
      <w:r>
        <w:rPr>
          <w:b w:val="0"/>
          <w:i w:val="0"/>
        </w:rPr>
        <w:t xml:space="preserve">. 2016;18:62. DOI: 10.1186/s12968-016-0275-9. PMID: 27659737. PMCID: PMC5034463. </w:t>
      </w:r>
      <w:hyperlink r:id="rId64">
        <w:r>
          <w:rPr>
            <w:color w:val="22A6B3"/>
            <w:u w:val="single"/>
          </w:rPr>
          <w:t>Notice PubMed</w:t>
        </w:r>
      </w:hyperlink>
    </w:p>
    <w:p>
      <w:pPr>
        <w:pStyle w:val="Reference"/>
        <w:widowControl/>
      </w:pPr>
      <w:r>
        <w:rPr>
          <w:b w:val="0"/>
          <w:i w:val="0"/>
        </w:rPr>
        <w:t xml:space="preserve">[R10] Topriceanu CC, et al. Developing a medical device-grade T2 phantom optimized for myocardial T2 mapping by cardiovascular magnetic resonance. </w:t>
      </w:r>
      <w:r>
        <w:rPr>
          <w:b w:val="0"/>
          <w:i/>
        </w:rPr>
        <w:t>J Cardiovasc Magn Reson</w:t>
      </w:r>
      <w:r>
        <w:rPr>
          <w:b w:val="0"/>
          <w:i w:val="0"/>
        </w:rPr>
        <w:t xml:space="preserve">. 2023;25:19. DOI: 10.1186/s12968-023-00926-z. PMID: 36935515. PMCID: PMC10026458. </w:t>
      </w:r>
      <w:hyperlink r:id="rId65">
        <w:r>
          <w:rPr>
            <w:color w:val="22A6B3"/>
            <w:u w:val="single"/>
          </w:rPr>
          <w:t>Notice PubMed</w:t>
        </w:r>
      </w:hyperlink>
    </w:p>
    <w:p>
      <w:pPr>
        <w:pStyle w:val="Reference"/>
        <w:widowControl/>
      </w:pPr>
      <w:r>
        <w:rPr>
          <w:b w:val="0"/>
          <w:i w:val="0"/>
        </w:rPr>
        <w:t xml:space="preserve">[R11] Gastl M, et al. Multi-site comparison of parametric T1 and T2 mapping: healthy travelling volunteers in the Berlin research network for cardiovascular magnetic resonance (BER-CMR). </w:t>
      </w:r>
      <w:r>
        <w:rPr>
          <w:b w:val="0"/>
          <w:i/>
        </w:rPr>
        <w:t>J Cardiovasc Magn Reson</w:t>
      </w:r>
      <w:r>
        <w:rPr>
          <w:b w:val="0"/>
          <w:i w:val="0"/>
        </w:rPr>
        <w:t xml:space="preserve">. 2023;25:47. DOI: 10.1186/s12968-023-00954-9. PMID: 37574535. PMCID: PMC10424349. </w:t>
      </w:r>
      <w:hyperlink r:id="rId66">
        <w:r>
          <w:rPr>
            <w:color w:val="22A6B3"/>
            <w:u w:val="single"/>
          </w:rPr>
          <w:t>Notice PubMed</w:t>
        </w:r>
      </w:hyperlink>
    </w:p>
    <w:p>
      <w:pPr>
        <w:pStyle w:val="Reference"/>
        <w:widowControl/>
      </w:pPr>
      <w:r>
        <w:rPr>
          <w:b w:val="0"/>
          <w:i w:val="0"/>
        </w:rPr>
        <w:t xml:space="preserve">[R12] Dabir D, et al. Reference values for healthy human myocardium using a T1 mapping methodology: results from the International T1 Multicenter cardiovascular magnetic resonance study. </w:t>
      </w:r>
      <w:r>
        <w:rPr>
          <w:b w:val="0"/>
          <w:i/>
        </w:rPr>
        <w:t>J Cardiovasc Magn Reson</w:t>
      </w:r>
      <w:r>
        <w:rPr>
          <w:b w:val="0"/>
          <w:i w:val="0"/>
        </w:rPr>
        <w:t xml:space="preserve">. 2014;16:69. DOI: 10.1186/s12968-014-0069-x. PMID: 25384607. PMCID: PMC4203908. </w:t>
      </w:r>
      <w:hyperlink r:id="rId67">
        <w:r>
          <w:rPr>
            <w:color w:val="22A6B3"/>
            <w:u w:val="single"/>
          </w:rPr>
          <w:t>Notice PubMed</w:t>
        </w:r>
      </w:hyperlink>
    </w:p>
    <w:p>
      <w:pPr>
        <w:pStyle w:val="Reference"/>
        <w:widowControl/>
      </w:pPr>
      <w:r>
        <w:rPr>
          <w:b w:val="0"/>
          <w:i w:val="0"/>
        </w:rPr>
        <w:t xml:space="preserve">[R13] Kawel-Boehm N, et al. Reference ranges (“normal values”) for cardiovascular magnetic resonance in adults and children: 2020 update. </w:t>
      </w:r>
      <w:r>
        <w:rPr>
          <w:b w:val="0"/>
          <w:i/>
        </w:rPr>
        <w:t>J Cardiovasc Magn Reson</w:t>
      </w:r>
      <w:r>
        <w:rPr>
          <w:b w:val="0"/>
          <w:i w:val="0"/>
        </w:rPr>
        <w:t xml:space="preserve">. 2020;22:87. DOI: 10.1186/s12968-020-00683-3. PMID: 33308262. PMCID: PMC7734766. </w:t>
      </w:r>
      <w:hyperlink r:id="rId68">
        <w:r>
          <w:rPr>
            <w:color w:val="22A6B3"/>
            <w:u w:val="single"/>
          </w:rPr>
          <w:t>Notice PubMed</w:t>
        </w:r>
      </w:hyperlink>
    </w:p>
    <w:p>
      <w:pPr>
        <w:pStyle w:val="Reference"/>
        <w:widowControl/>
      </w:pPr>
      <w:r>
        <w:rPr>
          <w:b w:val="0"/>
          <w:i w:val="0"/>
        </w:rPr>
        <w:t xml:space="preserve">[R14] Raisi-Estabragh Z, et al. Variation in cardiovascular magnetic resonance myocardial and blood T1 measurements by field strength, sequence and mapping parameters: meta-analysis. </w:t>
      </w:r>
      <w:r>
        <w:rPr>
          <w:b w:val="0"/>
          <w:i/>
        </w:rPr>
        <w:t>Eur Heart J Cardiovasc Imaging</w:t>
      </w:r>
      <w:r>
        <w:rPr>
          <w:b w:val="0"/>
          <w:i w:val="0"/>
        </w:rPr>
        <w:t xml:space="preserve">. 2021;22:1141–1150. DOI: 10.1093/ehjci/jeaa089. PMID: 32460308. PMCID: PMC8081427. </w:t>
      </w:r>
      <w:hyperlink r:id="rId69">
        <w:r>
          <w:rPr>
            <w:color w:val="22A6B3"/>
            <w:u w:val="single"/>
          </w:rPr>
          <w:t>Notice PubMed</w:t>
        </w:r>
      </w:hyperlink>
    </w:p>
    <w:p>
      <w:pPr>
        <w:pStyle w:val="Reference"/>
        <w:widowControl/>
      </w:pPr>
      <w:r>
        <w:rPr>
          <w:b w:val="0"/>
          <w:i w:val="0"/>
        </w:rPr>
        <w:t xml:space="preserve">[R15] Jerosch-Herold M, Petersen SE. Cardiovascular magnetic resonance tissue characterization by T1 and T2 mapping: a moving target in need of stable references. </w:t>
      </w:r>
      <w:r>
        <w:rPr>
          <w:b w:val="0"/>
          <w:i/>
        </w:rPr>
        <w:t>Circ Cardiovasc Imaging</w:t>
      </w:r>
      <w:r>
        <w:rPr>
          <w:b w:val="0"/>
          <w:i w:val="0"/>
        </w:rPr>
        <w:t xml:space="preserve">. 2022;15:e014743. DOI: 10.1161/CIRCIMAGING.122.014743. PMID: 36126129. PMCID: N/A. </w:t>
      </w:r>
      <w:hyperlink r:id="rId70">
        <w:r>
          <w:rPr>
            <w:color w:val="22A6B3"/>
            <w:u w:val="single"/>
          </w:rPr>
          <w:t>Notice PubMed</w:t>
        </w:r>
      </w:hyperlink>
    </w:p>
    <w:p>
      <w:pPr>
        <w:pStyle w:val="Reference"/>
        <w:widowControl/>
      </w:pPr>
      <w:r>
        <w:rPr>
          <w:b w:val="0"/>
          <w:i w:val="0"/>
        </w:rPr>
        <w:t xml:space="preserve">[R16] Puntmann VO, et al. SCMR expert consensus for CMR imaging endpoints in clinical research: part I — analytical validation and clinical qualification. </w:t>
      </w:r>
      <w:r>
        <w:rPr>
          <w:b w:val="0"/>
          <w:i/>
        </w:rPr>
        <w:t>J Cardiovasc Magn Reson</w:t>
      </w:r>
      <w:r>
        <w:rPr>
          <w:b w:val="0"/>
          <w:i w:val="0"/>
        </w:rPr>
        <w:t xml:space="preserve">. 2018;20:67. DOI: 10.1186/s12968-018-0484-5. PMID: 30231886. PMCID: PMC6147157. </w:t>
      </w:r>
      <w:hyperlink r:id="rId71">
        <w:r>
          <w:rPr>
            <w:color w:val="22A6B3"/>
            <w:u w:val="single"/>
          </w:rPr>
          <w:t>Notice PubMed</w:t>
        </w:r>
      </w:hyperlink>
    </w:p>
    <w:p>
      <w:pPr>
        <w:pStyle w:val="Reference"/>
        <w:widowControl/>
      </w:pPr>
      <w:r>
        <w:rPr>
          <w:b w:val="0"/>
          <w:i w:val="0"/>
        </w:rPr>
        <w:t xml:space="preserve">[R17] Maroules CD, McColl R, Khera A, Peshock RM. Interstudy reproducibility of SSFP cine magnetic resonance: impact of magnetic field strength and parallel imaging. </w:t>
      </w:r>
      <w:r>
        <w:rPr>
          <w:b w:val="0"/>
          <w:i/>
        </w:rPr>
        <w:t>J Magn Reson Imaging</w:t>
      </w:r>
      <w:r>
        <w:rPr>
          <w:b w:val="0"/>
          <w:i w:val="0"/>
        </w:rPr>
        <w:t xml:space="preserve">. 2008;27:1139–1145. DOI: 10.1002/jmri.21343. PMID: 18425830. PMCID: N/A. </w:t>
      </w:r>
      <w:hyperlink r:id="rId72">
        <w:r>
          <w:rPr>
            <w:color w:val="22A6B3"/>
            <w:u w:val="single"/>
          </w:rPr>
          <w:t>Notice PubMed</w:t>
        </w:r>
      </w:hyperlink>
    </w:p>
    <w:p>
      <w:pPr>
        <w:pStyle w:val="Reference"/>
        <w:widowControl/>
      </w:pPr>
      <w:r>
        <w:rPr>
          <w:b w:val="0"/>
          <w:i w:val="0"/>
        </w:rPr>
        <w:t xml:space="preserve">[R18] Thiele H, Nagel E, Paetsch I, et al. Functional cardiac MR imaging with steady-state free precession (SSFP) significantly improves endocardial border delineation without contrast agents. </w:t>
      </w:r>
      <w:r>
        <w:rPr>
          <w:b w:val="0"/>
          <w:i/>
        </w:rPr>
        <w:t>J Magn Reson Imaging</w:t>
      </w:r>
      <w:r>
        <w:rPr>
          <w:b w:val="0"/>
          <w:i w:val="0"/>
        </w:rPr>
        <w:t xml:space="preserve">. 2001;14:362–367. DOI: 10.1002/jmri.1195. PMID: 11599059. PMCID: N/A. </w:t>
      </w:r>
      <w:hyperlink r:id="rId73">
        <w:r>
          <w:rPr>
            <w:color w:val="22A6B3"/>
            <w:u w:val="single"/>
          </w:rPr>
          <w:t>Notice PubMed</w:t>
        </w:r>
      </w:hyperlink>
    </w:p>
    <w:p>
      <w:pPr>
        <w:pStyle w:val="Reference"/>
        <w:widowControl/>
      </w:pPr>
      <w:r>
        <w:rPr>
          <w:b w:val="0"/>
          <w:i w:val="0"/>
        </w:rPr>
        <w:t xml:space="preserve">[R19] Sheagren CD, Shadafny N, Escartin T, et al. Cardiac function evaluation in healthy volunteers and patients with implantable cardioverter-defibrillators using high-bandwidth spoiled gradient-echo cine. </w:t>
      </w:r>
      <w:r>
        <w:rPr>
          <w:b w:val="0"/>
          <w:i/>
        </w:rPr>
        <w:t>J Cardiovasc Magn Reson</w:t>
      </w:r>
      <w:r>
        <w:rPr>
          <w:b w:val="0"/>
          <w:i w:val="0"/>
        </w:rPr>
        <w:t xml:space="preserve">. 2025;27:101893. DOI: 10.1016/j.jocmr.2025.101893. PMID: 40220902. PMCID: PMC12135367. </w:t>
      </w:r>
      <w:hyperlink r:id="rId74">
        <w:r>
          <w:rPr>
            <w:color w:val="22A6B3"/>
            <w:u w:val="single"/>
          </w:rPr>
          <w:t>Notice PubMed</w:t>
        </w:r>
      </w:hyperlink>
    </w:p>
    <w:p>
      <w:pPr>
        <w:pStyle w:val="Reference"/>
        <w:widowControl/>
      </w:pPr>
      <w:r>
        <w:rPr>
          <w:b w:val="0"/>
          <w:i w:val="0"/>
        </w:rPr>
        <w:t xml:space="preserve">[R20] Henningsson M, Malik S, Botnar R, Castellanos D, Hussain T, Leiner T. Black-blood contrast in cardiovascular MRI. </w:t>
      </w:r>
      <w:r>
        <w:rPr>
          <w:b w:val="0"/>
          <w:i/>
        </w:rPr>
        <w:t>J Magn Reson Imaging</w:t>
      </w:r>
      <w:r>
        <w:rPr>
          <w:b w:val="0"/>
          <w:i w:val="0"/>
        </w:rPr>
        <w:t xml:space="preserve">. 2022;55:61–80. DOI: 10.1002/jmri.27399. PMID: 33078512. PMCID: PMC9292502. </w:t>
      </w:r>
      <w:hyperlink r:id="rId75">
        <w:r>
          <w:rPr>
            <w:color w:val="22A6B3"/>
            <w:u w:val="single"/>
          </w:rPr>
          <w:t>Notice PubMed</w:t>
        </w:r>
      </w:hyperlink>
    </w:p>
    <w:p>
      <w:pPr>
        <w:pStyle w:val="Reference"/>
        <w:widowControl/>
      </w:pPr>
      <w:r>
        <w:rPr>
          <w:b w:val="0"/>
          <w:i w:val="0"/>
        </w:rPr>
        <w:t xml:space="preserve">[R21] Jenista ER, Wendell DC, Azevedo CF, Klem I, Judd RM, Kim RJ. Revisiting how we perform late gadolinium enhancement CMR: insights gleaned over 25 years of clinical practice. </w:t>
      </w:r>
      <w:r>
        <w:rPr>
          <w:b w:val="0"/>
          <w:i/>
        </w:rPr>
        <w:t>J Cardiovasc Magn Reson</w:t>
      </w:r>
      <w:r>
        <w:rPr>
          <w:b w:val="0"/>
          <w:i w:val="0"/>
        </w:rPr>
        <w:t xml:space="preserve">. 2023;25:18. DOI: 10.1186/s12968-023-00925-0. PMID: 36922844. PMCID: PMC10018965. </w:t>
      </w:r>
      <w:hyperlink r:id="rId76">
        <w:r>
          <w:rPr>
            <w:color w:val="22A6B3"/>
            <w:u w:val="single"/>
          </w:rPr>
          <w:t>Notice PubMed</w:t>
        </w:r>
      </w:hyperlink>
    </w:p>
    <w:p>
      <w:pPr>
        <w:pStyle w:val="Reference"/>
        <w:widowControl/>
      </w:pPr>
      <w:r>
        <w:rPr>
          <w:b w:val="0"/>
          <w:i w:val="0"/>
        </w:rPr>
        <w:t xml:space="preserve">[R22] Chiribiri A, et al. Society for Cardiovascular Magnetic Resonance expert consensus statement on quantitative myocardial perfusion cardiovascular magnetic resonance imaging. </w:t>
      </w:r>
      <w:r>
        <w:rPr>
          <w:b w:val="0"/>
          <w:i/>
        </w:rPr>
        <w:t>J Cardiovasc Magn Reson</w:t>
      </w:r>
      <w:r>
        <w:rPr>
          <w:b w:val="0"/>
          <w:i w:val="0"/>
        </w:rPr>
        <w:t xml:space="preserve">. 2025;27:101940. DOI: 10.1016/j.jocmr.2025.101940. PMID: 40784605. PMCID: PMC12766621. </w:t>
      </w:r>
      <w:hyperlink r:id="rId77">
        <w:r>
          <w:rPr>
            <w:color w:val="22A6B3"/>
            <w:u w:val="single"/>
          </w:rPr>
          <w:t>Notice PubMed</w:t>
        </w:r>
      </w:hyperlink>
    </w:p>
    <w:p>
      <w:pPr>
        <w:pStyle w:val="Reference"/>
        <w:widowControl/>
      </w:pPr>
      <w:r>
        <w:rPr>
          <w:b w:val="0"/>
          <w:i w:val="0"/>
        </w:rPr>
        <w:t xml:space="preserve">[R23] Kim RJ, et al. The use of contrast-enhanced magnetic resonance imaging to identify reversible myocardial dysfunction. </w:t>
      </w:r>
      <w:r>
        <w:rPr>
          <w:b w:val="0"/>
          <w:i/>
        </w:rPr>
        <w:t>N Engl J Med</w:t>
      </w:r>
      <w:r>
        <w:rPr>
          <w:b w:val="0"/>
          <w:i w:val="0"/>
        </w:rPr>
        <w:t xml:space="preserve">. 2000;343:1445–1453. DOI: 10.1056/NEJM200011163432003. PMID: 11078769. PMCID: N/A. </w:t>
      </w:r>
      <w:hyperlink r:id="rId78">
        <w:r>
          <w:rPr>
            <w:color w:val="22A6B3"/>
            <w:u w:val="single"/>
          </w:rPr>
          <w:t>Notice PubMed</w:t>
        </w:r>
      </w:hyperlink>
    </w:p>
    <w:p>
      <w:pPr>
        <w:pStyle w:val="Reference"/>
        <w:widowControl/>
      </w:pPr>
      <w:r>
        <w:rPr>
          <w:b w:val="0"/>
          <w:i w:val="0"/>
        </w:rPr>
        <w:t xml:space="preserve">[R24] Anderson LJ, et al. Cardiovascular T2-star (T2*) magnetic resonance for the early diagnosis of myocardial iron overload. </w:t>
      </w:r>
      <w:r>
        <w:rPr>
          <w:b w:val="0"/>
          <w:i/>
        </w:rPr>
        <w:t>Eur Heart J</w:t>
      </w:r>
      <w:r>
        <w:rPr>
          <w:b w:val="0"/>
          <w:i w:val="0"/>
        </w:rPr>
        <w:t xml:space="preserve">. 2001;22:2171–2179. DOI: 10.1053/euhj.2001.2822. PMID: 11913479. PMCID: N/A. </w:t>
      </w:r>
      <w:hyperlink r:id="rId79">
        <w:r>
          <w:rPr>
            <w:color w:val="22A6B3"/>
            <w:u w:val="single"/>
          </w:rPr>
          <w:t>Notice PubMed</w:t>
        </w:r>
      </w:hyperlink>
    </w:p>
    <w:p>
      <w:pPr>
        <w:pStyle w:val="Reference"/>
        <w:widowControl/>
      </w:pPr>
      <w:r>
        <w:rPr>
          <w:b w:val="0"/>
          <w:i w:val="0"/>
        </w:rPr>
        <w:t xml:space="preserve">[R25] Chai P, Mohiaddin R. How we perform cardiovascular magnetic resonance flow assessment using phase-contrast velocity mapping. </w:t>
      </w:r>
      <w:r>
        <w:rPr>
          <w:b w:val="0"/>
          <w:i/>
        </w:rPr>
        <w:t>J Cardiovasc Magn Reson</w:t>
      </w:r>
      <w:r>
        <w:rPr>
          <w:b w:val="0"/>
          <w:i w:val="0"/>
        </w:rPr>
        <w:t xml:space="preserve">. 2005;7:705–716. DOI: 10.1081/JCMR-65639. PMID: 16136862. PMCID: N/A. </w:t>
      </w:r>
      <w:hyperlink r:id="rId80">
        <w:r>
          <w:rPr>
            <w:color w:val="22A6B3"/>
            <w:u w:val="single"/>
          </w:rPr>
          <w:t>Notice PubMed</w:t>
        </w:r>
      </w:hyperlink>
    </w:p>
    <w:p>
      <w:pPr>
        <w:pStyle w:val="Reference"/>
        <w:widowControl/>
      </w:pPr>
      <w:r>
        <w:rPr>
          <w:b w:val="0"/>
          <w:i w:val="0"/>
        </w:rPr>
        <w:t xml:space="preserve">[R26] Gatehouse PD, et al. Flow measurement by cardiovascular magnetic resonance: a multi-centre multi-vendor study of background phase offset errors that can compromise the accuracy of derived regurgitant or shunt flow measurements. </w:t>
      </w:r>
      <w:r>
        <w:rPr>
          <w:b w:val="0"/>
          <w:i/>
        </w:rPr>
        <w:t>J Cardiovasc Magn Reson</w:t>
      </w:r>
      <w:r>
        <w:rPr>
          <w:b w:val="0"/>
          <w:i w:val="0"/>
        </w:rPr>
        <w:t xml:space="preserve">. 2010;12:5. DOI: 10.1186/1532-429X-12-5. PMID: 20074359. PMCID: PMC2818657. </w:t>
      </w:r>
      <w:hyperlink r:id="rId81">
        <w:r>
          <w:rPr>
            <w:color w:val="22A6B3"/>
            <w:u w:val="single"/>
          </w:rPr>
          <w:t>Notice PubMed</w:t>
        </w:r>
      </w:hyperlink>
    </w:p>
    <w:p>
      <w:pPr>
        <w:pStyle w:val="Reference"/>
        <w:widowControl/>
      </w:pPr>
      <w:r>
        <w:rPr>
          <w:b w:val="0"/>
          <w:i w:val="0"/>
        </w:rPr>
        <w:t xml:space="preserve">[R27] Hansen MS, et al. Method for calculating confidence intervals for phase contrast flow measurements. </w:t>
      </w:r>
      <w:r>
        <w:rPr>
          <w:b w:val="0"/>
          <w:i/>
        </w:rPr>
        <w:t>J Cardiovasc Magn Reson</w:t>
      </w:r>
      <w:r>
        <w:rPr>
          <w:b w:val="0"/>
          <w:i w:val="0"/>
        </w:rPr>
        <w:t xml:space="preserve">. 2014;16:46. DOI: 10.1186/1532-429X-16-46. PMID: 24962371. PMCID: PMC4079643. </w:t>
      </w:r>
      <w:hyperlink r:id="rId82">
        <w:r>
          <w:rPr>
            <w:color w:val="22A6B3"/>
            <w:u w:val="single"/>
          </w:rPr>
          <w:t>Notice PubMed</w:t>
        </w:r>
      </w:hyperlink>
    </w:p>
    <w:p>
      <w:pPr>
        <w:pStyle w:val="Reference"/>
        <w:widowControl/>
      </w:pPr>
      <w:r>
        <w:rPr>
          <w:b w:val="0"/>
          <w:i w:val="0"/>
        </w:rPr>
        <w:t xml:space="preserve">[R28] Dyverfeldt P, et al. 4D flow cardiovascular magnetic resonance consensus statement. </w:t>
      </w:r>
      <w:r>
        <w:rPr>
          <w:b w:val="0"/>
          <w:i/>
        </w:rPr>
        <w:t>J Cardiovasc Magn Reson</w:t>
      </w:r>
      <w:r>
        <w:rPr>
          <w:b w:val="0"/>
          <w:i w:val="0"/>
        </w:rPr>
        <w:t xml:space="preserve">. 2015;17:72. DOI: 10.1186/s12968-015-0174-5. PMID: 26257141. PMCID: PMC4530492. </w:t>
      </w:r>
      <w:hyperlink r:id="rId83">
        <w:r>
          <w:rPr>
            <w:color w:val="22A6B3"/>
            <w:u w:val="single"/>
          </w:rPr>
          <w:t>Notice PubMed</w:t>
        </w:r>
      </w:hyperlink>
    </w:p>
    <w:p>
      <w:pPr>
        <w:pStyle w:val="Reference"/>
        <w:widowControl/>
      </w:pPr>
      <w:r>
        <w:rPr>
          <w:b w:val="0"/>
          <w:i w:val="0"/>
        </w:rPr>
        <w:t xml:space="preserve">[R29] Bissell MM, et al. 4D Flow cardiovascular magnetic resonance consensus statement: 2023 update. </w:t>
      </w:r>
      <w:r>
        <w:rPr>
          <w:b w:val="0"/>
          <w:i/>
        </w:rPr>
        <w:t>J Cardiovasc Magn Reson</w:t>
      </w:r>
      <w:r>
        <w:rPr>
          <w:b w:val="0"/>
          <w:i w:val="0"/>
        </w:rPr>
        <w:t xml:space="preserve">. 2023;25:40. DOI: 10.1186/s12968-023-00942-z. PMID: 37474977. PMCID: PMC10357639. </w:t>
      </w:r>
      <w:hyperlink r:id="rId84">
        <w:r>
          <w:rPr>
            <w:color w:val="22A6B3"/>
            <w:u w:val="single"/>
          </w:rPr>
          <w:t>Notice PubMed</w:t>
        </w:r>
      </w:hyperlink>
    </w:p>
    <w:p>
      <w:pPr>
        <w:pStyle w:val="Reference"/>
        <w:widowControl/>
      </w:pPr>
      <w:r>
        <w:rPr>
          <w:b w:val="0"/>
          <w:i w:val="0"/>
        </w:rPr>
        <w:t xml:space="preserve">[R30] Bissell MM, et al. Corrigendum to “4D Flow cardiovascular magnetic resonance consensus statement: 2023 update”. </w:t>
      </w:r>
      <w:r>
        <w:rPr>
          <w:b w:val="0"/>
          <w:i/>
        </w:rPr>
        <w:t>J Cardiovasc Magn Reson</w:t>
      </w:r>
      <w:r>
        <w:rPr>
          <w:b w:val="0"/>
          <w:i w:val="0"/>
        </w:rPr>
        <w:t xml:space="preserve">. 2026. DOI: 10.1016/j.jocmr.2025.101912. PMID: 42241965. PMCID: PMC13265417. </w:t>
      </w:r>
      <w:hyperlink r:id="rId85">
        <w:r>
          <w:rPr>
            <w:color w:val="22A6B3"/>
            <w:u w:val="single"/>
          </w:rPr>
          <w:t>Notice PubMed</w:t>
        </w:r>
      </w:hyperlink>
    </w:p>
    <w:p>
      <w:pPr>
        <w:pStyle w:val="Reference"/>
        <w:widowControl/>
      </w:pPr>
      <w:r>
        <w:rPr>
          <w:b w:val="0"/>
          <w:i w:val="0"/>
        </w:rPr>
        <w:t xml:space="preserve">[R31] Dall’Armellina E, et al. Cardiac diffusion-weighted and tensor imaging: a consensus statement from the special interest group of the Society for Cardiovascular Magnetic Resonance. </w:t>
      </w:r>
      <w:r>
        <w:rPr>
          <w:b w:val="0"/>
          <w:i/>
        </w:rPr>
        <w:t>J Cardiovasc Magn Reson</w:t>
      </w:r>
      <w:r>
        <w:rPr>
          <w:b w:val="0"/>
          <w:i w:val="0"/>
        </w:rPr>
        <w:t xml:space="preserve">. 2025;27:101109. DOI: 10.1016/j.jocmr.2024.101109. PMID: 39442672. PMCID: PMC11759557. </w:t>
      </w:r>
      <w:hyperlink r:id="rId86">
        <w:r>
          <w:rPr>
            <w:color w:val="22A6B3"/>
            <w:u w:val="single"/>
          </w:rPr>
          <w:t>Notice PubMed</w:t>
        </w:r>
      </w:hyperlink>
    </w:p>
    <w:p>
      <w:pPr>
        <w:pStyle w:val="Reference"/>
        <w:widowControl/>
      </w:pPr>
      <w:r>
        <w:rPr>
          <w:b w:val="0"/>
          <w:i w:val="0"/>
        </w:rPr>
        <w:t xml:space="preserve">[R32] Schuster A, Hor KN, Kowallick JT, Beerbaum P, Kutty S. Cardiovascular magnetic resonance myocardial feature tracking: concepts and clinical applications. </w:t>
      </w:r>
      <w:r>
        <w:rPr>
          <w:b w:val="0"/>
          <w:i/>
        </w:rPr>
        <w:t>Circ Cardiovasc Imaging</w:t>
      </w:r>
      <w:r>
        <w:rPr>
          <w:b w:val="0"/>
          <w:i w:val="0"/>
        </w:rPr>
        <w:t xml:space="preserve">. 2016;9:e004077. DOI: 10.1161/CIRCIMAGING.115.004077. PMID: 27009468. PMCID: N/A. </w:t>
      </w:r>
      <w:hyperlink r:id="rId87">
        <w:r>
          <w:rPr>
            <w:color w:val="22A6B3"/>
            <w:u w:val="single"/>
          </w:rPr>
          <w:t>Notice PubMed</w:t>
        </w:r>
      </w:hyperlink>
    </w:p>
    <w:p>
      <w:pPr>
        <w:pStyle w:val="Reference"/>
        <w:widowControl/>
      </w:pPr>
      <w:r>
        <w:rPr>
          <w:b w:val="0"/>
          <w:i w:val="0"/>
        </w:rPr>
        <w:t xml:space="preserve">[R33] Xu J, Yang W, Zhao S, Lu M. State-of-the-art myocardial strain by CMR feature tracking: clinical applications and future perspectives. </w:t>
      </w:r>
      <w:r>
        <w:rPr>
          <w:b w:val="0"/>
          <w:i/>
        </w:rPr>
        <w:t>Eur Radiol</w:t>
      </w:r>
      <w:r>
        <w:rPr>
          <w:b w:val="0"/>
          <w:i w:val="0"/>
        </w:rPr>
        <w:t xml:space="preserve">. 2022. DOI: 10.1007/s00330-022-08629-2. PMID: 35201410. PMCID: N/A. </w:t>
      </w:r>
      <w:hyperlink r:id="rId88">
        <w:r>
          <w:rPr>
            <w:color w:val="22A6B3"/>
            <w:u w:val="single"/>
          </w:rPr>
          <w:t>Notice PubMed</w:t>
        </w:r>
      </w:hyperlink>
    </w:p>
    <w:p>
      <w:pPr>
        <w:pStyle w:val="Reference"/>
        <w:widowControl/>
      </w:pPr>
      <w:r>
        <w:rPr>
          <w:b w:val="0"/>
          <w:i w:val="0"/>
        </w:rPr>
        <w:t xml:space="preserve">[R34] Cao JJ, et al. A comparison of both DENSE and feature tracking techniques with tagging for the cardiovascular magnetic resonance assessment of myocardial strain. </w:t>
      </w:r>
      <w:r>
        <w:rPr>
          <w:b w:val="0"/>
          <w:i/>
        </w:rPr>
        <w:t>J Cardiovasc Magn Reson</w:t>
      </w:r>
      <w:r>
        <w:rPr>
          <w:b w:val="0"/>
          <w:i w:val="0"/>
        </w:rPr>
        <w:t xml:space="preserve">. 2018;20:26. DOI: 10.1186/s12968-018-0448-9. PMID: 29669563. PMCID: PMC5907464. </w:t>
      </w:r>
      <w:hyperlink r:id="rId89">
        <w:r>
          <w:rPr>
            <w:color w:val="22A6B3"/>
            <w:u w:val="single"/>
          </w:rPr>
          <w:t>Notice PubMed</w:t>
        </w:r>
      </w:hyperlink>
    </w:p>
    <w:p>
      <w:pPr>
        <w:pStyle w:val="Reference"/>
        <w:widowControl/>
      </w:pPr>
      <w:r>
        <w:rPr>
          <w:b w:val="0"/>
          <w:i w:val="0"/>
        </w:rPr>
        <w:t xml:space="preserve">[R35] Bucius P, et al. Comparison of feature tracking, fast-SENC, and myocardial tagging for global and segmental left ventricular strain. </w:t>
      </w:r>
      <w:r>
        <w:rPr>
          <w:b w:val="0"/>
          <w:i/>
        </w:rPr>
        <w:t>ESC Heart Fail</w:t>
      </w:r>
      <w:r>
        <w:rPr>
          <w:b w:val="0"/>
          <w:i w:val="0"/>
        </w:rPr>
        <w:t xml:space="preserve">. 2020;7:523–532. DOI: 10.1002/ehf2.12576. PMID: 31800152. PMCID: PMC7160507. </w:t>
      </w:r>
      <w:hyperlink r:id="rId90">
        <w:r>
          <w:rPr>
            <w:color w:val="22A6B3"/>
            <w:u w:val="single"/>
          </w:rPr>
          <w:t>Notice PubMed</w:t>
        </w:r>
      </w:hyperlink>
    </w:p>
    <w:p>
      <w:pPr>
        <w:pStyle w:val="Reference"/>
        <w:widowControl/>
      </w:pPr>
      <w:r>
        <w:rPr>
          <w:b w:val="0"/>
          <w:i w:val="0"/>
        </w:rPr>
        <w:t xml:space="preserve">[R36] Barreiro-Pérez M, et al. Left ventricular global myocardial strain assessment comparing the reproducibility of four commercially available CMR-feature tracking algorithms. </w:t>
      </w:r>
      <w:r>
        <w:rPr>
          <w:b w:val="0"/>
          <w:i/>
        </w:rPr>
        <w:t>Eur Radiol</w:t>
      </w:r>
      <w:r>
        <w:rPr>
          <w:b w:val="0"/>
          <w:i w:val="0"/>
        </w:rPr>
        <w:t xml:space="preserve">. 2018;28:5137–5147. DOI: 10.1007/s00330-018-5538-4. PMID: 29872912. PMCID: N/A. </w:t>
      </w:r>
      <w:hyperlink r:id="rId91">
        <w:r>
          <w:rPr>
            <w:color w:val="22A6B3"/>
            <w:u w:val="single"/>
          </w:rPr>
          <w:t>Notice PubMed</w:t>
        </w:r>
      </w:hyperlink>
    </w:p>
    <w:p>
      <w:pPr>
        <w:pStyle w:val="Reference"/>
        <w:widowControl/>
      </w:pPr>
      <w:r>
        <w:rPr>
          <w:b w:val="0"/>
          <w:i w:val="0"/>
        </w:rPr>
        <w:t xml:space="preserve">[R37] Adams DM, et al. Effects of spatial and temporal resolution on cardiovascular magnetic resonance feature tracking measurements using a simple realistic numerical phantom. </w:t>
      </w:r>
      <w:r>
        <w:rPr>
          <w:b w:val="0"/>
          <w:i/>
        </w:rPr>
        <w:t>Br J Radiol</w:t>
      </w:r>
      <w:r>
        <w:rPr>
          <w:b w:val="0"/>
          <w:i w:val="0"/>
        </w:rPr>
        <w:t xml:space="preserve">. 2023;96:20220233. DOI: 10.1259/bjr.20220233. PMID: 36533563. PMCID: PMC9975363. </w:t>
      </w:r>
      <w:hyperlink r:id="rId92">
        <w:r>
          <w:rPr>
            <w:color w:val="22A6B3"/>
            <w:u w:val="single"/>
          </w:rPr>
          <w:t>Notice PubMed</w:t>
        </w:r>
      </w:hyperlink>
    </w:p>
    <w:p>
      <w:pPr>
        <w:pStyle w:val="Reference"/>
        <w:widowControl/>
      </w:pPr>
      <w:r>
        <w:rPr>
          <w:b w:val="0"/>
          <w:i w:val="0"/>
        </w:rPr>
        <w:t xml:space="preserve">[R38] Henningsson M, Botnar RM. Advanced respiratory motion compensation for coronary MR angiography. </w:t>
      </w:r>
      <w:r>
        <w:rPr>
          <w:b w:val="0"/>
          <w:i/>
        </w:rPr>
        <w:t>Sensors</w:t>
      </w:r>
      <w:r>
        <w:rPr>
          <w:b w:val="0"/>
          <w:i w:val="0"/>
        </w:rPr>
        <w:t xml:space="preserve">. 2013;13:6882–6899. DOI: 10.3390/s130606882. PMID: 23708271. PMCID: PMC3715228. </w:t>
      </w:r>
      <w:hyperlink r:id="rId93">
        <w:r>
          <w:rPr>
            <w:color w:val="22A6B3"/>
            <w:u w:val="single"/>
          </w:rPr>
          <w:t>Notice PubMed</w:t>
        </w:r>
      </w:hyperlink>
    </w:p>
    <w:p>
      <w:pPr>
        <w:pStyle w:val="Reference"/>
        <w:widowControl/>
      </w:pPr>
      <w:r>
        <w:rPr>
          <w:b w:val="0"/>
          <w:i w:val="0"/>
        </w:rPr>
        <w:t xml:space="preserve">[R39] Tang YW, Huang TY, Wu WC. Fast and fully automatic calibration of frequency offset for balanced steady-state free precession cardiovascular magnetic resonance at 3.0 Tesla. </w:t>
      </w:r>
      <w:r>
        <w:rPr>
          <w:b w:val="0"/>
          <w:i/>
        </w:rPr>
        <w:t>J Cardiovasc Magn Reson</w:t>
      </w:r>
      <w:r>
        <w:rPr>
          <w:b w:val="0"/>
          <w:i w:val="0"/>
        </w:rPr>
        <w:t xml:space="preserve">. 2013;15:32. DOI: 10.1186/1532-429X-15-32. PMID: 23578191. PMCID: PMC3651374. </w:t>
      </w:r>
      <w:hyperlink r:id="rId94">
        <w:r>
          <w:rPr>
            <w:color w:val="22A6B3"/>
            <w:u w:val="single"/>
          </w:rPr>
          <w:t>Notice PubMed</w:t>
        </w:r>
      </w:hyperlink>
    </w:p>
    <w:p>
      <w:pPr>
        <w:pStyle w:val="Reference"/>
        <w:widowControl/>
      </w:pPr>
      <w:r>
        <w:rPr>
          <w:b w:val="0"/>
          <w:i w:val="0"/>
        </w:rPr>
        <w:t xml:space="preserve">[R40] Wu CY, Jin J, Barth M, Cloos MA. Mitigating banding artifacts in balanced steady-state free precession using parallel transmission in a single acquisition. </w:t>
      </w:r>
      <w:r>
        <w:rPr>
          <w:b w:val="0"/>
          <w:i/>
        </w:rPr>
        <w:t>Magn Reson Med</w:t>
      </w:r>
      <w:r>
        <w:rPr>
          <w:b w:val="0"/>
          <w:i w:val="0"/>
        </w:rPr>
        <w:t xml:space="preserve">. 2026;95:1017–1029. DOI: 10.1002/mrm.70106. PMID: 41077664. PMCID: PMC12681311. </w:t>
      </w:r>
      <w:hyperlink r:id="rId95">
        <w:r>
          <w:rPr>
            <w:color w:val="22A6B3"/>
            <w:u w:val="single"/>
          </w:rPr>
          <w:t>Notice PubMed</w:t>
        </w:r>
      </w:hyperlink>
    </w:p>
    <w:p>
      <w:pPr>
        <w:pStyle w:val="Reference"/>
        <w:widowControl/>
      </w:pPr>
      <w:r>
        <w:rPr>
          <w:b w:val="0"/>
          <w:i w:val="0"/>
        </w:rPr>
        <w:t xml:space="preserve">[R41] FDA–NIH Biomarker Working Group. BEST (Biomarkers, EndpointS, and other Tools) Resource. Silver Spring and Bethesda; updated 2025. DOI: N/A. PMID: N/A. PMCID: N/A. NCBI Bookshelf: NBK338448. </w:t>
      </w:r>
      <w:hyperlink r:id="rId96">
        <w:r>
          <w:rPr>
            <w:color w:val="22A6B3"/>
            <w:u w:val="single"/>
          </w:rPr>
          <w:t>Notice NCBI Bookshelf</w:t>
        </w:r>
      </w:hyperlink>
    </w:p>
    <w:p>
      <w:pPr>
        <w:pStyle w:val="Reference"/>
        <w:widowControl/>
      </w:pPr>
      <w:r>
        <w:rPr>
          <w:b w:val="0"/>
          <w:i w:val="0"/>
        </w:rPr>
        <w:t xml:space="preserve">[R42] Joint Committee for Guides in Metrology. International vocabulary of metrology — Basic and general concepts and associated terms (VIM), 3rd edition with corrections. JCGM 200:2012. DOI: 10.59161/JCGM200-2012. PMID: N/A. PMCID: N/A. </w:t>
      </w:r>
      <w:hyperlink r:id="rId97">
        <w:r>
          <w:rPr>
            <w:color w:val="22A6B3"/>
            <w:u w:val="single"/>
          </w:rPr>
          <w:t>Notice DOI</w:t>
        </w:r>
      </w:hyperlink>
    </w:p>
    <w:p>
      <w:pPr>
        <w:pStyle w:val="Reference"/>
        <w:widowControl/>
      </w:pPr>
      <w:r>
        <w:rPr>
          <w:b w:val="0"/>
          <w:i w:val="0"/>
        </w:rPr>
        <w:t xml:space="preserve">[R43] Moon JC, et al. Myocardial T1 mapping and extracellular volume quantification: SCMR and ESC Working Group consensus statement. </w:t>
      </w:r>
      <w:r>
        <w:rPr>
          <w:b w:val="0"/>
          <w:i/>
        </w:rPr>
        <w:t>J Cardiovasc Magn Reson</w:t>
      </w:r>
      <w:r>
        <w:rPr>
          <w:b w:val="0"/>
          <w:i w:val="0"/>
        </w:rPr>
        <w:t xml:space="preserve">. 2013;15:92. DOI: 10.1186/1532-429X-15-92. PMID: 24124732. PMCID: PMC3854458. </w:t>
      </w:r>
      <w:hyperlink r:id="rId98">
        <w:r>
          <w:rPr>
            <w:color w:val="22A6B3"/>
            <w:u w:val="single"/>
          </w:rPr>
          <w:t>Notice PubMed</w:t>
        </w:r>
      </w:hyperlink>
    </w:p>
    <w:sectPr w:rsidR="00FC693F" w:rsidRPr="0006063C" w:rsidSect="00034616">
      <w:headerReference w:type="default" r:id="rId54"/>
      <w:footerReference w:type="default" r:id="rId55"/>
      <w:headerReference w:type="first" r:id="rId99"/>
      <w:footerReference w:type="first" r:id="rId100"/>
      <w:pgSz w:w="12240" w:h="15840"/>
      <w:pgMar w:top="1181" w:right="1440" w:bottom="1037" w:left="1440" w:header="461"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7500"/>
      <w:gridCol w:w="1860"/>
    </w:tblGrid>
    <w:tr>
      <w:tc>
        <w:tcPr>
          <w:tcW w:type="dxa" w:w="7500"/>
          <w:tcMar>
            <w:top w:w="0" w:type="dxa"/>
            <w:start w:w="0" w:type="dxa"/>
            <w:bottom w:w="0" w:type="dxa"/>
            <w:end w:w="0" w:type="dxa"/>
          </w:tcMar>
        </w:tcPr>
        <w:p>
          <w:r>
            <w:rPr>
              <w:color w:val="667085"/>
              <w:sz w:val="15"/>
            </w:rPr>
            <w:t>RB-004  •  REASONING BOOK 04  •  CARDIAC MRI</w:t>
          </w:r>
        </w:p>
      </w:tc>
      <w:tc>
        <w:tcPr>
          <w:tcW w:type="dxa" w:w="1860"/>
          <w:tcMar>
            <w:top w:w="0" w:type="dxa"/>
            <w:start w:w="0" w:type="dxa"/>
            <w:bottom w:w="0" w:type="dxa"/>
            <w:end w:w="0" w:type="dxa"/>
          </w:tcMar>
        </w:tcPr>
        <w:p>
          <w:pPr>
            <w:jc w:val="right"/>
          </w:pPr>
          <w:r>
            <w:rPr>
              <w:color w:val="667085"/>
              <w:sz w:val="15"/>
            </w:rPr>
            <w:t xml:space="preserve">PAGE </w:t>
          </w:r>
          <w:r>
            <w:rPr>
              <w:color w:val="667085"/>
              <w:sz w:val="15"/>
            </w:rPr>
            <w:fldChar w:fldCharType="begin"/>
            <w:instrText xml:space="preserve"> PAGE </w:instrText>
            <w:fldChar w:fldCharType="separate"/>
            <w:t>1</w:t>
            <w:fldChar w:fldCharType="end"/>
          </w:r>
        </w:p>
      </w:tc>
      <w:trPr>
        <w:tblHeader/>
      </w:trPr>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9" w:space="5" w:color="22A6B3"/>
      </w:pBdr>
    </w:pPr>
    <w:r>
      <w:rPr>
        <w:b/>
        <w:color w:val="12344D"/>
        <w:sz w:val="16"/>
      </w:rPr>
      <w:t>NOXIA  /  PROTOCOL DESIGNER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auto" w:line="269" w:after="102"/>
      <w:jc w:val="both"/>
    </w:pPr>
    <w:rPr>
      <w:rFonts w:ascii="Calibri" w:hAnsi="Calibri" w:eastAsia="Calibri"/>
      <w:color w:val="2432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jc w:val="left"/>
      <w:outlineLvl w:val="0"/>
    </w:pPr>
    <w:rPr>
      <w:rFonts w:asciiTheme="majorHAnsi" w:eastAsiaTheme="majorEastAsia" w:hAnsiTheme="majorHAnsi" w:cstheme="majorBidi" w:ascii="Calibri" w:hAnsi="Calibri"/>
      <w:b/>
      <w:bCs/>
      <w:color w:val="12344D"/>
      <w:sz w:val="35"/>
      <w:szCs w:val="28"/>
    </w:rPr>
  </w:style>
  <w:style w:type="paragraph" w:styleId="Heading2">
    <w:name w:val="heading 2"/>
    <w:basedOn w:val="Normal"/>
    <w:next w:val="Normal"/>
    <w:link w:val="Heading2Char"/>
    <w:uiPriority w:val="9"/>
    <w:unhideWhenUsed/>
    <w:qFormat/>
    <w:rsid w:val="00FC693F"/>
    <w:pPr>
      <w:keepNext/>
      <w:keepLines/>
      <w:spacing w:before="240" w:after="100"/>
      <w:jc w:val="left"/>
      <w:outlineLvl w:val="1"/>
    </w:pPr>
    <w:rPr>
      <w:rFonts w:asciiTheme="majorHAnsi" w:eastAsiaTheme="majorEastAsia" w:hAnsiTheme="majorHAnsi" w:cstheme="majorBidi" w:ascii="Calibri" w:hAnsi="Calibri"/>
      <w:b/>
      <w:bCs/>
      <w:color w:val="22A6B3"/>
      <w:sz w:val="27"/>
      <w:szCs w:val="26"/>
    </w:rPr>
  </w:style>
  <w:style w:type="paragraph" w:styleId="Heading3">
    <w:name w:val="heading 3"/>
    <w:basedOn w:val="Normal"/>
    <w:next w:val="Normal"/>
    <w:link w:val="Heading3Char"/>
    <w:uiPriority w:val="9"/>
    <w:unhideWhenUsed/>
    <w:qFormat/>
    <w:rsid w:val="00FC693F"/>
    <w:pPr>
      <w:keepNext/>
      <w:keepLines/>
      <w:spacing w:before="150" w:after="60"/>
      <w:jc w:val="left"/>
      <w:outlineLvl w:val="2"/>
    </w:pPr>
    <w:rPr>
      <w:rFonts w:asciiTheme="majorHAnsi" w:eastAsiaTheme="majorEastAsia" w:hAnsiTheme="majorHAnsi" w:cstheme="majorBidi" w:ascii="Calibri" w:hAnsi="Calibri"/>
      <w:b/>
      <w:bCs/>
      <w:color w:val="1234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234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4" w:line="259" w:lineRule="auto"/>
      <w:ind w:left="360" w:hanging="230"/>
      <w:contextualSpacing/>
    </w:pPr>
    <w:rPr>
      <w:rFonts w:ascii="Calibri" w:hAnsi="Calibri"/>
      <w:color w:val="24323D"/>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4" w:line="259" w:lineRule="auto"/>
      <w:ind w:left="360" w:hanging="230"/>
      <w:contextualSpacing/>
    </w:pPr>
    <w:rPr>
      <w:rFonts w:ascii="Calibri" w:hAnsi="Calibri"/>
      <w:color w:val="24323D"/>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keepLines/>
      <w:widowControl/>
      <w:spacing w:line="240" w:lineRule="auto" w:after="80"/>
      <w:jc w:val="left"/>
    </w:pPr>
    <w:rPr>
      <w:rFonts w:ascii="Calibri" w:hAnsi="Calibri"/>
      <w:color w:val="24323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40878297/" TargetMode="External"/><Relationship Id="rId10" Type="http://schemas.openxmlformats.org/officeDocument/2006/relationships/hyperlink" Target="https://pubmed.ncbi.nlm.nih.gov/39665703/" TargetMode="External"/><Relationship Id="rId11" Type="http://schemas.openxmlformats.org/officeDocument/2006/relationships/hyperlink" Target="https://pubmed.ncbi.nlm.nih.gov/30545455/" TargetMode="External"/><Relationship Id="rId12" Type="http://schemas.openxmlformats.org/officeDocument/2006/relationships/hyperlink" Target="https://pubmed.ncbi.nlm.nih.gov/19389557/" TargetMode="External"/><Relationship Id="rId13" Type="http://schemas.openxmlformats.org/officeDocument/2006/relationships/hyperlink" Target="https://pubmed.ncbi.nlm.nih.gov/23824828/" TargetMode="External"/><Relationship Id="rId14" Type="http://schemas.openxmlformats.org/officeDocument/2006/relationships/hyperlink" Target="https://pubmed.ncbi.nlm.nih.gov/31902242/" TargetMode="External"/><Relationship Id="rId15" Type="http://schemas.openxmlformats.org/officeDocument/2006/relationships/hyperlink" Target="https://pubmed.ncbi.nlm.nih.gov/34010472/" TargetMode="External"/><Relationship Id="rId16" Type="http://schemas.openxmlformats.org/officeDocument/2006/relationships/hyperlink" Target="https://pubmed.ncbi.nlm.nih.gov/35301785/" TargetMode="External"/><Relationship Id="rId17" Type="http://schemas.openxmlformats.org/officeDocument/2006/relationships/hyperlink" Target="https://pubmed.ncbi.nlm.nih.gov/17959655/" TargetMode="External"/><Relationship Id="rId18" Type="http://schemas.openxmlformats.org/officeDocument/2006/relationships/hyperlink" Target="https://pubmed.ncbi.nlm.nih.gov/38594778/" TargetMode="External"/><Relationship Id="rId19" Type="http://schemas.openxmlformats.org/officeDocument/2006/relationships/hyperlink" Target="https://pubmed.ncbi.nlm.nih.gov/34229446/" TargetMode="External"/><Relationship Id="rId20" Type="http://schemas.openxmlformats.org/officeDocument/2006/relationships/hyperlink" Target="https://pubmed.ncbi.nlm.nih.gov/34370549/" TargetMode="External"/><Relationship Id="rId21" Type="http://schemas.openxmlformats.org/officeDocument/2006/relationships/hyperlink" Target="https://pubmed.ncbi.nlm.nih.gov/36017575/" TargetMode="External"/><Relationship Id="rId22" Type="http://schemas.openxmlformats.org/officeDocument/2006/relationships/hyperlink" Target="https://pubmed.ncbi.nlm.nih.gov/29567210/" TargetMode="External"/><Relationship Id="rId23" Type="http://schemas.openxmlformats.org/officeDocument/2006/relationships/hyperlink" Target="https://pubmed.ncbi.nlm.nih.gov/36154167/" TargetMode="External"/><Relationship Id="rId24" Type="http://schemas.openxmlformats.org/officeDocument/2006/relationships/hyperlink" Target="https://pubmed.ncbi.nlm.nih.gov/32356610/" TargetMode="External"/><Relationship Id="rId25" Type="http://schemas.openxmlformats.org/officeDocument/2006/relationships/hyperlink" Target="https://pubmed.ncbi.nlm.nih.gov/34712710/" TargetMode="External"/><Relationship Id="rId26" Type="http://schemas.openxmlformats.org/officeDocument/2006/relationships/hyperlink" Target="https://pubmed.ncbi.nlm.nih.gov/33778510/" TargetMode="External"/><Relationship Id="rId27" Type="http://schemas.openxmlformats.org/officeDocument/2006/relationships/hyperlink" Target="https://pubmed.ncbi.nlm.nih.gov/30084736/" TargetMode="External"/><Relationship Id="rId28" Type="http://schemas.openxmlformats.org/officeDocument/2006/relationships/hyperlink" Target="https://pubmed.ncbi.nlm.nih.gov/27878700/" TargetMode="External"/><Relationship Id="rId29" Type="http://schemas.openxmlformats.org/officeDocument/2006/relationships/hyperlink" Target="https://pubmed.ncbi.nlm.nih.gov/31132211/" TargetMode="External"/><Relationship Id="rId30" Type="http://schemas.openxmlformats.org/officeDocument/2006/relationships/hyperlink" Target="https://pubmed.ncbi.nlm.nih.gov/32154772/" TargetMode="External"/><Relationship Id="rId31" Type="http://schemas.openxmlformats.org/officeDocument/2006/relationships/hyperlink" Target="https://pubmed.ncbi.nlm.nih.gov/29454761/" TargetMode="External"/><Relationship Id="rId32" Type="http://schemas.openxmlformats.org/officeDocument/2006/relationships/hyperlink" Target="https://pubmed.ncbi.nlm.nih.gov/29025553/" TargetMode="External"/><Relationship Id="rId33" Type="http://schemas.openxmlformats.org/officeDocument/2006/relationships/hyperlink" Target="https://pubmed.ncbi.nlm.nih.gov/29764898/" TargetMode="External"/><Relationship Id="rId34" Type="http://schemas.openxmlformats.org/officeDocument/2006/relationships/hyperlink" Target="https://pubmed.ncbi.nlm.nih.gov/31727281/" TargetMode="External"/><Relationship Id="rId35" Type="http://schemas.openxmlformats.org/officeDocument/2006/relationships/hyperlink" Target="https://pubmed.ncbi.nlm.nih.gov/32040731/" TargetMode="External"/><Relationship Id="rId36" Type="http://schemas.openxmlformats.org/officeDocument/2006/relationships/hyperlink" Target="https://pubmed.ncbi.nlm.nih.gov/32787653/" TargetMode="External"/><Relationship Id="rId37" Type="http://schemas.openxmlformats.org/officeDocument/2006/relationships/hyperlink" Target="https://pubmed.ncbi.nlm.nih.gov/27913009/" TargetMode="External"/><Relationship Id="rId38" Type="http://schemas.openxmlformats.org/officeDocument/2006/relationships/hyperlink" Target="https://pubmed.ncbi.nlm.nih.gov/27638745/" TargetMode="External"/><Relationship Id="rId39" Type="http://schemas.openxmlformats.org/officeDocument/2006/relationships/hyperlink" Target="https://pubmed.ncbi.nlm.nih.gov/34175961/" TargetMode="External"/><Relationship Id="rId40" Type="http://schemas.openxmlformats.org/officeDocument/2006/relationships/hyperlink" Target="https://pubmed.ncbi.nlm.nih.gov/26015267/" TargetMode="External"/><Relationship Id="rId41" Type="http://schemas.openxmlformats.org/officeDocument/2006/relationships/hyperlink" Target="https://pubmed.ncbi.nlm.nih.gov/34435226/" TargetMode="External"/><Relationship Id="rId42" Type="http://schemas.openxmlformats.org/officeDocument/2006/relationships/hyperlink" Target="https://pubmed.ncbi.nlm.nih.gov/35230520/" TargetMode="External"/><Relationship Id="rId43" Type="http://schemas.openxmlformats.org/officeDocument/2006/relationships/hyperlink" Target="https://pubmed.ncbi.nlm.nih.gov/33046850/" TargetMode="External"/><Relationship Id="rId44" Type="http://schemas.openxmlformats.org/officeDocument/2006/relationships/hyperlink" Target="https://pubmed.ncbi.nlm.nih.gov/37963727/" TargetMode="External"/><Relationship Id="rId45" Type="http://schemas.openxmlformats.org/officeDocument/2006/relationships/hyperlink" Target="https://pubmed.ncbi.nlm.nih.gov/25882774/" TargetMode="External"/><Relationship Id="rId46" Type="http://schemas.openxmlformats.org/officeDocument/2006/relationships/hyperlink" Target="https://pubmed.ncbi.nlm.nih.gov/23096264/" TargetMode="External"/><Relationship Id="rId47" Type="http://schemas.openxmlformats.org/officeDocument/2006/relationships/hyperlink" Target="https://pubmed.ncbi.nlm.nih.gov/38634276/" TargetMode="External"/><Relationship Id="rId48" Type="http://schemas.openxmlformats.org/officeDocument/2006/relationships/hyperlink" Target="https://pubmed.ncbi.nlm.nih.gov/24819193/" TargetMode="External"/><Relationship Id="rId49" Type="http://schemas.openxmlformats.org/officeDocument/2006/relationships/hyperlink" Target="https://pubmed.ncbi.nlm.nih.gov/30561613/" TargetMode="External"/><Relationship Id="rId50" Type="http://schemas.openxmlformats.org/officeDocument/2006/relationships/hyperlink" Target="https://pubmed.ncbi.nlm.nih.gov/3677297/" TargetMode="External"/><Relationship Id="rId51" Type="http://schemas.openxmlformats.org/officeDocument/2006/relationships/hyperlink" Target="https://pubmed.ncbi.nlm.nih.gov/31390169/" TargetMode="External"/><Relationship Id="rId52" Type="http://schemas.openxmlformats.org/officeDocument/2006/relationships/hyperlink" Target="https://pubmed.ncbi.nlm.nih.gov/33176455/" TargetMode="External"/><Relationship Id="rId53" Type="http://schemas.openxmlformats.org/officeDocument/2006/relationships/hyperlink" Target="https://pubmed.ncbi.nlm.nih.gov/36078976/" TargetMode="External"/><Relationship Id="rId54" Type="http://schemas.openxmlformats.org/officeDocument/2006/relationships/header" Target="header1.xml"/><Relationship Id="rId55" Type="http://schemas.openxmlformats.org/officeDocument/2006/relationships/footer" Target="footer1.xml"/><Relationship Id="rId56" Type="http://schemas.openxmlformats.org/officeDocument/2006/relationships/hyperlink" Target="https://pubmed.ncbi.nlm.nih.gov/32089132/" TargetMode="External"/><Relationship Id="rId57" Type="http://schemas.openxmlformats.org/officeDocument/2006/relationships/hyperlink" Target="https://pubmed.ncbi.nlm.nih.gov/32160925/" TargetMode="External"/><Relationship Id="rId58" Type="http://schemas.openxmlformats.org/officeDocument/2006/relationships/hyperlink" Target="https://pubmed.ncbi.nlm.nih.gov/21118531/" TargetMode="External"/><Relationship Id="rId59" Type="http://schemas.openxmlformats.org/officeDocument/2006/relationships/hyperlink" Target="https://pubmed.ncbi.nlm.nih.gov/22995744/" TargetMode="External"/><Relationship Id="rId60" Type="http://schemas.openxmlformats.org/officeDocument/2006/relationships/hyperlink" Target="https://pubmed.ncbi.nlm.nih.gov/29897651/" TargetMode="External"/><Relationship Id="rId61" Type="http://schemas.openxmlformats.org/officeDocument/2006/relationships/hyperlink" Target="https://pubmed.ncbi.nlm.nih.gov/23697969/" TargetMode="External"/><Relationship Id="rId62" Type="http://schemas.openxmlformats.org/officeDocument/2006/relationships/hyperlink" Target="https://pubmed.ncbi.nlm.nih.gov/28992817/" TargetMode="External"/><Relationship Id="rId63" Type="http://schemas.openxmlformats.org/officeDocument/2006/relationships/hyperlink" Target="https://pubmed.ncbi.nlm.nih.gov/28608328/" TargetMode="External"/><Relationship Id="rId64" Type="http://schemas.openxmlformats.org/officeDocument/2006/relationships/hyperlink" Target="https://pubmed.ncbi.nlm.nih.gov/27659737/" TargetMode="External"/><Relationship Id="rId65" Type="http://schemas.openxmlformats.org/officeDocument/2006/relationships/hyperlink" Target="https://pubmed.ncbi.nlm.nih.gov/36935515/" TargetMode="External"/><Relationship Id="rId66" Type="http://schemas.openxmlformats.org/officeDocument/2006/relationships/hyperlink" Target="https://pubmed.ncbi.nlm.nih.gov/37574535/" TargetMode="External"/><Relationship Id="rId67" Type="http://schemas.openxmlformats.org/officeDocument/2006/relationships/hyperlink" Target="https://pubmed.ncbi.nlm.nih.gov/25384607/" TargetMode="External"/><Relationship Id="rId68" Type="http://schemas.openxmlformats.org/officeDocument/2006/relationships/hyperlink" Target="https://pubmed.ncbi.nlm.nih.gov/33308262/" TargetMode="External"/><Relationship Id="rId69" Type="http://schemas.openxmlformats.org/officeDocument/2006/relationships/hyperlink" Target="https://pubmed.ncbi.nlm.nih.gov/32460308/" TargetMode="External"/><Relationship Id="rId70" Type="http://schemas.openxmlformats.org/officeDocument/2006/relationships/hyperlink" Target="https://pubmed.ncbi.nlm.nih.gov/36126129/" TargetMode="External"/><Relationship Id="rId71" Type="http://schemas.openxmlformats.org/officeDocument/2006/relationships/hyperlink" Target="https://pubmed.ncbi.nlm.nih.gov/30231886/" TargetMode="External"/><Relationship Id="rId72" Type="http://schemas.openxmlformats.org/officeDocument/2006/relationships/hyperlink" Target="https://pubmed.ncbi.nlm.nih.gov/18425830/" TargetMode="External"/><Relationship Id="rId73" Type="http://schemas.openxmlformats.org/officeDocument/2006/relationships/hyperlink" Target="https://pubmed.ncbi.nlm.nih.gov/11599059/" TargetMode="External"/><Relationship Id="rId74" Type="http://schemas.openxmlformats.org/officeDocument/2006/relationships/hyperlink" Target="https://pubmed.ncbi.nlm.nih.gov/40220902/" TargetMode="External"/><Relationship Id="rId75" Type="http://schemas.openxmlformats.org/officeDocument/2006/relationships/hyperlink" Target="https://pubmed.ncbi.nlm.nih.gov/33078512/" TargetMode="External"/><Relationship Id="rId76" Type="http://schemas.openxmlformats.org/officeDocument/2006/relationships/hyperlink" Target="https://pubmed.ncbi.nlm.nih.gov/36922844/" TargetMode="External"/><Relationship Id="rId77" Type="http://schemas.openxmlformats.org/officeDocument/2006/relationships/hyperlink" Target="https://pubmed.ncbi.nlm.nih.gov/40784605/" TargetMode="External"/><Relationship Id="rId78" Type="http://schemas.openxmlformats.org/officeDocument/2006/relationships/hyperlink" Target="https://pubmed.ncbi.nlm.nih.gov/11078769/" TargetMode="External"/><Relationship Id="rId79" Type="http://schemas.openxmlformats.org/officeDocument/2006/relationships/hyperlink" Target="https://pubmed.ncbi.nlm.nih.gov/11913479/" TargetMode="External"/><Relationship Id="rId80" Type="http://schemas.openxmlformats.org/officeDocument/2006/relationships/hyperlink" Target="https://pubmed.ncbi.nlm.nih.gov/16136862/" TargetMode="External"/><Relationship Id="rId81" Type="http://schemas.openxmlformats.org/officeDocument/2006/relationships/hyperlink" Target="https://pubmed.ncbi.nlm.nih.gov/20074359/" TargetMode="External"/><Relationship Id="rId82" Type="http://schemas.openxmlformats.org/officeDocument/2006/relationships/hyperlink" Target="https://pubmed.ncbi.nlm.nih.gov/24962371/" TargetMode="External"/><Relationship Id="rId83" Type="http://schemas.openxmlformats.org/officeDocument/2006/relationships/hyperlink" Target="https://pubmed.ncbi.nlm.nih.gov/26257141/" TargetMode="External"/><Relationship Id="rId84" Type="http://schemas.openxmlformats.org/officeDocument/2006/relationships/hyperlink" Target="https://pubmed.ncbi.nlm.nih.gov/37474977/" TargetMode="External"/><Relationship Id="rId85" Type="http://schemas.openxmlformats.org/officeDocument/2006/relationships/hyperlink" Target="https://pubmed.ncbi.nlm.nih.gov/42241965/" TargetMode="External"/><Relationship Id="rId86" Type="http://schemas.openxmlformats.org/officeDocument/2006/relationships/hyperlink" Target="https://pubmed.ncbi.nlm.nih.gov/39442672/" TargetMode="External"/><Relationship Id="rId87" Type="http://schemas.openxmlformats.org/officeDocument/2006/relationships/hyperlink" Target="https://pubmed.ncbi.nlm.nih.gov/27009468/" TargetMode="External"/><Relationship Id="rId88" Type="http://schemas.openxmlformats.org/officeDocument/2006/relationships/hyperlink" Target="https://pubmed.ncbi.nlm.nih.gov/35201410/" TargetMode="External"/><Relationship Id="rId89" Type="http://schemas.openxmlformats.org/officeDocument/2006/relationships/hyperlink" Target="https://pubmed.ncbi.nlm.nih.gov/29669563/" TargetMode="External"/><Relationship Id="rId90" Type="http://schemas.openxmlformats.org/officeDocument/2006/relationships/hyperlink" Target="https://pubmed.ncbi.nlm.nih.gov/31800152/" TargetMode="External"/><Relationship Id="rId91" Type="http://schemas.openxmlformats.org/officeDocument/2006/relationships/hyperlink" Target="https://pubmed.ncbi.nlm.nih.gov/29872912/" TargetMode="External"/><Relationship Id="rId92" Type="http://schemas.openxmlformats.org/officeDocument/2006/relationships/hyperlink" Target="https://pubmed.ncbi.nlm.nih.gov/36533563/" TargetMode="External"/><Relationship Id="rId93" Type="http://schemas.openxmlformats.org/officeDocument/2006/relationships/hyperlink" Target="https://pubmed.ncbi.nlm.nih.gov/23708271/" TargetMode="External"/><Relationship Id="rId94" Type="http://schemas.openxmlformats.org/officeDocument/2006/relationships/hyperlink" Target="https://pubmed.ncbi.nlm.nih.gov/23578191/" TargetMode="External"/><Relationship Id="rId95" Type="http://schemas.openxmlformats.org/officeDocument/2006/relationships/hyperlink" Target="https://pubmed.ncbi.nlm.nih.gov/41077664/" TargetMode="External"/><Relationship Id="rId96" Type="http://schemas.openxmlformats.org/officeDocument/2006/relationships/hyperlink" Target="https://www.ncbi.nlm.nih.gov/books/NBK338448/" TargetMode="External"/><Relationship Id="rId97" Type="http://schemas.openxmlformats.org/officeDocument/2006/relationships/hyperlink" Target="https://doi.org/10.59161/JCGM200-2012" TargetMode="External"/><Relationship Id="rId98" Type="http://schemas.openxmlformats.org/officeDocument/2006/relationships/hyperlink" Target="https://pubmed.ncbi.nlm.nih.gov/24124732/" TargetMode="External"/><Relationship Id="rId99" Type="http://schemas.openxmlformats.org/officeDocument/2006/relationships/header" Target="header2.xml"/><Relationship Id="rId10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Reasoning Book 04 — Cardiac MRI &amp; Quantitative Cardiac Imaging</dc:title>
  <dc:subject>NXP-000002 — corpus scientifique de niveau 2</dc:subject>
  <dc:creator>NOXIA Protocol Designer</dc:creator>
  <cp:keywords>cardiac MRI; CMR; quantitative imaging; mapping; perfusion; LGE; strain; 4D Flow; diffusion; metrology</cp:keywords>
  <dc:description>Document maître — aucun protocole clinique, paramètre constructeur ou recommandation thérapeutique.</dc:description>
  <cp:lastModifiedBy/>
  <cp:revision>1</cp:revision>
  <dcterms:created xsi:type="dcterms:W3CDTF">2013-12-23T23:15:00Z</dcterms:created>
  <dcterms:modified xsi:type="dcterms:W3CDTF">2013-12-23T23:15:00Z</dcterms:modified>
  <cp:category/>
</cp:coreProperties>
</file>