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760"/>
      </w:pPr>
      <w:r>
        <w:rPr>
          <w:rFonts w:ascii="Aptos" w:hAnsi="Aptos" w:eastAsia="Aptos"/>
          <w:b/>
          <w:color w:val="22A6B3"/>
          <w:sz w:val="20"/>
        </w:rPr>
        <w:t>NOXIA PROTOCOL DESIGNER</w:t>
      </w:r>
    </w:p>
    <w:p>
      <w:pPr>
        <w:spacing w:after="160"/>
      </w:pPr>
      <w:r>
        <w:rPr>
          <w:rFonts w:ascii="Aptos" w:hAnsi="Aptos" w:eastAsia="Aptos"/>
          <w:b/>
          <w:color w:val="667085"/>
          <w:sz w:val="22"/>
        </w:rPr>
        <w:t>RB-005  /  REASONING BOOK 05</w:t>
      </w:r>
    </w:p>
    <w:p>
      <w:pPr>
        <w:pStyle w:val="Title"/>
        <w:spacing w:after="180"/>
        <w:jc w:val="left"/>
      </w:pPr>
      <w:r>
        <w:t>Neuro Perfusion &amp;</w:t>
        <w:br/>
        <w:t>Metabolism Foundations</w:t>
      </w:r>
    </w:p>
    <w:p>
      <w:pPr>
        <w:pStyle w:val="Subtitle"/>
        <w:spacing w:after="480"/>
      </w:pPr>
      <w:r>
        <w:t>CBF • CBV • MTT • TTP • Tmax • OEF • CMRO₂ • Blood–Brain Barrier</w:t>
      </w:r>
    </w:p>
    <w:p>
      <w:pPr>
        <w:spacing w:after="360"/>
      </w:pPr>
      <w:r>
        <w:rPr>
          <w:rFonts w:ascii="Aptos" w:hAnsi="Aptos" w:eastAsia="Aptos"/>
          <w:b/>
          <w:color w:val="12344D"/>
          <w:sz w:val="20"/>
        </w:rPr>
        <w:t>CORPUS SCIENTIFIQUE — AUCUN PROTOCOLE — AUCUNE RECOMMANDATION</w:t>
      </w:r>
    </w:p>
    <w:tbl>
      <w:tblPr>
        <w:tblStyle w:val="TableGrid"/>
        <w:tblW w:type="dxa" w:w="9808"/>
        <w:jc w:val="left"/>
        <w:tblLayout w:type="fixed"/>
        <w:tblLook w:firstColumn="1" w:firstRow="1" w:lastColumn="0" w:lastRow="0" w:noHBand="0" w:noVBand="1" w:val="04A0"/>
        <w:tblInd w:w="100" w:type="dxa"/>
      </w:tblPr>
      <w:tblGrid>
        <w:gridCol w:w="2948"/>
        <w:gridCol w:w="6860"/>
      </w:tblGrid>
      <w:tr>
        <w:trPr>
          <w:tblHeader w:val="true"/>
          <w:cantSplit/>
        </w:trPr>
        <w:tc>
          <w:tcPr>
            <w:tcW w:type="dxa" w:w="2948"/>
            <w:shd w:fill="12344D"/>
            <w:tcMar>
              <w:top w:w="80" w:type="dxa"/>
              <w:start w:w="100" w:type="dxa"/>
              <w:bottom w:w="80" w:type="dxa"/>
              <w:end w:w="100" w:type="dxa"/>
            </w:tcMar>
          </w:tcPr>
          <w:p>
            <w:pPr>
              <w:spacing w:after="0"/>
            </w:pPr>
            <w:r>
              <w:rPr>
                <w:rFonts w:ascii="Aptos" w:hAnsi="Aptos" w:eastAsia="Aptos"/>
                <w:b/>
                <w:color w:val="FFFFFF"/>
                <w:sz w:val="14"/>
              </w:rPr>
              <w:t>PARAMÈTRE DOCUMENTAIRE</w:t>
            </w:r>
          </w:p>
        </w:tc>
        <w:tc>
          <w:tcPr>
            <w:tcW w:type="dxa" w:w="6860"/>
            <w:shd w:fill="12344D"/>
            <w:tcMar>
              <w:top w:w="80" w:type="dxa"/>
              <w:start w:w="100" w:type="dxa"/>
              <w:bottom w:w="80" w:type="dxa"/>
              <w:end w:w="100" w:type="dxa"/>
            </w:tcMar>
          </w:tcPr>
          <w:p>
            <w:pPr>
              <w:spacing w:after="0"/>
            </w:pPr>
            <w:r>
              <w:rPr>
                <w:rFonts w:ascii="Aptos" w:hAnsi="Aptos" w:eastAsia="Aptos"/>
                <w:b/>
                <w:color w:val="FFFFFF"/>
                <w:sz w:val="14"/>
              </w:rPr>
              <w:t>VALEUR</w:t>
            </w:r>
          </w:p>
        </w:tc>
      </w:tr>
      <w:tr>
        <w:trPr>
          <w:cantSplit/>
        </w:trPr>
        <w:tc>
          <w:tcPr>
            <w:tcW w:type="dxa" w:w="2948"/>
            <w:tcMar>
              <w:top w:w="85" w:type="dxa"/>
              <w:start w:w="100" w:type="dxa"/>
              <w:bottom w:w="85" w:type="dxa"/>
              <w:end w:w="100" w:type="dxa"/>
            </w:tcMar>
            <w:shd w:fill="EEF3F8"/>
          </w:tcPr>
          <w:p>
            <w:pPr>
              <w:spacing w:after="0"/>
            </w:pPr>
            <w:r>
              <w:rPr>
                <w:rFonts w:ascii="Aptos" w:hAnsi="Aptos" w:eastAsia="Aptos"/>
                <w:b/>
                <w:color w:val="667085"/>
                <w:sz w:val="14"/>
              </w:rPr>
              <w:t>PROGRAM OWNER</w:t>
            </w:r>
          </w:p>
        </w:tc>
        <w:tc>
          <w:tcPr>
            <w:tcW w:type="dxa" w:w="6860"/>
            <w:tcMar>
              <w:top w:w="85" w:type="dxa"/>
              <w:start w:w="100" w:type="dxa"/>
              <w:bottom w:w="85" w:type="dxa"/>
              <w:end w:w="100" w:type="dxa"/>
            </w:tcMar>
          </w:tcPr>
          <w:p>
            <w:pPr>
              <w:spacing w:after="0"/>
            </w:pPr>
            <w:r>
              <w:rPr>
                <w:rFonts w:ascii="Aptos" w:hAnsi="Aptos" w:eastAsia="Aptos"/>
                <w:b/>
                <w:color w:val="24323D"/>
                <w:sz w:val="17"/>
              </w:rPr>
              <w:t>NXP-000003 — Neuro Perfusion &amp; Metabolism</w:t>
            </w:r>
          </w:p>
        </w:tc>
      </w:tr>
      <w:tr>
        <w:trPr>
          <w:cantSplit/>
        </w:trPr>
        <w:tc>
          <w:tcPr>
            <w:tcW w:type="dxa" w:w="2948"/>
            <w:tcMar>
              <w:top w:w="85" w:type="dxa"/>
              <w:start w:w="100" w:type="dxa"/>
              <w:bottom w:w="85" w:type="dxa"/>
              <w:end w:w="100" w:type="dxa"/>
            </w:tcMar>
            <w:shd w:fill="EEF3F8"/>
          </w:tcPr>
          <w:p>
            <w:pPr>
              <w:spacing w:after="0"/>
            </w:pPr>
            <w:r>
              <w:rPr>
                <w:rFonts w:ascii="Aptos" w:hAnsi="Aptos" w:eastAsia="Aptos"/>
                <w:b/>
                <w:color w:val="667085"/>
                <w:sz w:val="14"/>
              </w:rPr>
              <w:t>NIVEAU DOCUMENTAIRE</w:t>
            </w:r>
          </w:p>
        </w:tc>
        <w:tc>
          <w:tcPr>
            <w:tcW w:type="dxa" w:w="6860"/>
            <w:tcMar>
              <w:top w:w="85" w:type="dxa"/>
              <w:start w:w="100" w:type="dxa"/>
              <w:bottom w:w="85" w:type="dxa"/>
              <w:end w:w="100" w:type="dxa"/>
            </w:tcMar>
          </w:tcPr>
          <w:p>
            <w:pPr>
              <w:spacing w:after="0"/>
            </w:pPr>
            <w:r>
              <w:rPr>
                <w:rFonts w:ascii="Aptos" w:hAnsi="Aptos" w:eastAsia="Aptos"/>
                <w:b w:val="0"/>
                <w:color w:val="24323D"/>
                <w:sz w:val="17"/>
              </w:rPr>
              <w:t>NIVEAU_2</w:t>
            </w:r>
          </w:p>
        </w:tc>
      </w:tr>
      <w:tr>
        <w:trPr>
          <w:cantSplit/>
        </w:trPr>
        <w:tc>
          <w:tcPr>
            <w:tcW w:type="dxa" w:w="2948"/>
            <w:tcMar>
              <w:top w:w="85" w:type="dxa"/>
              <w:start w:w="100" w:type="dxa"/>
              <w:bottom w:w="85" w:type="dxa"/>
              <w:end w:w="100" w:type="dxa"/>
            </w:tcMar>
            <w:shd w:fill="EEF3F8"/>
          </w:tcPr>
          <w:p>
            <w:pPr>
              <w:spacing w:after="0"/>
            </w:pPr>
            <w:r>
              <w:rPr>
                <w:rFonts w:ascii="Aptos" w:hAnsi="Aptos" w:eastAsia="Aptos"/>
                <w:b/>
                <w:color w:val="667085"/>
                <w:sz w:val="14"/>
              </w:rPr>
              <w:t>SOURCE MAÎTRESSE</w:t>
            </w:r>
          </w:p>
        </w:tc>
        <w:tc>
          <w:tcPr>
            <w:tcW w:type="dxa" w:w="6860"/>
            <w:tcMar>
              <w:top w:w="85" w:type="dxa"/>
              <w:start w:w="100" w:type="dxa"/>
              <w:bottom w:w="85" w:type="dxa"/>
              <w:end w:w="100" w:type="dxa"/>
            </w:tcMar>
          </w:tcPr>
          <w:p>
            <w:pPr>
              <w:spacing w:after="0"/>
            </w:pPr>
            <w:r>
              <w:rPr>
                <w:rFonts w:ascii="Aptos" w:hAnsi="Aptos" w:eastAsia="Aptos"/>
                <w:b w:val="0"/>
                <w:color w:val="24323D"/>
                <w:sz w:val="17"/>
              </w:rPr>
              <w:t>DOCX</w:t>
            </w:r>
          </w:p>
        </w:tc>
      </w:tr>
      <w:tr>
        <w:trPr>
          <w:cantSplit/>
        </w:trPr>
        <w:tc>
          <w:tcPr>
            <w:tcW w:type="dxa" w:w="2948"/>
            <w:tcMar>
              <w:top w:w="85" w:type="dxa"/>
              <w:start w:w="100" w:type="dxa"/>
              <w:bottom w:w="85" w:type="dxa"/>
              <w:end w:w="100" w:type="dxa"/>
            </w:tcMar>
            <w:shd w:fill="EEF3F8"/>
          </w:tcPr>
          <w:p>
            <w:pPr>
              <w:spacing w:after="0"/>
            </w:pPr>
            <w:r>
              <w:rPr>
                <w:rFonts w:ascii="Aptos" w:hAnsi="Aptos" w:eastAsia="Aptos"/>
                <w:b/>
                <w:color w:val="667085"/>
                <w:sz w:val="14"/>
              </w:rPr>
              <w:t>DÉRIVÉ CONTRÔLÉ</w:t>
            </w:r>
          </w:p>
        </w:tc>
        <w:tc>
          <w:tcPr>
            <w:tcW w:type="dxa" w:w="6860"/>
            <w:tcMar>
              <w:top w:w="85" w:type="dxa"/>
              <w:start w:w="100" w:type="dxa"/>
              <w:bottom w:w="85" w:type="dxa"/>
              <w:end w:w="100" w:type="dxa"/>
            </w:tcMar>
          </w:tcPr>
          <w:p>
            <w:pPr>
              <w:spacing w:after="0"/>
            </w:pPr>
            <w:r>
              <w:rPr>
                <w:rFonts w:ascii="Aptos" w:hAnsi="Aptos" w:eastAsia="Aptos"/>
                <w:b w:val="0"/>
                <w:color w:val="24323D"/>
                <w:sz w:val="17"/>
              </w:rPr>
              <w:t>PDF</w:t>
            </w:r>
          </w:p>
        </w:tc>
      </w:tr>
      <w:tr>
        <w:trPr>
          <w:cantSplit/>
        </w:trPr>
        <w:tc>
          <w:tcPr>
            <w:tcW w:type="dxa" w:w="2948"/>
            <w:tcMar>
              <w:top w:w="85" w:type="dxa"/>
              <w:start w:w="100" w:type="dxa"/>
              <w:bottom w:w="85" w:type="dxa"/>
              <w:end w:w="100" w:type="dxa"/>
            </w:tcMar>
            <w:shd w:fill="EEF3F8"/>
          </w:tcPr>
          <w:p>
            <w:pPr>
              <w:spacing w:after="0"/>
            </w:pPr>
            <w:r>
              <w:rPr>
                <w:rFonts w:ascii="Aptos" w:hAnsi="Aptos" w:eastAsia="Aptos"/>
                <w:b/>
                <w:color w:val="667085"/>
                <w:sz w:val="14"/>
              </w:rPr>
              <w:t>VERSION</w:t>
            </w:r>
          </w:p>
        </w:tc>
        <w:tc>
          <w:tcPr>
            <w:tcW w:type="dxa" w:w="6860"/>
            <w:tcMar>
              <w:top w:w="85" w:type="dxa"/>
              <w:start w:w="100" w:type="dxa"/>
              <w:bottom w:w="85" w:type="dxa"/>
              <w:end w:w="100" w:type="dxa"/>
            </w:tcMar>
          </w:tcPr>
          <w:p>
            <w:pPr>
              <w:spacing w:after="0"/>
            </w:pPr>
            <w:r>
              <w:rPr>
                <w:rFonts w:ascii="Aptos" w:hAnsi="Aptos" w:eastAsia="Aptos"/>
                <w:b w:val="0"/>
                <w:color w:val="24323D"/>
                <w:sz w:val="17"/>
              </w:rPr>
              <w:t>1.0</w:t>
            </w:r>
          </w:p>
        </w:tc>
      </w:tr>
      <w:tr>
        <w:trPr>
          <w:cantSplit/>
        </w:trPr>
        <w:tc>
          <w:tcPr>
            <w:tcW w:type="dxa" w:w="2948"/>
            <w:tcMar>
              <w:top w:w="85" w:type="dxa"/>
              <w:start w:w="100" w:type="dxa"/>
              <w:bottom w:w="85" w:type="dxa"/>
              <w:end w:w="100" w:type="dxa"/>
            </w:tcMar>
            <w:shd w:fill="EEF3F8"/>
          </w:tcPr>
          <w:p>
            <w:pPr>
              <w:spacing w:after="0"/>
            </w:pPr>
            <w:r>
              <w:rPr>
                <w:rFonts w:ascii="Aptos" w:hAnsi="Aptos" w:eastAsia="Aptos"/>
                <w:b/>
                <w:color w:val="667085"/>
                <w:sz w:val="14"/>
              </w:rPr>
              <w:t>ÉTAT DES CONNAISSANCES</w:t>
            </w:r>
          </w:p>
        </w:tc>
        <w:tc>
          <w:tcPr>
            <w:tcW w:type="dxa" w:w="6860"/>
            <w:tcMar>
              <w:top w:w="85" w:type="dxa"/>
              <w:start w:w="100" w:type="dxa"/>
              <w:bottom w:w="85" w:type="dxa"/>
              <w:end w:w="100" w:type="dxa"/>
            </w:tcMar>
          </w:tcPr>
          <w:p>
            <w:pPr>
              <w:spacing w:after="0"/>
            </w:pPr>
            <w:r>
              <w:rPr>
                <w:rFonts w:ascii="Aptos" w:hAnsi="Aptos" w:eastAsia="Aptos"/>
                <w:b w:val="0"/>
                <w:color w:val="24323D"/>
                <w:sz w:val="17"/>
              </w:rPr>
              <w:t>3 août 2026</w:t>
            </w:r>
          </w:p>
        </w:tc>
      </w:tr>
    </w:tbl>
    <w:p>
      <w:r>
        <w:br w:type="page"/>
      </w:r>
    </w:p>
    <w:p>
      <w:bookmarkStart w:id="1" w:name="reader_guide"/>
      <w:pPr>
        <w:pStyle w:val="Heading1"/>
      </w:pPr>
      <w:r>
        <w:t>MODE D’EMPLOI</w:t>
      </w:r>
      <w:bookmarkEnd w:id="1"/>
    </w:p>
    <w:p>
      <w:pPr>
        <w:widowControl/>
        <w:spacing w:after="100" w:line="259" w:lineRule="auto"/>
      </w:pPr>
      <w:r>
        <w:rPr>
          <w:rFonts w:ascii="Aptos" w:hAnsi="Aptos" w:eastAsia="Aptos"/>
          <w:color w:val="24323D"/>
          <w:sz w:val="18"/>
        </w:rPr>
        <w:t>Ce livre organise un raisonnement scientifique, pas une conduite clinique. Chaque résultat doit être lu avec son construit, sa modalité, son modèle, sa qualité, son incertitude, son domaine et son état de preuve.</w:t>
      </w:r>
    </w:p>
    <w:p>
      <w:pPr>
        <w:pStyle w:val="Caption"/>
        <w:spacing w:before="120" w:after="60"/>
        <w:jc w:val="left"/>
        <w:keepNext/>
        <w:keepLines/>
      </w:pPr>
      <w:r>
        <w:rPr>
          <w:rFonts w:ascii="Aptos" w:hAnsi="Aptos" w:eastAsia="Aptos"/>
          <w:b/>
          <w:color w:val="667085"/>
          <w:sz w:val="16"/>
        </w:rPr>
        <w:t>Guide de lecture — du construit à la décision scientifique</w:t>
      </w:r>
    </w:p>
    <w:tbl>
      <w:tblPr>
        <w:tblStyle w:val="TableGrid"/>
        <w:tblW w:type="dxa" w:w="9837"/>
        <w:jc w:val="center"/>
        <w:tblLayout w:type="fixed"/>
        <w:tblLook w:firstColumn="1" w:firstRow="1" w:lastColumn="0" w:lastRow="0" w:noHBand="0" w:noVBand="1" w:val="04A0"/>
        <w:tblInd w:w="90" w:type="dxa"/>
      </w:tblPr>
      <w:tblGrid>
        <w:gridCol w:w="2502"/>
        <w:gridCol w:w="2388"/>
        <w:gridCol w:w="4947"/>
      </w:tblGrid>
      <w:tr>
        <w:trPr>
          <w:tblHeader w:val="true"/>
          <w:cantSplit/>
        </w:trPr>
        <w:tc>
          <w:tcPr>
            <w:tcW w:type="dxa" w:w="2502"/>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Question de lecture</w:t>
            </w:r>
          </w:p>
        </w:tc>
        <w:tc>
          <w:tcPr>
            <w:tcW w:type="dxa" w:w="2388"/>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Où regarder</w:t>
            </w:r>
          </w:p>
        </w:tc>
        <w:tc>
          <w:tcPr>
            <w:tcW w:type="dxa" w:w="494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Décision permise</w:t>
            </w:r>
          </w:p>
        </w:tc>
      </w:tr>
      <w:tr>
        <w:trPr>
          <w:cantSplit/>
        </w:trPr>
        <w:tc>
          <w:tcPr>
            <w:tcW w:type="dxa" w:w="2502"/>
            <w:vAlign w:val="top"/>
            <w:tcMar>
              <w:top w:w="70" w:type="dxa"/>
              <w:start w:w="90" w:type="dxa"/>
              <w:bottom w:w="70" w:type="dxa"/>
              <w:end w:w="90" w:type="dxa"/>
            </w:tcMar>
          </w:tcPr>
          <w:p>
            <w:pPr>
              <w:spacing w:after="0" w:line="240" w:lineRule="auto"/>
            </w:pPr>
            <w:r>
              <w:rPr>
                <w:rFonts w:ascii="Aptos" w:hAnsi="Aptos" w:eastAsia="Aptos"/>
                <w:color w:val="24323D"/>
                <w:sz w:val="14"/>
              </w:rPr>
              <w:t>Que signifie la grandeur ?</w:t>
            </w:r>
          </w:p>
        </w:tc>
        <w:tc>
          <w:tcPr>
            <w:tcW w:type="dxa" w:w="2388"/>
            <w:vAlign w:val="top"/>
            <w:tcMar>
              <w:top w:w="70" w:type="dxa"/>
              <w:start w:w="90" w:type="dxa"/>
              <w:bottom w:w="70" w:type="dxa"/>
              <w:end w:w="90" w:type="dxa"/>
            </w:tcMar>
          </w:tcPr>
          <w:p>
            <w:pPr>
              <w:spacing w:after="0" w:line="240" w:lineRule="auto"/>
            </w:pPr>
            <w:r>
              <w:rPr>
                <w:rFonts w:ascii="Aptos" w:hAnsi="Aptos" w:eastAsia="Aptos"/>
                <w:color w:val="24323D"/>
                <w:sz w:val="14"/>
              </w:rPr>
              <w:t>Parties II à VI</w:t>
            </w:r>
          </w:p>
        </w:tc>
        <w:tc>
          <w:tcPr>
            <w:tcW w:type="dxa" w:w="4947"/>
            <w:vAlign w:val="top"/>
            <w:tcMar>
              <w:top w:w="70" w:type="dxa"/>
              <w:start w:w="90" w:type="dxa"/>
              <w:bottom w:w="70" w:type="dxa"/>
              <w:end w:w="90" w:type="dxa"/>
            </w:tcMar>
          </w:tcPr>
          <w:p>
            <w:pPr>
              <w:spacing w:after="0" w:line="240" w:lineRule="auto"/>
            </w:pPr>
            <w:r>
              <w:rPr>
                <w:rFonts w:ascii="Aptos" w:hAnsi="Aptos" w:eastAsia="Aptos"/>
                <w:color w:val="24323D"/>
                <w:sz w:val="14"/>
              </w:rPr>
              <w:t>Nommer le construit et ses dépendances.</w:t>
            </w:r>
          </w:p>
        </w:tc>
      </w:tr>
      <w:tr>
        <w:trPr>
          <w:cantSplit/>
        </w:trPr>
        <w:tc>
          <w:tcPr>
            <w:tcW w:type="dxa" w:w="250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Comment la modalité l'estime-t-elle ?</w:t>
            </w:r>
          </w:p>
        </w:tc>
        <w:tc>
          <w:tcPr>
            <w:tcW w:type="dxa" w:w="2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Parties VII à XII</w:t>
            </w:r>
          </w:p>
        </w:tc>
        <w:tc>
          <w:tcPr>
            <w:tcW w:type="dxa" w:w="49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Qualifier la chaîne, sans hiérarchie universelle.</w:t>
            </w:r>
          </w:p>
        </w:tc>
      </w:tr>
      <w:tr>
        <w:trPr>
          <w:cantSplit/>
        </w:trPr>
        <w:tc>
          <w:tcPr>
            <w:tcW w:type="dxa" w:w="2502"/>
            <w:vAlign w:val="top"/>
            <w:tcMar>
              <w:top w:w="70" w:type="dxa"/>
              <w:start w:w="90" w:type="dxa"/>
              <w:bottom w:w="70" w:type="dxa"/>
              <w:end w:w="90" w:type="dxa"/>
            </w:tcMar>
          </w:tcPr>
          <w:p>
            <w:pPr>
              <w:spacing w:after="0" w:line="240" w:lineRule="auto"/>
            </w:pPr>
            <w:r>
              <w:rPr>
                <w:rFonts w:ascii="Aptos" w:hAnsi="Aptos" w:eastAsia="Aptos"/>
                <w:color w:val="24323D"/>
                <w:sz w:val="14"/>
              </w:rPr>
              <w:t>La mesure est-elle exploitable ?</w:t>
            </w:r>
          </w:p>
        </w:tc>
        <w:tc>
          <w:tcPr>
            <w:tcW w:type="dxa" w:w="2388"/>
            <w:vAlign w:val="top"/>
            <w:tcMar>
              <w:top w:w="70" w:type="dxa"/>
              <w:start w:w="90" w:type="dxa"/>
              <w:bottom w:w="70" w:type="dxa"/>
              <w:end w:w="90" w:type="dxa"/>
            </w:tcMar>
          </w:tcPr>
          <w:p>
            <w:pPr>
              <w:spacing w:after="0" w:line="240" w:lineRule="auto"/>
            </w:pPr>
            <w:r>
              <w:rPr>
                <w:rFonts w:ascii="Aptos" w:hAnsi="Aptos" w:eastAsia="Aptos"/>
                <w:color w:val="24323D"/>
                <w:sz w:val="14"/>
              </w:rPr>
              <w:t>Partie XIII et NPM-RF01–RF26</w:t>
            </w:r>
          </w:p>
        </w:tc>
        <w:tc>
          <w:tcPr>
            <w:tcW w:type="dxa" w:w="4947"/>
            <w:vAlign w:val="top"/>
            <w:tcMar>
              <w:top w:w="70" w:type="dxa"/>
              <w:start w:w="90" w:type="dxa"/>
              <w:bottom w:w="70" w:type="dxa"/>
              <w:end w:w="90" w:type="dxa"/>
            </w:tcMar>
          </w:tcPr>
          <w:p>
            <w:pPr>
              <w:spacing w:after="0" w:line="240" w:lineRule="auto"/>
            </w:pPr>
            <w:r>
              <w:rPr>
                <w:rFonts w:ascii="Aptos" w:hAnsi="Aptos" w:eastAsia="Aptos"/>
                <w:color w:val="24323D"/>
                <w:sz w:val="14"/>
              </w:rPr>
              <w:t>Accepter, borner ou refuser l'interprétation.</w:t>
            </w:r>
          </w:p>
        </w:tc>
      </w:tr>
      <w:tr>
        <w:trPr>
          <w:cantSplit/>
        </w:trPr>
        <w:tc>
          <w:tcPr>
            <w:tcW w:type="dxa" w:w="250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Que montre une application ?</w:t>
            </w:r>
          </w:p>
        </w:tc>
        <w:tc>
          <w:tcPr>
            <w:tcW w:type="dxa" w:w="2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Partie XIV</w:t>
            </w:r>
          </w:p>
        </w:tc>
        <w:tc>
          <w:tcPr>
            <w:tcW w:type="dxa" w:w="49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Décrire bénéfices, limites, preuves et controverses.</w:t>
            </w:r>
          </w:p>
        </w:tc>
      </w:tr>
      <w:tr>
        <w:trPr>
          <w:cantSplit/>
        </w:trPr>
        <w:tc>
          <w:tcPr>
            <w:tcW w:type="dxa" w:w="2502"/>
            <w:vAlign w:val="top"/>
            <w:tcMar>
              <w:top w:w="70" w:type="dxa"/>
              <w:start w:w="90" w:type="dxa"/>
              <w:bottom w:w="70" w:type="dxa"/>
              <w:end w:w="90" w:type="dxa"/>
            </w:tcMar>
          </w:tcPr>
          <w:p>
            <w:pPr>
              <w:spacing w:after="0" w:line="240" w:lineRule="auto"/>
            </w:pPr>
            <w:r>
              <w:rPr>
                <w:rFonts w:ascii="Aptos" w:hAnsi="Aptos" w:eastAsia="Aptos"/>
                <w:color w:val="24323D"/>
                <w:sz w:val="14"/>
              </w:rPr>
              <w:t>Que reste-t-il à tester ?</w:t>
            </w:r>
          </w:p>
        </w:tc>
        <w:tc>
          <w:tcPr>
            <w:tcW w:type="dxa" w:w="2388"/>
            <w:vAlign w:val="top"/>
            <w:tcMar>
              <w:top w:w="70" w:type="dxa"/>
              <w:start w:w="90" w:type="dxa"/>
              <w:bottom w:w="70" w:type="dxa"/>
              <w:end w:w="90" w:type="dxa"/>
            </w:tcMar>
          </w:tcPr>
          <w:p>
            <w:pPr>
              <w:spacing w:after="0" w:line="240" w:lineRule="auto"/>
            </w:pPr>
            <w:r>
              <w:rPr>
                <w:rFonts w:ascii="Aptos" w:hAnsi="Aptos" w:eastAsia="Aptos"/>
                <w:color w:val="24323D"/>
                <w:sz w:val="14"/>
              </w:rPr>
              <w:t>Parties XVI à XIX</w:t>
            </w:r>
          </w:p>
        </w:tc>
        <w:tc>
          <w:tcPr>
            <w:tcW w:type="dxa" w:w="4947"/>
            <w:vAlign w:val="top"/>
            <w:tcMar>
              <w:top w:w="70" w:type="dxa"/>
              <w:start w:w="90" w:type="dxa"/>
              <w:bottom w:w="70" w:type="dxa"/>
              <w:end w:w="90" w:type="dxa"/>
            </w:tcMar>
          </w:tcPr>
          <w:p>
            <w:pPr>
              <w:spacing w:after="0" w:line="240" w:lineRule="auto"/>
            </w:pPr>
            <w:r>
              <w:rPr>
                <w:rFonts w:ascii="Aptos" w:hAnsi="Aptos" w:eastAsia="Aptos"/>
                <w:color w:val="24323D"/>
                <w:sz w:val="14"/>
              </w:rPr>
              <w:t>Tracer hypothèses, décisions, assertions et gaps.</w:t>
            </w:r>
          </w:p>
        </w:tc>
      </w:tr>
    </w:tbl>
    <w:p>
      <w:pPr>
        <w:widowControl/>
        <w:spacing w:before="200" w:after="100" w:line="259" w:lineRule="auto"/>
      </w:pPr>
      <w:r>
        <w:rPr>
          <w:rFonts w:ascii="Aptos" w:hAnsi="Aptos" w:eastAsia="Aptos"/>
          <w:b/>
          <w:color w:val="24323D"/>
          <w:sz w:val="18"/>
        </w:rPr>
        <w:t xml:space="preserve">Chaîne d’autorité : </w:t>
      </w:r>
      <w:r>
        <w:rPr>
          <w:rFonts w:ascii="Aptos" w:hAnsi="Aptos" w:eastAsia="Aptos"/>
          <w:color w:val="24323D"/>
          <w:sz w:val="18"/>
        </w:rPr>
        <w:t>principes fondateurs → contrats normatifs → Programme NXP-000003 → corpus RB-005 → évaluation éventuelle PD-011. Une admission au registre ne remplace aucune de ces étapes.</w:t>
      </w:r>
    </w:p>
    <w:p>
      <w:r>
        <w:br w:type="page"/>
      </w:r>
    </w:p>
    <w:p>
      <w:bookmarkStart w:id="2" w:name="TOC"/>
      <w:pPr>
        <w:pStyle w:val="Heading1"/>
      </w:pPr>
      <w:r>
        <w:t>SOMMAIRE</w:t>
      </w:r>
      <w:bookmarkEnd w:id="2"/>
    </w:p>
    <w:p>
      <w:r>
        <w:rPr>
          <w:rFonts w:ascii="Aptos" w:hAnsi="Aptos" w:eastAsia="Aptos"/>
          <w:i/>
          <w:color w:val="667085"/>
          <w:sz w:val="16"/>
        </w:rPr>
        <w:t>Sommaire interne cliquable — 100 sections scientifiques et références.</w:t>
      </w:r>
    </w:p>
    <w:p>
      <w:pPr>
        <w:spacing w:before="60" w:after="20"/>
      </w:pPr>
      <w:hyperlink w:anchor="part01" w:history="1">
        <w:r>
          <w:rPr>
            <w:rStyle w:val="Hyperlink"/>
            <w:color w:val="12344D"/>
            <w:b/>
            <w:sz w:val="15"/>
            <w:szCs w:val="15"/>
          </w:rPr>
          <w:t>PARTIE I — AUTORITÉ, STATUT ET PÉRIMÈTRE</w:t>
        </w:r>
      </w:hyperlink>
    </w:p>
    <w:p>
      <w:pPr>
        <w:spacing w:after="0" w:line="211" w:lineRule="auto"/>
        <w:ind w:left="312"/>
      </w:pPr>
      <w:hyperlink w:anchor="sec001" w:history="1">
        <w:r>
          <w:rPr>
            <w:rStyle w:val="Hyperlink"/>
            <w:color w:val="22A6B3"/>
            <w:sz w:val="14"/>
            <w:szCs w:val="14"/>
          </w:rPr>
          <w:t>1. Identité documentaire</w:t>
        </w:r>
      </w:hyperlink>
    </w:p>
    <w:p>
      <w:pPr>
        <w:spacing w:after="0" w:line="211" w:lineRule="auto"/>
        <w:ind w:left="312"/>
      </w:pPr>
      <w:hyperlink w:anchor="sec002" w:history="1">
        <w:r>
          <w:rPr>
            <w:rStyle w:val="Hyperlink"/>
            <w:color w:val="22A6B3"/>
            <w:sz w:val="14"/>
            <w:szCs w:val="14"/>
          </w:rPr>
          <w:t>2. Mandat scientifique</w:t>
        </w:r>
      </w:hyperlink>
    </w:p>
    <w:p>
      <w:pPr>
        <w:spacing w:after="0" w:line="211" w:lineRule="auto"/>
        <w:ind w:left="312"/>
      </w:pPr>
      <w:hyperlink w:anchor="sec003" w:history="1">
        <w:r>
          <w:rPr>
            <w:rStyle w:val="Hyperlink"/>
            <w:color w:val="22A6B3"/>
            <w:sz w:val="14"/>
            <w:szCs w:val="14"/>
          </w:rPr>
          <w:t>3. Question centrale</w:t>
        </w:r>
      </w:hyperlink>
    </w:p>
    <w:p>
      <w:pPr>
        <w:spacing w:after="0" w:line="211" w:lineRule="auto"/>
        <w:ind w:left="312"/>
      </w:pPr>
      <w:hyperlink w:anchor="sec004" w:history="1">
        <w:r>
          <w:rPr>
            <w:rStyle w:val="Hyperlink"/>
            <w:color w:val="22A6B3"/>
            <w:sz w:val="14"/>
            <w:szCs w:val="14"/>
          </w:rPr>
          <w:t>4. Frontières positives et négatives</w:t>
        </w:r>
      </w:hyperlink>
    </w:p>
    <w:p>
      <w:pPr>
        <w:spacing w:after="0" w:line="211" w:lineRule="auto"/>
        <w:ind w:left="312"/>
      </w:pPr>
      <w:hyperlink w:anchor="sec005" w:history="1">
        <w:r>
          <w:rPr>
            <w:rStyle w:val="Hyperlink"/>
            <w:color w:val="22A6B3"/>
            <w:sz w:val="14"/>
            <w:szCs w:val="14"/>
          </w:rPr>
          <w:t>5. Catégories documentaires explicitement séparées</w:t>
        </w:r>
      </w:hyperlink>
    </w:p>
    <w:p>
      <w:pPr>
        <w:spacing w:after="0" w:line="211" w:lineRule="auto"/>
        <w:ind w:left="312"/>
      </w:pPr>
      <w:hyperlink w:anchor="sec006" w:history="1">
        <w:r>
          <w:rPr>
            <w:rStyle w:val="Hyperlink"/>
            <w:color w:val="22A6B3"/>
            <w:sz w:val="14"/>
            <w:szCs w:val="14"/>
          </w:rPr>
          <w:t>6. Niveaux de preuve et politique de contradiction</w:t>
        </w:r>
      </w:hyperlink>
    </w:p>
    <w:p>
      <w:pPr>
        <w:spacing w:before="60" w:after="20"/>
      </w:pPr>
      <w:hyperlink w:anchor="part02" w:history="1">
        <w:r>
          <w:rPr>
            <w:rStyle w:val="Hyperlink"/>
            <w:color w:val="12344D"/>
            <w:b/>
            <w:sz w:val="15"/>
            <w:szCs w:val="15"/>
          </w:rPr>
          <w:t>PARTIE II — CONSTRUITS ET VOCABULAIRE DE MESURE</w:t>
        </w:r>
      </w:hyperlink>
    </w:p>
    <w:p>
      <w:pPr>
        <w:spacing w:after="0" w:line="211" w:lineRule="auto"/>
        <w:ind w:left="312"/>
      </w:pPr>
      <w:hyperlink w:anchor="sec007" w:history="1">
        <w:r>
          <w:rPr>
            <w:rStyle w:val="Hyperlink"/>
            <w:color w:val="22A6B3"/>
            <w:sz w:val="14"/>
            <w:szCs w:val="14"/>
          </w:rPr>
          <w:t>7. Perfusion, circulation et hémodynamique</w:t>
        </w:r>
      </w:hyperlink>
    </w:p>
    <w:p>
      <w:pPr>
        <w:spacing w:after="0" w:line="211" w:lineRule="auto"/>
        <w:ind w:left="312"/>
      </w:pPr>
      <w:hyperlink w:anchor="sec008" w:history="1">
        <w:r>
          <w:rPr>
            <w:rStyle w:val="Hyperlink"/>
            <w:color w:val="22A6B3"/>
            <w:sz w:val="14"/>
            <w:szCs w:val="14"/>
          </w:rPr>
          <w:t>8. Taxonomie : mesuré, calculé, dérivé, reconstruit</w:t>
        </w:r>
      </w:hyperlink>
    </w:p>
    <w:p>
      <w:pPr>
        <w:spacing w:after="0" w:line="211" w:lineRule="auto"/>
        <w:ind w:left="312"/>
      </w:pPr>
      <w:hyperlink w:anchor="sec009" w:history="1">
        <w:r>
          <w:rPr>
            <w:rStyle w:val="Hyperlink"/>
            <w:color w:val="22A6B3"/>
            <w:sz w:val="14"/>
            <w:szCs w:val="14"/>
          </w:rPr>
          <w:t>9. CBF — Cerebral Blood Flow</w:t>
        </w:r>
      </w:hyperlink>
    </w:p>
    <w:p>
      <w:pPr>
        <w:spacing w:after="0" w:line="211" w:lineRule="auto"/>
        <w:ind w:left="312"/>
      </w:pPr>
      <w:hyperlink w:anchor="sec010" w:history="1">
        <w:r>
          <w:rPr>
            <w:rStyle w:val="Hyperlink"/>
            <w:color w:val="22A6B3"/>
            <w:sz w:val="14"/>
            <w:szCs w:val="14"/>
          </w:rPr>
          <w:t>10. CBV — Cerebral Blood Volume</w:t>
        </w:r>
      </w:hyperlink>
    </w:p>
    <w:p>
      <w:pPr>
        <w:spacing w:after="0" w:line="211" w:lineRule="auto"/>
        <w:ind w:left="312"/>
      </w:pPr>
      <w:hyperlink w:anchor="sec011" w:history="1">
        <w:r>
          <w:rPr>
            <w:rStyle w:val="Hyperlink"/>
            <w:color w:val="22A6B3"/>
            <w:sz w:val="14"/>
            <w:szCs w:val="14"/>
          </w:rPr>
          <w:t>11. MTT — Mean Transit Time</w:t>
        </w:r>
      </w:hyperlink>
    </w:p>
    <w:p>
      <w:pPr>
        <w:spacing w:after="0" w:line="211" w:lineRule="auto"/>
        <w:ind w:left="312"/>
      </w:pPr>
      <w:hyperlink w:anchor="sec012" w:history="1">
        <w:r>
          <w:rPr>
            <w:rStyle w:val="Hyperlink"/>
            <w:color w:val="22A6B3"/>
            <w:sz w:val="14"/>
            <w:szCs w:val="14"/>
          </w:rPr>
          <w:t>12. TTP, Tmax et cartes de délai</w:t>
        </w:r>
      </w:hyperlink>
    </w:p>
    <w:p>
      <w:pPr>
        <w:spacing w:after="0" w:line="211" w:lineRule="auto"/>
        <w:ind w:left="312"/>
      </w:pPr>
      <w:hyperlink w:anchor="sec013" w:history="1">
        <w:r>
          <w:rPr>
            <w:rStyle w:val="Hyperlink"/>
            <w:color w:val="22A6B3"/>
            <w:sz w:val="14"/>
            <w:szCs w:val="14"/>
          </w:rPr>
          <w:t>13. Valeurs absolues, relatives et normalisées</w:t>
        </w:r>
      </w:hyperlink>
    </w:p>
    <w:p>
      <w:pPr>
        <w:spacing w:before="60" w:after="20"/>
      </w:pPr>
      <w:hyperlink w:anchor="part03" w:history="1">
        <w:r>
          <w:rPr>
            <w:rStyle w:val="Hyperlink"/>
            <w:color w:val="12344D"/>
            <w:b/>
            <w:sz w:val="15"/>
            <w:szCs w:val="15"/>
          </w:rPr>
          <w:t>PARTIE III — PHYSIOLOGIE HÉMODYNAMIQUE CÉRÉBRALE</w:t>
        </w:r>
      </w:hyperlink>
    </w:p>
    <w:p>
      <w:pPr>
        <w:spacing w:after="0" w:line="211" w:lineRule="auto"/>
        <w:ind w:left="312"/>
      </w:pPr>
      <w:hyperlink w:anchor="sec014" w:history="1">
        <w:r>
          <w:rPr>
            <w:rStyle w:val="Hyperlink"/>
            <w:color w:val="22A6B3"/>
            <w:sz w:val="14"/>
            <w:szCs w:val="14"/>
          </w:rPr>
          <w:t>14. Pression, résistance et délivrance</w:t>
        </w:r>
      </w:hyperlink>
    </w:p>
    <w:p>
      <w:pPr>
        <w:spacing w:after="0" w:line="211" w:lineRule="auto"/>
        <w:ind w:left="312"/>
      </w:pPr>
      <w:hyperlink w:anchor="sec015" w:history="1">
        <w:r>
          <w:rPr>
            <w:rStyle w:val="Hyperlink"/>
            <w:color w:val="22A6B3"/>
            <w:sz w:val="14"/>
            <w:szCs w:val="14"/>
          </w:rPr>
          <w:t>15. Autorégulation statique et dynamique</w:t>
        </w:r>
      </w:hyperlink>
    </w:p>
    <w:p>
      <w:pPr>
        <w:spacing w:after="0" w:line="211" w:lineRule="auto"/>
        <w:ind w:left="312"/>
      </w:pPr>
      <w:hyperlink w:anchor="sec016" w:history="1">
        <w:r>
          <w:rPr>
            <w:rStyle w:val="Hyperlink"/>
            <w:color w:val="22A6B3"/>
            <w:sz w:val="14"/>
            <w:szCs w:val="14"/>
          </w:rPr>
          <w:t>16. Réactivité cérébrovasculaire</w:t>
        </w:r>
      </w:hyperlink>
    </w:p>
    <w:p>
      <w:pPr>
        <w:spacing w:after="0" w:line="211" w:lineRule="auto"/>
        <w:ind w:left="312"/>
      </w:pPr>
      <w:hyperlink w:anchor="sec017" w:history="1">
        <w:r>
          <w:rPr>
            <w:rStyle w:val="Hyperlink"/>
            <w:color w:val="22A6B3"/>
            <w:sz w:val="14"/>
            <w:szCs w:val="14"/>
          </w:rPr>
          <w:t>17. Circulation collatérale</w:t>
        </w:r>
      </w:hyperlink>
    </w:p>
    <w:p>
      <w:pPr>
        <w:spacing w:after="0" w:line="211" w:lineRule="auto"/>
        <w:ind w:left="312"/>
      </w:pPr>
      <w:hyperlink w:anchor="sec018" w:history="1">
        <w:r>
          <w:rPr>
            <w:rStyle w:val="Hyperlink"/>
            <w:color w:val="22A6B3"/>
            <w:sz w:val="14"/>
            <w:szCs w:val="14"/>
          </w:rPr>
          <w:t>18. Macro- et microcirculation</w:t>
        </w:r>
      </w:hyperlink>
    </w:p>
    <w:p>
      <w:pPr>
        <w:spacing w:after="0" w:line="211" w:lineRule="auto"/>
        <w:ind w:left="312"/>
      </w:pPr>
      <w:hyperlink w:anchor="sec019" w:history="1">
        <w:r>
          <w:rPr>
            <w:rStyle w:val="Hyperlink"/>
            <w:color w:val="22A6B3"/>
            <w:sz w:val="14"/>
            <w:szCs w:val="14"/>
          </w:rPr>
          <w:t>19. Effets du CO₂, de l'O₂ et de l'état systémique</w:t>
        </w:r>
      </w:hyperlink>
    </w:p>
    <w:p>
      <w:pPr>
        <w:spacing w:after="0" w:line="211" w:lineRule="auto"/>
        <w:ind w:left="312"/>
      </w:pPr>
      <w:hyperlink w:anchor="sec020" w:history="1">
        <w:r>
          <w:rPr>
            <w:rStyle w:val="Hyperlink"/>
            <w:color w:val="22A6B3"/>
            <w:sz w:val="14"/>
            <w:szCs w:val="14"/>
          </w:rPr>
          <w:t>20. Principe d'interprétation négative</w:t>
        </w:r>
      </w:hyperlink>
    </w:p>
    <w:p>
      <w:pPr>
        <w:spacing w:before="60" w:after="20"/>
      </w:pPr>
      <w:hyperlink w:anchor="part04" w:history="1">
        <w:r>
          <w:rPr>
            <w:rStyle w:val="Hyperlink"/>
            <w:color w:val="12344D"/>
            <w:b/>
            <w:sz w:val="15"/>
            <w:szCs w:val="15"/>
          </w:rPr>
          <w:t>PARTIE IV — DILUTION, TRANSIT ET DÉCONVOLUTION</w:t>
        </w:r>
      </w:hyperlink>
    </w:p>
    <w:p>
      <w:pPr>
        <w:spacing w:after="0" w:line="211" w:lineRule="auto"/>
        <w:ind w:left="312"/>
      </w:pPr>
      <w:hyperlink w:anchor="sec021" w:history="1">
        <w:r>
          <w:rPr>
            <w:rStyle w:val="Hyperlink"/>
            <w:color w:val="22A6B3"/>
            <w:sz w:val="14"/>
            <w:szCs w:val="14"/>
          </w:rPr>
          <w:t>21. Traceur intravasculaire et courbe concentration–temps</w:t>
        </w:r>
      </w:hyperlink>
    </w:p>
    <w:p>
      <w:pPr>
        <w:spacing w:after="0" w:line="211" w:lineRule="auto"/>
        <w:ind w:left="312"/>
      </w:pPr>
      <w:hyperlink w:anchor="sec022" w:history="1">
        <w:r>
          <w:rPr>
            <w:rStyle w:val="Hyperlink"/>
            <w:color w:val="22A6B3"/>
            <w:sz w:val="14"/>
            <w:szCs w:val="14"/>
          </w:rPr>
          <w:t>22. Fonction d'entrée artérielle et sortie veineuse</w:t>
        </w:r>
      </w:hyperlink>
    </w:p>
    <w:p>
      <w:pPr>
        <w:spacing w:after="0" w:line="211" w:lineRule="auto"/>
        <w:ind w:left="312"/>
      </w:pPr>
      <w:hyperlink w:anchor="sec023" w:history="1">
        <w:r>
          <w:rPr>
            <w:rStyle w:val="Hyperlink"/>
            <w:color w:val="22A6B3"/>
            <w:sz w:val="14"/>
            <w:szCs w:val="14"/>
          </w:rPr>
          <w:t>23. Résidu tissulaire</w:t>
        </w:r>
      </w:hyperlink>
    </w:p>
    <w:p>
      <w:pPr>
        <w:spacing w:after="0" w:line="211" w:lineRule="auto"/>
        <w:ind w:left="312"/>
      </w:pPr>
      <w:hyperlink w:anchor="sec024" w:history="1">
        <w:r>
          <w:rPr>
            <w:rStyle w:val="Hyperlink"/>
            <w:color w:val="22A6B3"/>
            <w:sz w:val="14"/>
            <w:szCs w:val="14"/>
          </w:rPr>
          <w:t>24. Déconvolution et régularisation</w:t>
        </w:r>
      </w:hyperlink>
    </w:p>
    <w:p>
      <w:pPr>
        <w:spacing w:after="0" w:line="211" w:lineRule="auto"/>
        <w:ind w:left="312"/>
      </w:pPr>
      <w:hyperlink w:anchor="sec025" w:history="1">
        <w:r>
          <w:rPr>
            <w:rStyle w:val="Hyperlink"/>
            <w:color w:val="22A6B3"/>
            <w:sz w:val="14"/>
            <w:szCs w:val="14"/>
          </w:rPr>
          <w:t>25. Délai, dispersion et troncature</w:t>
        </w:r>
      </w:hyperlink>
    </w:p>
    <w:p>
      <w:pPr>
        <w:spacing w:after="0" w:line="211" w:lineRule="auto"/>
        <w:ind w:left="312"/>
      </w:pPr>
      <w:hyperlink w:anchor="sec026" w:history="1">
        <w:r>
          <w:rPr>
            <w:rStyle w:val="Hyperlink"/>
            <w:color w:val="22A6B3"/>
            <w:sz w:val="14"/>
            <w:szCs w:val="14"/>
          </w:rPr>
          <w:t>26. Identifiabilité et propagation d'incertitude</w:t>
        </w:r>
      </w:hyperlink>
    </w:p>
    <w:p>
      <w:pPr>
        <w:spacing w:before="60" w:after="20"/>
      </w:pPr>
      <w:hyperlink w:anchor="part05" w:history="1">
        <w:r>
          <w:rPr>
            <w:rStyle w:val="Hyperlink"/>
            <w:color w:val="12344D"/>
            <w:b/>
            <w:sz w:val="15"/>
            <w:szCs w:val="15"/>
          </w:rPr>
          <w:t>PARTIE V — OXYGÉNATION ET MÉTABOLISME CÉRÉBRAL</w:t>
        </w:r>
      </w:hyperlink>
    </w:p>
    <w:p>
      <w:pPr>
        <w:spacing w:after="0" w:line="211" w:lineRule="auto"/>
        <w:ind w:left="312"/>
      </w:pPr>
      <w:hyperlink w:anchor="sec027" w:history="1">
        <w:r>
          <w:rPr>
            <w:rStyle w:val="Hyperlink"/>
            <w:color w:val="22A6B3"/>
            <w:sz w:val="14"/>
            <w:szCs w:val="14"/>
          </w:rPr>
          <w:t>27. Délivrance et contenu artériel en oxygène</w:t>
        </w:r>
      </w:hyperlink>
    </w:p>
    <w:p>
      <w:pPr>
        <w:spacing w:after="0" w:line="211" w:lineRule="auto"/>
        <w:ind w:left="312"/>
      </w:pPr>
      <w:hyperlink w:anchor="sec028" w:history="1">
        <w:r>
          <w:rPr>
            <w:rStyle w:val="Hyperlink"/>
            <w:color w:val="22A6B3"/>
            <w:sz w:val="14"/>
            <w:szCs w:val="14"/>
          </w:rPr>
          <w:t>28. OEF — Oxygen Extraction Fraction</w:t>
        </w:r>
      </w:hyperlink>
    </w:p>
    <w:p>
      <w:pPr>
        <w:spacing w:after="0" w:line="211" w:lineRule="auto"/>
        <w:ind w:left="312"/>
      </w:pPr>
      <w:hyperlink w:anchor="sec029" w:history="1">
        <w:r>
          <w:rPr>
            <w:rStyle w:val="Hyperlink"/>
            <w:color w:val="22A6B3"/>
            <w:sz w:val="14"/>
            <w:szCs w:val="14"/>
          </w:rPr>
          <w:t>29. CMRO₂ — Cerebral Metabolic Rate of Oxygen</w:t>
        </w:r>
      </w:hyperlink>
    </w:p>
    <w:p>
      <w:pPr>
        <w:spacing w:after="0" w:line="211" w:lineRule="auto"/>
        <w:ind w:left="312"/>
      </w:pPr>
      <w:hyperlink w:anchor="sec030" w:history="1">
        <w:r>
          <w:rPr>
            <w:rStyle w:val="Hyperlink"/>
            <w:color w:val="22A6B3"/>
            <w:sz w:val="14"/>
            <w:szCs w:val="14"/>
          </w:rPr>
          <w:t>30. Couplage débit–métabolisme</w:t>
        </w:r>
      </w:hyperlink>
    </w:p>
    <w:p>
      <w:pPr>
        <w:spacing w:after="0" w:line="211" w:lineRule="auto"/>
        <w:ind w:left="312"/>
      </w:pPr>
      <w:hyperlink w:anchor="sec031" w:history="1">
        <w:r>
          <w:rPr>
            <w:rStyle w:val="Hyperlink"/>
            <w:color w:val="22A6B3"/>
            <w:sz w:val="14"/>
            <w:szCs w:val="14"/>
          </w:rPr>
          <w:t>31. Référence PET et limites</w:t>
        </w:r>
      </w:hyperlink>
    </w:p>
    <w:p>
      <w:pPr>
        <w:spacing w:after="0" w:line="211" w:lineRule="auto"/>
        <w:ind w:left="312"/>
      </w:pPr>
      <w:hyperlink w:anchor="sec032" w:history="1">
        <w:r>
          <w:rPr>
            <w:rStyle w:val="Hyperlink"/>
            <w:color w:val="22A6B3"/>
            <w:sz w:val="14"/>
            <w:szCs w:val="14"/>
          </w:rPr>
          <w:t>32. Hétérogénéité capillaire et extraction</w:t>
        </w:r>
      </w:hyperlink>
    </w:p>
    <w:p>
      <w:pPr>
        <w:spacing w:before="60" w:after="20"/>
      </w:pPr>
      <w:hyperlink w:anchor="part06" w:history="1">
        <w:r>
          <w:rPr>
            <w:rStyle w:val="Hyperlink"/>
            <w:color w:val="12344D"/>
            <w:b/>
            <w:sz w:val="15"/>
            <w:szCs w:val="15"/>
          </w:rPr>
          <w:t>PARTIE VI — COUPLAGE NEUROVASCULAIRE ET BARRIÈRE HÉMATO-ENCÉPHALIQUE</w:t>
        </w:r>
      </w:hyperlink>
    </w:p>
    <w:p>
      <w:pPr>
        <w:spacing w:after="0" w:line="211" w:lineRule="auto"/>
        <w:ind w:left="312"/>
      </w:pPr>
      <w:hyperlink w:anchor="sec033" w:history="1">
        <w:r>
          <w:rPr>
            <w:rStyle w:val="Hyperlink"/>
            <w:color w:val="22A6B3"/>
            <w:sz w:val="14"/>
            <w:szCs w:val="14"/>
          </w:rPr>
          <w:t>33. Unité neurovasculaire</w:t>
        </w:r>
      </w:hyperlink>
    </w:p>
    <w:p>
      <w:pPr>
        <w:spacing w:after="0" w:line="211" w:lineRule="auto"/>
        <w:ind w:left="312"/>
      </w:pPr>
      <w:hyperlink w:anchor="sec034" w:history="1">
        <w:r>
          <w:rPr>
            <w:rStyle w:val="Hyperlink"/>
            <w:color w:val="22A6B3"/>
            <w:sz w:val="14"/>
            <w:szCs w:val="14"/>
          </w:rPr>
          <w:t>34. Couplage neurovasculaire</w:t>
        </w:r>
      </w:hyperlink>
    </w:p>
    <w:p>
      <w:pPr>
        <w:spacing w:after="0" w:line="211" w:lineRule="auto"/>
        <w:ind w:left="312"/>
      </w:pPr>
      <w:hyperlink w:anchor="sec035" w:history="1">
        <w:r>
          <w:rPr>
            <w:rStyle w:val="Hyperlink"/>
            <w:color w:val="22A6B3"/>
            <w:sz w:val="14"/>
            <w:szCs w:val="14"/>
          </w:rPr>
          <w:t>35. Architecture de la BBB</w:t>
        </w:r>
      </w:hyperlink>
    </w:p>
    <w:p>
      <w:pPr>
        <w:spacing w:after="0" w:line="211" w:lineRule="auto"/>
        <w:ind w:left="312"/>
      </w:pPr>
      <w:hyperlink w:anchor="sec036" w:history="1">
        <w:r>
          <w:rPr>
            <w:rStyle w:val="Hyperlink"/>
            <w:color w:val="22A6B3"/>
            <w:sz w:val="14"/>
            <w:szCs w:val="14"/>
          </w:rPr>
          <w:t>36. Ktrans, Ki, PS et espaces de distribution</w:t>
        </w:r>
      </w:hyperlink>
    </w:p>
    <w:p>
      <w:pPr>
        <w:spacing w:after="0" w:line="211" w:lineRule="auto"/>
        <w:ind w:left="312"/>
      </w:pPr>
      <w:hyperlink w:anchor="sec037" w:history="1">
        <w:r>
          <w:rPr>
            <w:rStyle w:val="Hyperlink"/>
            <w:color w:val="22A6B3"/>
            <w:sz w:val="14"/>
            <w:szCs w:val="14"/>
          </w:rPr>
          <w:t>37. Faibles fuites et limites de détection</w:t>
        </w:r>
      </w:hyperlink>
    </w:p>
    <w:p>
      <w:pPr>
        <w:spacing w:after="0" w:line="211" w:lineRule="auto"/>
        <w:ind w:left="312"/>
      </w:pPr>
      <w:hyperlink w:anchor="sec038" w:history="1">
        <w:r>
          <w:rPr>
            <w:rStyle w:val="Hyperlink"/>
            <w:color w:val="22A6B3"/>
            <w:sz w:val="14"/>
            <w:szCs w:val="14"/>
          </w:rPr>
          <w:t>38. Perméabilité, inflammation et causalité</w:t>
        </w:r>
      </w:hyperlink>
    </w:p>
    <w:p>
      <w:pPr>
        <w:spacing w:before="60" w:after="20"/>
      </w:pPr>
      <w:hyperlink w:anchor="part07" w:history="1">
        <w:r>
          <w:rPr>
            <w:rStyle w:val="Hyperlink"/>
            <w:color w:val="12344D"/>
            <w:b/>
            <w:sz w:val="15"/>
            <w:szCs w:val="15"/>
          </w:rPr>
          <w:t>PARTIE VII — MODALITÉS : COMPARAISON CONCEPTUELLE</w:t>
        </w:r>
      </w:hyperlink>
    </w:p>
    <w:p>
      <w:pPr>
        <w:spacing w:after="0" w:line="211" w:lineRule="auto"/>
        <w:ind w:left="312"/>
      </w:pPr>
      <w:hyperlink w:anchor="sec039" w:history="1">
        <w:r>
          <w:rPr>
            <w:rStyle w:val="Hyperlink"/>
            <w:color w:val="22A6B3"/>
            <w:sz w:val="14"/>
            <w:szCs w:val="14"/>
          </w:rPr>
          <w:t>39. Une modalité n'est pas un construit</w:t>
        </w:r>
      </w:hyperlink>
    </w:p>
    <w:p>
      <w:pPr>
        <w:spacing w:after="0" w:line="211" w:lineRule="auto"/>
        <w:ind w:left="312"/>
      </w:pPr>
      <w:hyperlink w:anchor="sec040" w:history="1">
        <w:r>
          <w:rPr>
            <w:rStyle w:val="Hyperlink"/>
            <w:color w:val="22A6B3"/>
            <w:sz w:val="14"/>
            <w:szCs w:val="14"/>
          </w:rPr>
          <w:t>40. Matrice transmodale</w:t>
        </w:r>
      </w:hyperlink>
    </w:p>
    <w:p>
      <w:pPr>
        <w:spacing w:after="0" w:line="211" w:lineRule="auto"/>
        <w:ind w:left="312"/>
      </w:pPr>
      <w:hyperlink w:anchor="sec041" w:history="1">
        <w:r>
          <w:rPr>
            <w:rStyle w:val="Hyperlink"/>
            <w:color w:val="22A6B3"/>
            <w:sz w:val="14"/>
            <w:szCs w:val="14"/>
          </w:rPr>
          <w:t>41. Résolution spatiale, temporelle et physiologique</w:t>
        </w:r>
      </w:hyperlink>
    </w:p>
    <w:p>
      <w:pPr>
        <w:spacing w:after="0" w:line="211" w:lineRule="auto"/>
        <w:ind w:left="312"/>
      </w:pPr>
      <w:hyperlink w:anchor="sec042" w:history="1">
        <w:r>
          <w:rPr>
            <w:rStyle w:val="Hyperlink"/>
            <w:color w:val="22A6B3"/>
            <w:sz w:val="14"/>
            <w:szCs w:val="14"/>
          </w:rPr>
          <w:t>42. Références croisées et absence de gold standard universel</w:t>
        </w:r>
      </w:hyperlink>
    </w:p>
    <w:p>
      <w:pPr>
        <w:spacing w:after="0" w:line="211" w:lineRule="auto"/>
        <w:ind w:left="312"/>
      </w:pPr>
      <w:hyperlink w:anchor="sec043" w:history="1">
        <w:r>
          <w:rPr>
            <w:rStyle w:val="Hyperlink"/>
            <w:color w:val="22A6B3"/>
            <w:sz w:val="14"/>
            <w:szCs w:val="14"/>
          </w:rPr>
          <w:t>43. Multimodalité</w:t>
        </w:r>
      </w:hyperlink>
    </w:p>
    <w:p>
      <w:pPr>
        <w:spacing w:after="0" w:line="211" w:lineRule="auto"/>
        <w:ind w:left="312"/>
      </w:pPr>
      <w:hyperlink w:anchor="sec044" w:history="1">
        <w:r>
          <w:rPr>
            <w:rStyle w:val="Hyperlink"/>
            <w:color w:val="22A6B3"/>
            <w:sz w:val="14"/>
            <w:szCs w:val="14"/>
          </w:rPr>
          <w:t>44. Statut quantitatif comparé</w:t>
        </w:r>
      </w:hyperlink>
    </w:p>
    <w:p>
      <w:pPr>
        <w:spacing w:before="60" w:after="20"/>
      </w:pPr>
      <w:hyperlink w:anchor="part08" w:history="1">
        <w:r>
          <w:rPr>
            <w:rStyle w:val="Hyperlink"/>
            <w:color w:val="12344D"/>
            <w:b/>
            <w:sz w:val="15"/>
            <w:szCs w:val="15"/>
          </w:rPr>
          <w:t>PARTIE VIII — CT PERFUSION</w:t>
        </w:r>
      </w:hyperlink>
    </w:p>
    <w:p>
      <w:pPr>
        <w:spacing w:after="0" w:line="211" w:lineRule="auto"/>
        <w:ind w:left="312"/>
      </w:pPr>
      <w:hyperlink w:anchor="sec045" w:history="1">
        <w:r>
          <w:rPr>
            <w:rStyle w:val="Hyperlink"/>
            <w:color w:val="22A6B3"/>
            <w:sz w:val="14"/>
            <w:szCs w:val="14"/>
          </w:rPr>
          <w:t>45. Formation de la mesure CTP</w:t>
        </w:r>
      </w:hyperlink>
    </w:p>
    <w:p>
      <w:pPr>
        <w:spacing w:after="0" w:line="211" w:lineRule="auto"/>
        <w:ind w:left="312"/>
      </w:pPr>
      <w:hyperlink w:anchor="sec046" w:history="1">
        <w:r>
          <w:rPr>
            <w:rStyle w:val="Hyperlink"/>
            <w:color w:val="22A6B3"/>
            <w:sz w:val="14"/>
            <w:szCs w:val="14"/>
          </w:rPr>
          <w:t>46. AIF, saturation, recirculation et rayonnement</w:t>
        </w:r>
      </w:hyperlink>
    </w:p>
    <w:p>
      <w:pPr>
        <w:spacing w:after="0" w:line="211" w:lineRule="auto"/>
        <w:ind w:left="312"/>
      </w:pPr>
      <w:hyperlink w:anchor="sec047" w:history="1">
        <w:r>
          <w:rPr>
            <w:rStyle w:val="Hyperlink"/>
            <w:color w:val="22A6B3"/>
            <w:sz w:val="14"/>
            <w:szCs w:val="14"/>
          </w:rPr>
          <w:t>47. Variabilité logicielle</w:t>
        </w:r>
      </w:hyperlink>
    </w:p>
    <w:p>
      <w:pPr>
        <w:spacing w:after="0" w:line="211" w:lineRule="auto"/>
        <w:ind w:left="312"/>
      </w:pPr>
      <w:hyperlink w:anchor="sec048" w:history="1">
        <w:r>
          <w:rPr>
            <w:rStyle w:val="Hyperlink"/>
            <w:color w:val="22A6B3"/>
            <w:sz w:val="14"/>
            <w:szCs w:val="14"/>
          </w:rPr>
          <w:t>48. Core, penumbra et ghost core</w:t>
        </w:r>
      </w:hyperlink>
    </w:p>
    <w:p>
      <w:pPr>
        <w:spacing w:before="60" w:after="20"/>
      </w:pPr>
      <w:hyperlink w:anchor="part09" w:history="1">
        <w:r>
          <w:rPr>
            <w:rStyle w:val="Hyperlink"/>
            <w:color w:val="12344D"/>
            <w:b/>
            <w:sz w:val="15"/>
            <w:szCs w:val="15"/>
          </w:rPr>
          <w:t>PARTIE IX — DSC-MRI</w:t>
        </w:r>
      </w:hyperlink>
    </w:p>
    <w:p>
      <w:pPr>
        <w:spacing w:after="0" w:line="211" w:lineRule="auto"/>
        <w:ind w:left="312"/>
      </w:pPr>
      <w:hyperlink w:anchor="sec049" w:history="1">
        <w:r>
          <w:rPr>
            <w:rStyle w:val="Hyperlink"/>
            <w:color w:val="22A6B3"/>
            <w:sz w:val="14"/>
            <w:szCs w:val="14"/>
          </w:rPr>
          <w:t>49. Principe de susceptibilité dynamique</w:t>
        </w:r>
      </w:hyperlink>
    </w:p>
    <w:p>
      <w:pPr>
        <w:spacing w:after="0" w:line="211" w:lineRule="auto"/>
        <w:ind w:left="312"/>
      </w:pPr>
      <w:hyperlink w:anchor="sec050" w:history="1">
        <w:r>
          <w:rPr>
            <w:rStyle w:val="Hyperlink"/>
            <w:color w:val="22A6B3"/>
            <w:sz w:val="14"/>
            <w:szCs w:val="14"/>
          </w:rPr>
          <w:t>50. Fuite de contraste</w:t>
        </w:r>
      </w:hyperlink>
    </w:p>
    <w:p>
      <w:pPr>
        <w:spacing w:after="0" w:line="211" w:lineRule="auto"/>
        <w:ind w:left="312"/>
      </w:pPr>
      <w:hyperlink w:anchor="sec051" w:history="1">
        <w:r>
          <w:rPr>
            <w:rStyle w:val="Hyperlink"/>
            <w:color w:val="22A6B3"/>
            <w:sz w:val="14"/>
            <w:szCs w:val="14"/>
          </w:rPr>
          <w:t>51. Normalisation, standardisation et hotspots</w:t>
        </w:r>
      </w:hyperlink>
    </w:p>
    <w:p>
      <w:pPr>
        <w:spacing w:after="0" w:line="211" w:lineRule="auto"/>
        <w:ind w:left="312"/>
      </w:pPr>
      <w:hyperlink w:anchor="sec052" w:history="1">
        <w:r>
          <w:rPr>
            <w:rStyle w:val="Hyperlink"/>
            <w:color w:val="22A6B3"/>
            <w:sz w:val="14"/>
            <w:szCs w:val="14"/>
          </w:rPr>
          <w:t>52. Robustesse DSC et erreurs invisibles</w:t>
        </w:r>
      </w:hyperlink>
    </w:p>
    <w:p>
      <w:pPr>
        <w:spacing w:before="60" w:after="20"/>
      </w:pPr>
      <w:hyperlink w:anchor="part10" w:history="1">
        <w:r>
          <w:rPr>
            <w:rStyle w:val="Hyperlink"/>
            <w:color w:val="12344D"/>
            <w:b/>
            <w:sz w:val="15"/>
            <w:szCs w:val="15"/>
          </w:rPr>
          <w:t>PARTIE X — DCE-MRI ET BARRIÈRE</w:t>
        </w:r>
      </w:hyperlink>
    </w:p>
    <w:p>
      <w:pPr>
        <w:spacing w:after="0" w:line="211" w:lineRule="auto"/>
        <w:ind w:left="312"/>
      </w:pPr>
      <w:hyperlink w:anchor="sec053" w:history="1">
        <w:r>
          <w:rPr>
            <w:rStyle w:val="Hyperlink"/>
            <w:color w:val="22A6B3"/>
            <w:sz w:val="14"/>
            <w:szCs w:val="14"/>
          </w:rPr>
          <w:t>53. Signal T1 dynamique</w:t>
        </w:r>
      </w:hyperlink>
    </w:p>
    <w:p>
      <w:pPr>
        <w:spacing w:after="0" w:line="211" w:lineRule="auto"/>
        <w:ind w:left="312"/>
      </w:pPr>
      <w:hyperlink w:anchor="sec054" w:history="1">
        <w:r>
          <w:rPr>
            <w:rStyle w:val="Hyperlink"/>
            <w:color w:val="22A6B3"/>
            <w:sz w:val="14"/>
            <w:szCs w:val="14"/>
          </w:rPr>
          <w:t>54. Familles de modèles</w:t>
        </w:r>
      </w:hyperlink>
    </w:p>
    <w:p>
      <w:pPr>
        <w:spacing w:after="0" w:line="211" w:lineRule="auto"/>
        <w:ind w:left="312"/>
      </w:pPr>
      <w:hyperlink w:anchor="sec055" w:history="1">
        <w:r>
          <w:rPr>
            <w:rStyle w:val="Hyperlink"/>
            <w:color w:val="22A6B3"/>
            <w:sz w:val="14"/>
            <w:szCs w:val="14"/>
          </w:rPr>
          <w:t>55. Faible versus forte perméabilité</w:t>
        </w:r>
      </w:hyperlink>
    </w:p>
    <w:p>
      <w:pPr>
        <w:spacing w:after="0" w:line="211" w:lineRule="auto"/>
        <w:ind w:left="312"/>
      </w:pPr>
      <w:hyperlink w:anchor="sec056" w:history="1">
        <w:r>
          <w:rPr>
            <w:rStyle w:val="Hyperlink"/>
            <w:color w:val="22A6B3"/>
            <w:sz w:val="14"/>
            <w:szCs w:val="14"/>
          </w:rPr>
          <w:t>56. DCE : sortie autorisée</w:t>
        </w:r>
      </w:hyperlink>
    </w:p>
    <w:p>
      <w:pPr>
        <w:spacing w:before="60" w:after="20"/>
      </w:pPr>
      <w:hyperlink w:anchor="part11" w:history="1">
        <w:r>
          <w:rPr>
            <w:rStyle w:val="Hyperlink"/>
            <w:color w:val="12344D"/>
            <w:b/>
            <w:sz w:val="15"/>
            <w:szCs w:val="15"/>
          </w:rPr>
          <w:t>PARTIE XI — ARTERIAL SPIN LABELING</w:t>
        </w:r>
      </w:hyperlink>
    </w:p>
    <w:p>
      <w:pPr>
        <w:spacing w:after="0" w:line="211" w:lineRule="auto"/>
        <w:ind w:left="312"/>
      </w:pPr>
      <w:hyperlink w:anchor="sec057" w:history="1">
        <w:r>
          <w:rPr>
            <w:rStyle w:val="Hyperlink"/>
            <w:color w:val="22A6B3"/>
            <w:sz w:val="14"/>
            <w:szCs w:val="14"/>
          </w:rPr>
          <w:t>57. Traceur endogène</w:t>
        </w:r>
      </w:hyperlink>
    </w:p>
    <w:p>
      <w:pPr>
        <w:spacing w:after="0" w:line="211" w:lineRule="auto"/>
        <w:ind w:left="312"/>
      </w:pPr>
      <w:hyperlink w:anchor="sec058" w:history="1">
        <w:r>
          <w:rPr>
            <w:rStyle w:val="Hyperlink"/>
            <w:color w:val="22A6B3"/>
            <w:sz w:val="14"/>
            <w:szCs w:val="14"/>
          </w:rPr>
          <w:t>58. Modèle cinétique ASL</w:t>
        </w:r>
      </w:hyperlink>
    </w:p>
    <w:p>
      <w:pPr>
        <w:spacing w:after="0" w:line="211" w:lineRule="auto"/>
        <w:ind w:left="312"/>
      </w:pPr>
      <w:hyperlink w:anchor="sec059" w:history="1">
        <w:r>
          <w:rPr>
            <w:rStyle w:val="Hyperlink"/>
            <w:color w:val="22A6B3"/>
            <w:sz w:val="14"/>
            <w:szCs w:val="14"/>
          </w:rPr>
          <w:t>59. PLD, ATT et multi-delay</w:t>
        </w:r>
      </w:hyperlink>
    </w:p>
    <w:p>
      <w:pPr>
        <w:spacing w:after="0" w:line="211" w:lineRule="auto"/>
        <w:ind w:left="312"/>
      </w:pPr>
      <w:hyperlink w:anchor="sec060" w:history="1">
        <w:r>
          <w:rPr>
            <w:rStyle w:val="Hyperlink"/>
            <w:color w:val="22A6B3"/>
            <w:sz w:val="14"/>
            <w:szCs w:val="14"/>
          </w:rPr>
          <w:t>60. Répétabilité et multicentrique ASL</w:t>
        </w:r>
      </w:hyperlink>
    </w:p>
    <w:p>
      <w:pPr>
        <w:spacing w:after="0" w:line="211" w:lineRule="auto"/>
        <w:ind w:left="312"/>
      </w:pPr>
      <w:hyperlink w:anchor="sec061" w:history="1">
        <w:r>
          <w:rPr>
            <w:rStyle w:val="Hyperlink"/>
            <w:color w:val="22A6B3"/>
            <w:sz w:val="14"/>
            <w:szCs w:val="14"/>
          </w:rPr>
          <w:t>61. ASL et populations à transit prolongé</w:t>
        </w:r>
      </w:hyperlink>
    </w:p>
    <w:p>
      <w:pPr>
        <w:spacing w:before="60" w:after="20"/>
      </w:pPr>
      <w:hyperlink w:anchor="part12" w:history="1">
        <w:r>
          <w:rPr>
            <w:rStyle w:val="Hyperlink"/>
            <w:color w:val="12344D"/>
            <w:b/>
            <w:sz w:val="15"/>
            <w:szCs w:val="15"/>
          </w:rPr>
          <w:t>PARTIE XII — PET, OEF ET IMAGERIE MULTIMODALE</w:t>
        </w:r>
      </w:hyperlink>
    </w:p>
    <w:p>
      <w:pPr>
        <w:spacing w:after="0" w:line="211" w:lineRule="auto"/>
        <w:ind w:left="312"/>
      </w:pPr>
      <w:hyperlink w:anchor="sec062" w:history="1">
        <w:r>
          <w:rPr>
            <w:rStyle w:val="Hyperlink"/>
            <w:color w:val="22A6B3"/>
            <w:sz w:val="14"/>
            <w:szCs w:val="14"/>
          </w:rPr>
          <w:t>62. PET à l'eau-15</w:t>
        </w:r>
      </w:hyperlink>
    </w:p>
    <w:p>
      <w:pPr>
        <w:spacing w:after="0" w:line="211" w:lineRule="auto"/>
        <w:ind w:left="312"/>
      </w:pPr>
      <w:hyperlink w:anchor="sec063" w:history="1">
        <w:r>
          <w:rPr>
            <w:rStyle w:val="Hyperlink"/>
            <w:color w:val="22A6B3"/>
            <w:sz w:val="14"/>
            <w:szCs w:val="14"/>
          </w:rPr>
          <w:t>63. PET à l'oxygène-15</w:t>
        </w:r>
      </w:hyperlink>
    </w:p>
    <w:p>
      <w:pPr>
        <w:spacing w:after="0" w:line="211" w:lineRule="auto"/>
        <w:ind w:left="312"/>
      </w:pPr>
      <w:hyperlink w:anchor="sec064" w:history="1">
        <w:r>
          <w:rPr>
            <w:rStyle w:val="Hyperlink"/>
            <w:color w:val="22A6B3"/>
            <w:sz w:val="14"/>
            <w:szCs w:val="14"/>
          </w:rPr>
          <w:t>64. PET/MR et méthodes MRI de métabolisme</w:t>
        </w:r>
      </w:hyperlink>
    </w:p>
    <w:p>
      <w:pPr>
        <w:spacing w:before="60" w:after="20"/>
      </w:pPr>
      <w:hyperlink w:anchor="part13" w:history="1">
        <w:r>
          <w:rPr>
            <w:rStyle w:val="Hyperlink"/>
            <w:color w:val="12344D"/>
            <w:b/>
            <w:sz w:val="15"/>
            <w:szCs w:val="15"/>
          </w:rPr>
          <w:t>PARTIE XIII — QUALITÉ, MÉTROLOGIE ET CORE LAB</w:t>
        </w:r>
      </w:hyperlink>
    </w:p>
    <w:p>
      <w:pPr>
        <w:spacing w:after="0" w:line="211" w:lineRule="auto"/>
        <w:ind w:left="312"/>
      </w:pPr>
      <w:hyperlink w:anchor="sec065" w:history="1">
        <w:r>
          <w:rPr>
            <w:rStyle w:val="Hyperlink"/>
            <w:color w:val="22A6B3"/>
            <w:sz w:val="14"/>
            <w:szCs w:val="14"/>
          </w:rPr>
          <w:t>65. Qualité en quatre étages</w:t>
        </w:r>
      </w:hyperlink>
    </w:p>
    <w:p>
      <w:pPr>
        <w:spacing w:after="0" w:line="211" w:lineRule="auto"/>
        <w:ind w:left="312"/>
      </w:pPr>
      <w:hyperlink w:anchor="sec066" w:history="1">
        <w:r>
          <w:rPr>
            <w:rStyle w:val="Hyperlink"/>
            <w:color w:val="22A6B3"/>
            <w:sz w:val="14"/>
            <w:szCs w:val="14"/>
          </w:rPr>
          <w:t>66. Exactitude, répétabilité et reproductibilité</w:t>
        </w:r>
      </w:hyperlink>
    </w:p>
    <w:p>
      <w:pPr>
        <w:spacing w:after="0" w:line="211" w:lineRule="auto"/>
        <w:ind w:left="312"/>
      </w:pPr>
      <w:hyperlink w:anchor="sec067" w:history="1">
        <w:r>
          <w:rPr>
            <w:rStyle w:val="Hyperlink"/>
            <w:color w:val="22A6B3"/>
            <w:sz w:val="14"/>
            <w:szCs w:val="14"/>
          </w:rPr>
          <w:t>67. Calibration, phantoms et digital reference objects</w:t>
        </w:r>
      </w:hyperlink>
    </w:p>
    <w:p>
      <w:pPr>
        <w:spacing w:after="0" w:line="211" w:lineRule="auto"/>
        <w:ind w:left="312"/>
      </w:pPr>
      <w:hyperlink w:anchor="sec068" w:history="1">
        <w:r>
          <w:rPr>
            <w:rStyle w:val="Hyperlink"/>
            <w:color w:val="22A6B3"/>
            <w:sz w:val="14"/>
            <w:szCs w:val="14"/>
          </w:rPr>
          <w:t>68. Harmonisation</w:t>
        </w:r>
      </w:hyperlink>
    </w:p>
    <w:p>
      <w:pPr>
        <w:spacing w:after="0" w:line="211" w:lineRule="auto"/>
        <w:ind w:left="312"/>
      </w:pPr>
      <w:hyperlink w:anchor="sec069" w:history="1">
        <w:r>
          <w:rPr>
            <w:rStyle w:val="Hyperlink"/>
            <w:color w:val="22A6B3"/>
            <w:sz w:val="14"/>
            <w:szCs w:val="14"/>
          </w:rPr>
          <w:t>69. Scénario Core Lab</w:t>
        </w:r>
      </w:hyperlink>
    </w:p>
    <w:p>
      <w:pPr>
        <w:spacing w:before="60" w:after="20"/>
      </w:pPr>
      <w:hyperlink w:anchor="part14" w:history="1">
        <w:r>
          <w:rPr>
            <w:rStyle w:val="Hyperlink"/>
            <w:color w:val="12344D"/>
            <w:b/>
            <w:sz w:val="15"/>
            <w:szCs w:val="15"/>
          </w:rPr>
          <w:t>PARTIE XIV — APPLICATIONS SCIENTIFIQUES ILLUSTRATIVES</w:t>
        </w:r>
      </w:hyperlink>
    </w:p>
    <w:p>
      <w:pPr>
        <w:spacing w:after="0" w:line="211" w:lineRule="auto"/>
        <w:ind w:left="312"/>
      </w:pPr>
      <w:hyperlink w:anchor="sec070" w:history="1">
        <w:r>
          <w:rPr>
            <w:rStyle w:val="Hyperlink"/>
            <w:color w:val="22A6B3"/>
            <w:sz w:val="14"/>
            <w:szCs w:val="14"/>
          </w:rPr>
          <w:t>70. Règle de lecture des applications</w:t>
        </w:r>
      </w:hyperlink>
    </w:p>
    <w:p>
      <w:pPr>
        <w:spacing w:after="0" w:line="211" w:lineRule="auto"/>
        <w:ind w:left="312"/>
      </w:pPr>
      <w:hyperlink w:anchor="sec071" w:history="1">
        <w:r>
          <w:rPr>
            <w:rStyle w:val="Hyperlink"/>
            <w:color w:val="22A6B3"/>
            <w:sz w:val="14"/>
            <w:szCs w:val="14"/>
          </w:rPr>
          <w:t>71. AVC aigu</w:t>
        </w:r>
      </w:hyperlink>
    </w:p>
    <w:p>
      <w:pPr>
        <w:spacing w:after="0" w:line="211" w:lineRule="auto"/>
        <w:ind w:left="312"/>
      </w:pPr>
      <w:hyperlink w:anchor="sec072" w:history="1">
        <w:r>
          <w:rPr>
            <w:rStyle w:val="Hyperlink"/>
            <w:color w:val="22A6B3"/>
            <w:sz w:val="14"/>
            <w:szCs w:val="14"/>
          </w:rPr>
          <w:t>72. AVC chronique</w:t>
        </w:r>
      </w:hyperlink>
    </w:p>
    <w:p>
      <w:pPr>
        <w:spacing w:after="0" w:line="211" w:lineRule="auto"/>
        <w:ind w:left="312"/>
      </w:pPr>
      <w:hyperlink w:anchor="sec073" w:history="1">
        <w:r>
          <w:rPr>
            <w:rStyle w:val="Hyperlink"/>
            <w:color w:val="22A6B3"/>
            <w:sz w:val="14"/>
            <w:szCs w:val="14"/>
          </w:rPr>
          <w:t>73. Thrombectomie</w:t>
        </w:r>
      </w:hyperlink>
    </w:p>
    <w:p>
      <w:pPr>
        <w:spacing w:after="0" w:line="211" w:lineRule="auto"/>
        <w:ind w:left="312"/>
      </w:pPr>
      <w:hyperlink w:anchor="sec074" w:history="1">
        <w:r>
          <w:rPr>
            <w:rStyle w:val="Hyperlink"/>
            <w:color w:val="22A6B3"/>
            <w:sz w:val="14"/>
            <w:szCs w:val="14"/>
          </w:rPr>
          <w:t>74. Vasospasme et ischémie retardée</w:t>
        </w:r>
      </w:hyperlink>
    </w:p>
    <w:p>
      <w:pPr>
        <w:spacing w:after="0" w:line="211" w:lineRule="auto"/>
        <w:ind w:left="312"/>
      </w:pPr>
      <w:hyperlink w:anchor="sec075" w:history="1">
        <w:r>
          <w:rPr>
            <w:rStyle w:val="Hyperlink"/>
            <w:color w:val="22A6B3"/>
            <w:sz w:val="14"/>
            <w:szCs w:val="14"/>
          </w:rPr>
          <w:t>75. Sténoses et occlusions chroniques</w:t>
        </w:r>
      </w:hyperlink>
    </w:p>
    <w:p>
      <w:pPr>
        <w:spacing w:after="0" w:line="211" w:lineRule="auto"/>
        <w:ind w:left="312"/>
      </w:pPr>
      <w:hyperlink w:anchor="sec076" w:history="1">
        <w:r>
          <w:rPr>
            <w:rStyle w:val="Hyperlink"/>
            <w:color w:val="22A6B3"/>
            <w:sz w:val="14"/>
            <w:szCs w:val="14"/>
          </w:rPr>
          <w:t>76. Neuro-oncologie</w:t>
        </w:r>
      </w:hyperlink>
    </w:p>
    <w:p>
      <w:pPr>
        <w:spacing w:after="0" w:line="211" w:lineRule="auto"/>
        <w:ind w:left="312"/>
      </w:pPr>
      <w:hyperlink w:anchor="sec077" w:history="1">
        <w:r>
          <w:rPr>
            <w:rStyle w:val="Hyperlink"/>
            <w:color w:val="22A6B3"/>
            <w:sz w:val="14"/>
            <w:szCs w:val="14"/>
          </w:rPr>
          <w:t>77. Traumatisme crânien</w:t>
        </w:r>
      </w:hyperlink>
    </w:p>
    <w:p>
      <w:pPr>
        <w:spacing w:after="0" w:line="211" w:lineRule="auto"/>
        <w:ind w:left="312"/>
      </w:pPr>
      <w:hyperlink w:anchor="sec078" w:history="1">
        <w:r>
          <w:rPr>
            <w:rStyle w:val="Hyperlink"/>
            <w:color w:val="22A6B3"/>
            <w:sz w:val="14"/>
            <w:szCs w:val="14"/>
          </w:rPr>
          <w:t>78. Démences et maladies neurodégénératives</w:t>
        </w:r>
      </w:hyperlink>
    </w:p>
    <w:p>
      <w:pPr>
        <w:spacing w:after="0" w:line="211" w:lineRule="auto"/>
        <w:ind w:left="312"/>
      </w:pPr>
      <w:hyperlink w:anchor="sec079" w:history="1">
        <w:r>
          <w:rPr>
            <w:rStyle w:val="Hyperlink"/>
            <w:color w:val="22A6B3"/>
            <w:sz w:val="14"/>
            <w:szCs w:val="14"/>
          </w:rPr>
          <w:t>79. Recherche translationnelle</w:t>
        </w:r>
      </w:hyperlink>
    </w:p>
    <w:p>
      <w:pPr>
        <w:spacing w:after="0" w:line="211" w:lineRule="auto"/>
        <w:ind w:left="312"/>
      </w:pPr>
      <w:hyperlink w:anchor="sec080" w:history="1">
        <w:r>
          <w:rPr>
            <w:rStyle w:val="Hyperlink"/>
            <w:color w:val="22A6B3"/>
            <w:sz w:val="14"/>
            <w:szCs w:val="14"/>
          </w:rPr>
          <w:t>80. Synthèse comparative des applications</w:t>
        </w:r>
      </w:hyperlink>
    </w:p>
    <w:p>
      <w:pPr>
        <w:spacing w:before="60" w:after="20"/>
      </w:pPr>
      <w:hyperlink w:anchor="part15" w:history="1">
        <w:r>
          <w:rPr>
            <w:rStyle w:val="Hyperlink"/>
            <w:color w:val="12344D"/>
            <w:b/>
            <w:sz w:val="15"/>
            <w:szCs w:val="15"/>
          </w:rPr>
          <w:t>PARTIE XV — POPULATIONS, CONTEXTES ET TRANSFÉRABILITÉ</w:t>
        </w:r>
      </w:hyperlink>
    </w:p>
    <w:p>
      <w:pPr>
        <w:spacing w:after="0" w:line="211" w:lineRule="auto"/>
        <w:ind w:left="312"/>
      </w:pPr>
      <w:hyperlink w:anchor="sec081" w:history="1">
        <w:r>
          <w:rPr>
            <w:rStyle w:val="Hyperlink"/>
            <w:color w:val="22A6B3"/>
            <w:sz w:val="14"/>
            <w:szCs w:val="14"/>
          </w:rPr>
          <w:t>81. Âge, développement et vieillissement</w:t>
        </w:r>
      </w:hyperlink>
    </w:p>
    <w:p>
      <w:pPr>
        <w:spacing w:after="0" w:line="211" w:lineRule="auto"/>
        <w:ind w:left="312"/>
      </w:pPr>
      <w:hyperlink w:anchor="sec082" w:history="1">
        <w:r>
          <w:rPr>
            <w:rStyle w:val="Hyperlink"/>
            <w:color w:val="22A6B3"/>
            <w:sz w:val="14"/>
            <w:szCs w:val="14"/>
          </w:rPr>
          <w:t>82. Matière grise, matière blanche et atrophie</w:t>
        </w:r>
      </w:hyperlink>
    </w:p>
    <w:p>
      <w:pPr>
        <w:spacing w:after="0" w:line="211" w:lineRule="auto"/>
        <w:ind w:left="312"/>
      </w:pPr>
      <w:hyperlink w:anchor="sec083" w:history="1">
        <w:r>
          <w:rPr>
            <w:rStyle w:val="Hyperlink"/>
            <w:color w:val="22A6B3"/>
            <w:sz w:val="14"/>
            <w:szCs w:val="14"/>
          </w:rPr>
          <w:t>83. Physiologie systémique et soins critiques</w:t>
        </w:r>
      </w:hyperlink>
    </w:p>
    <w:p>
      <w:pPr>
        <w:spacing w:after="0" w:line="211" w:lineRule="auto"/>
        <w:ind w:left="312"/>
      </w:pPr>
      <w:hyperlink w:anchor="sec084" w:history="1">
        <w:r>
          <w:rPr>
            <w:rStyle w:val="Hyperlink"/>
            <w:color w:val="22A6B3"/>
            <w:sz w:val="14"/>
            <w:szCs w:val="14"/>
          </w:rPr>
          <w:t>84. Non-évaluabilité et données manquantes</w:t>
        </w:r>
      </w:hyperlink>
    </w:p>
    <w:p>
      <w:pPr>
        <w:spacing w:before="60" w:after="20"/>
      </w:pPr>
      <w:hyperlink w:anchor="part16" w:history="1">
        <w:r>
          <w:rPr>
            <w:rStyle w:val="Hyperlink"/>
            <w:color w:val="12344D"/>
            <w:b/>
            <w:sz w:val="15"/>
            <w:szCs w:val="15"/>
          </w:rPr>
          <w:t>PARTIE XVI — CONSTRUITS, OBJECTIFS ET HYPOTHÈSES</w:t>
        </w:r>
      </w:hyperlink>
    </w:p>
    <w:p>
      <w:pPr>
        <w:spacing w:after="0" w:line="211" w:lineRule="auto"/>
        <w:ind w:left="312"/>
      </w:pPr>
      <w:hyperlink w:anchor="sec085" w:history="1">
        <w:r>
          <w:rPr>
            <w:rStyle w:val="Hyperlink"/>
            <w:color w:val="22A6B3"/>
            <w:sz w:val="14"/>
            <w:szCs w:val="14"/>
          </w:rPr>
          <w:t>85. Bibliothèque de construits NPM-C01 à NPM-C20</w:t>
        </w:r>
      </w:hyperlink>
    </w:p>
    <w:p>
      <w:pPr>
        <w:spacing w:after="0" w:line="211" w:lineRule="auto"/>
        <w:ind w:left="312"/>
      </w:pPr>
      <w:hyperlink w:anchor="sec086" w:history="1">
        <w:r>
          <w:rPr>
            <w:rStyle w:val="Hyperlink"/>
            <w:color w:val="22A6B3"/>
            <w:sz w:val="14"/>
            <w:szCs w:val="14"/>
          </w:rPr>
          <w:t>86. Objectifs scientifiques NPM-O01 à NPM-O20</w:t>
        </w:r>
      </w:hyperlink>
    </w:p>
    <w:p>
      <w:pPr>
        <w:spacing w:after="0" w:line="211" w:lineRule="auto"/>
        <w:ind w:left="312"/>
      </w:pPr>
      <w:hyperlink w:anchor="sec087" w:history="1">
        <w:r>
          <w:rPr>
            <w:rStyle w:val="Hyperlink"/>
            <w:color w:val="22A6B3"/>
            <w:sz w:val="14"/>
            <w:szCs w:val="14"/>
          </w:rPr>
          <w:t>87. Hypothèses réfutables NPM-H01 à NPM-H20</w:t>
        </w:r>
      </w:hyperlink>
    </w:p>
    <w:p>
      <w:pPr>
        <w:spacing w:before="60" w:after="20"/>
      </w:pPr>
      <w:hyperlink w:anchor="part17" w:history="1">
        <w:r>
          <w:rPr>
            <w:rStyle w:val="Hyperlink"/>
            <w:color w:val="12344D"/>
            <w:b/>
            <w:sz w:val="15"/>
            <w:szCs w:val="15"/>
          </w:rPr>
          <w:t>PARTIE XVII — DÉCISIONS SCIENTIFIQUES SUCCESSIVES</w:t>
        </w:r>
      </w:hyperlink>
    </w:p>
    <w:p>
      <w:pPr>
        <w:spacing w:after="0" w:line="211" w:lineRule="auto"/>
        <w:ind w:left="312"/>
      </w:pPr>
      <w:hyperlink w:anchor="sec088" w:history="1">
        <w:r>
          <w:rPr>
            <w:rStyle w:val="Hyperlink"/>
            <w:color w:val="22A6B3"/>
            <w:sz w:val="14"/>
            <w:szCs w:val="14"/>
          </w:rPr>
          <w:t>88. Chaîne NPM-D00 à NPM-D20</w:t>
        </w:r>
      </w:hyperlink>
    </w:p>
    <w:p>
      <w:pPr>
        <w:spacing w:before="60" w:after="20"/>
      </w:pPr>
      <w:hyperlink w:anchor="part18" w:history="1">
        <w:r>
          <w:rPr>
            <w:rStyle w:val="Hyperlink"/>
            <w:color w:val="12344D"/>
            <w:b/>
            <w:sz w:val="15"/>
            <w:szCs w:val="15"/>
          </w:rPr>
          <w:t>PARTIE XVIII — CONDITIONS DE REFUS</w:t>
        </w:r>
      </w:hyperlink>
    </w:p>
    <w:p>
      <w:pPr>
        <w:spacing w:after="0" w:line="211" w:lineRule="auto"/>
        <w:ind w:left="312"/>
      </w:pPr>
      <w:hyperlink w:anchor="sec089" w:history="1">
        <w:r>
          <w:rPr>
            <w:rStyle w:val="Hyperlink"/>
            <w:color w:val="22A6B3"/>
            <w:sz w:val="14"/>
            <w:szCs w:val="14"/>
          </w:rPr>
          <w:t>89. Gate NPM-RF01 à NPM-RF26</w:t>
        </w:r>
      </w:hyperlink>
    </w:p>
    <w:p>
      <w:pPr>
        <w:spacing w:after="0" w:line="211" w:lineRule="auto"/>
        <w:ind w:left="312"/>
      </w:pPr>
      <w:hyperlink w:anchor="sec090" w:history="1">
        <w:r>
          <w:rPr>
            <w:rStyle w:val="Hyperlink"/>
            <w:color w:val="22A6B3"/>
            <w:sz w:val="14"/>
            <w:szCs w:val="14"/>
          </w:rPr>
          <w:t>90. États de sortie</w:t>
        </w:r>
      </w:hyperlink>
    </w:p>
    <w:p>
      <w:pPr>
        <w:spacing w:before="60" w:after="20"/>
      </w:pPr>
      <w:hyperlink w:anchor="part19" w:history="1">
        <w:r>
          <w:rPr>
            <w:rStyle w:val="Hyperlink"/>
            <w:color w:val="12344D"/>
            <w:b/>
            <w:sz w:val="15"/>
            <w:szCs w:val="15"/>
          </w:rPr>
          <w:t>PARTIE XIX — EVIDENCE MAP, CONTROVERSES ET KNOWLEDGE GAPS</w:t>
        </w:r>
      </w:hyperlink>
    </w:p>
    <w:p>
      <w:pPr>
        <w:spacing w:after="0" w:line="211" w:lineRule="auto"/>
        <w:ind w:left="312"/>
      </w:pPr>
      <w:hyperlink w:anchor="sec091" w:history="1">
        <w:r>
          <w:rPr>
            <w:rStyle w:val="Hyperlink"/>
            <w:color w:val="22A6B3"/>
            <w:sz w:val="14"/>
            <w:szCs w:val="14"/>
          </w:rPr>
          <w:t>91. Evidence Map NPM-A01 à NPM-A22</w:t>
        </w:r>
      </w:hyperlink>
    </w:p>
    <w:p>
      <w:pPr>
        <w:spacing w:after="0" w:line="211" w:lineRule="auto"/>
        <w:ind w:left="312"/>
      </w:pPr>
      <w:hyperlink w:anchor="sec092" w:history="1">
        <w:r>
          <w:rPr>
            <w:rStyle w:val="Hyperlink"/>
            <w:color w:val="22A6B3"/>
            <w:sz w:val="14"/>
            <w:szCs w:val="14"/>
          </w:rPr>
          <w:t>92. Controverses conservées</w:t>
        </w:r>
      </w:hyperlink>
    </w:p>
    <w:p>
      <w:pPr>
        <w:spacing w:after="0" w:line="211" w:lineRule="auto"/>
        <w:ind w:left="312"/>
      </w:pPr>
      <w:hyperlink w:anchor="sec093" w:history="1">
        <w:r>
          <w:rPr>
            <w:rStyle w:val="Hyperlink"/>
            <w:color w:val="22A6B3"/>
            <w:sz w:val="14"/>
            <w:szCs w:val="14"/>
          </w:rPr>
          <w:t>93. Biais majeurs</w:t>
        </w:r>
      </w:hyperlink>
    </w:p>
    <w:p>
      <w:pPr>
        <w:spacing w:after="0" w:line="211" w:lineRule="auto"/>
        <w:ind w:left="312"/>
      </w:pPr>
      <w:hyperlink w:anchor="sec094" w:history="1">
        <w:r>
          <w:rPr>
            <w:rStyle w:val="Hyperlink"/>
            <w:color w:val="22A6B3"/>
            <w:sz w:val="14"/>
            <w:szCs w:val="14"/>
          </w:rPr>
          <w:t>94. Knowledge Gaps KG-NPM-01 à KG-NPM-24</w:t>
        </w:r>
      </w:hyperlink>
    </w:p>
    <w:p>
      <w:pPr>
        <w:spacing w:after="0" w:line="211" w:lineRule="auto"/>
        <w:ind w:left="312"/>
      </w:pPr>
      <w:hyperlink w:anchor="sec095" w:history="1">
        <w:r>
          <w:rPr>
            <w:rStyle w:val="Hyperlink"/>
            <w:color w:val="22A6B3"/>
            <w:sz w:val="14"/>
            <w:szCs w:val="14"/>
          </w:rPr>
          <w:t>95. Questions ouvertes</w:t>
        </w:r>
      </w:hyperlink>
    </w:p>
    <w:p>
      <w:pPr>
        <w:spacing w:before="60" w:after="20"/>
      </w:pPr>
      <w:hyperlink w:anchor="part20" w:history="1">
        <w:r>
          <w:rPr>
            <w:rStyle w:val="Hyperlink"/>
            <w:color w:val="12344D"/>
            <w:b/>
            <w:sz w:val="15"/>
            <w:szCs w:val="15"/>
          </w:rPr>
          <w:t>PARTIE XX — LANGAGE, ÉVOLUTION ET CONCLUSION</w:t>
        </w:r>
      </w:hyperlink>
    </w:p>
    <w:p>
      <w:pPr>
        <w:spacing w:after="0" w:line="211" w:lineRule="auto"/>
        <w:ind w:left="312"/>
      </w:pPr>
      <w:hyperlink w:anchor="sec096" w:history="1">
        <w:r>
          <w:rPr>
            <w:rStyle w:val="Hyperlink"/>
            <w:color w:val="22A6B3"/>
            <w:sz w:val="14"/>
            <w:szCs w:val="14"/>
          </w:rPr>
          <w:t>96. Glossaire contrôlé</w:t>
        </w:r>
      </w:hyperlink>
    </w:p>
    <w:p>
      <w:pPr>
        <w:spacing w:after="0" w:line="211" w:lineRule="auto"/>
        <w:ind w:left="312"/>
      </w:pPr>
      <w:hyperlink w:anchor="sec097" w:history="1">
        <w:r>
          <w:rPr>
            <w:rStyle w:val="Hyperlink"/>
            <w:color w:val="22A6B3"/>
            <w:sz w:val="14"/>
            <w:szCs w:val="14"/>
          </w:rPr>
          <w:t>97. Formulations autorisées et prohibées</w:t>
        </w:r>
      </w:hyperlink>
    </w:p>
    <w:p>
      <w:pPr>
        <w:spacing w:after="0" w:line="211" w:lineRule="auto"/>
        <w:ind w:left="312"/>
      </w:pPr>
      <w:hyperlink w:anchor="sec098" w:history="1">
        <w:r>
          <w:rPr>
            <w:rStyle w:val="Hyperlink"/>
            <w:color w:val="22A6B3"/>
            <w:sz w:val="14"/>
            <w:szCs w:val="14"/>
          </w:rPr>
          <w:t>98. Cycle de vie</w:t>
        </w:r>
      </w:hyperlink>
    </w:p>
    <w:p>
      <w:pPr>
        <w:spacing w:after="0" w:line="211" w:lineRule="auto"/>
        <w:ind w:left="312"/>
      </w:pPr>
      <w:hyperlink w:anchor="sec099" w:history="1">
        <w:r>
          <w:rPr>
            <w:rStyle w:val="Hyperlink"/>
            <w:color w:val="22A6B3"/>
            <w:sz w:val="14"/>
            <w:szCs w:val="14"/>
          </w:rPr>
          <w:t>99. Conclusion</w:t>
        </w:r>
      </w:hyperlink>
    </w:p>
    <w:p>
      <w:pPr>
        <w:spacing w:before="100"/>
      </w:pPr>
      <w:hyperlink w:anchor="part21" w:history="1">
        <w:r>
          <w:rPr>
            <w:rStyle w:val="Hyperlink"/>
            <w:color w:val="12344D"/>
            <w:b/>
            <w:sz w:val="15"/>
            <w:szCs w:val="15"/>
          </w:rPr>
          <w:t>PARTIE XXI — RÉFÉRENCES SCIENTIFIQUES</w:t>
        </w:r>
      </w:hyperlink>
    </w:p>
    <w:p>
      <w:pPr>
        <w:ind w:left="312"/>
      </w:pPr>
      <w:hyperlink w:anchor="sec100" w:history="1">
        <w:r>
          <w:rPr>
            <w:rStyle w:val="Hyperlink"/>
            <w:color w:val="22A6B3"/>
            <w:sz w:val="14"/>
            <w:szCs w:val="14"/>
          </w:rPr>
          <w:t>100. Politique de traçabilité et références R01–R65</w:t>
        </w:r>
      </w:hyperlink>
    </w:p>
    <w:p>
      <w:bookmarkStart w:id="10" w:name="part01"/>
      <w:pPr>
        <w:pStyle w:val="Heading1"/>
        <w:keepNext/>
        <w:keepLines/>
        <w:pageBreakBefore/>
      </w:pPr>
      <w:r>
        <w:t>PARTIE I — AUTORITÉ, STATUT ET PÉRIMÈTRE</w:t>
      </w:r>
      <w:bookmarkEnd w:id="10"/>
    </w:p>
    <w:p>
      <w:pPr>
        <w:spacing w:after="160"/>
      </w:pPr>
      <w:hyperlink w:anchor="TOC" w:history="1">
        <w:r>
          <w:rPr>
            <w:rStyle w:val="Hyperlink"/>
            <w:color w:val="667085"/>
          </w:rPr>
          <w:t>↑ Retour au sommaire</w:t>
        </w:r>
      </w:hyperlink>
    </w:p>
    <w:p>
      <w:bookmarkStart w:id="11" w:name="sec001"/>
      <w:pPr>
        <w:pStyle w:val="Heading2"/>
      </w:pPr>
      <w:r>
        <w:t>1. Identité documentaire</w:t>
      </w:r>
      <w:bookmarkEnd w:id="11"/>
    </w:p>
    <w:p>
      <w:pPr>
        <w:widowControl/>
        <w:spacing w:after="100" w:line="259" w:lineRule="auto"/>
      </w:pPr>
      <w:r>
        <w:rPr>
          <w:rFonts w:ascii="Aptos" w:hAnsi="Aptos" w:eastAsia="Aptos"/>
          <w:color w:val="24323D"/>
          <w:sz w:val="18"/>
        </w:rPr>
        <w:t>Titre officiel : Reasoning Book 05 — Neuro Perfusion &amp; Metabolism Foundations. Programme propriétaire : NXP-000003 — Neuro Perfusion &amp; Metabolism. Niveau documentaire : NIVEAU_2. Version : 1.0. Source maîtresse : DOCX. Dérivé contrôlé : PDF. État des connaissances : 3 août 2026.</w:t>
      </w:r>
    </w:p>
    <w:p>
      <w:pPr>
        <w:widowControl/>
        <w:spacing w:after="100" w:line="259" w:lineRule="auto"/>
      </w:pPr>
      <w:r>
        <w:rPr>
          <w:rFonts w:ascii="Aptos" w:hAnsi="Aptos" w:eastAsia="Aptos"/>
          <w:color w:val="24323D"/>
          <w:sz w:val="18"/>
        </w:rPr>
        <w:t>RB-005 est un corpus scientifique daté. Il rend explicites les construits, mesures, modèles, limites, controverses et décisions de recherche relatifs à l'hémodynamique, l'oxygénation, le métabolisme et la barrière hémato-encéphalique. Il ne prescrit aucun examen, ne fixe aucun paramètre d'acquisition, ne recommande aucune prise en charge et ne produit aucune décision individuelle.</w:t>
      </w:r>
    </w:p>
    <w:p>
      <w:pPr>
        <w:widowControl/>
        <w:spacing w:after="100" w:line="259" w:lineRule="auto"/>
      </w:pPr>
      <w:r>
        <w:rPr>
          <w:rFonts w:ascii="Aptos" w:hAnsi="Aptos" w:eastAsia="Aptos"/>
          <w:color w:val="24323D"/>
          <w:sz w:val="18"/>
        </w:rPr>
        <w:t>L'admission documentaire éventuelle dans PD-013 constate seulement l'existence et l'ownership du corpus. Elle ne vaut ni revue scientifique humaine, ni PASS PD-011, ni activation produit, ni publication publique, ni création d'assertions exécutables dans le Scientific Knowledge Graph.</w:t>
      </w:r>
    </w:p>
    <w:p>
      <w:bookmarkStart w:id="12" w:name="sec002"/>
      <w:pPr>
        <w:pStyle w:val="Heading2"/>
      </w:pPr>
      <w:r>
        <w:t>2. Mandat scientifique</w:t>
      </w:r>
      <w:bookmarkEnd w:id="12"/>
    </w:p>
    <w:p>
      <w:pPr>
        <w:widowControl/>
        <w:spacing w:after="100" w:line="259" w:lineRule="auto"/>
      </w:pPr>
      <w:r>
        <w:rPr>
          <w:rFonts w:ascii="Aptos" w:hAnsi="Aptos" w:eastAsia="Aptos"/>
          <w:color w:val="24323D"/>
          <w:sz w:val="18"/>
        </w:rPr>
        <w:t>Le mandat est de construire la grammaire commune reliant une perturbation physiologique à une information d'imagerie : état vasculaire et métabolique → transport d'un traceur ou contraste endogène → signal instrumenté → reconstruction → observable → estimateur → contrôle qualité → incertitude → contexte d'usage.</w:t>
      </w:r>
    </w:p>
    <w:p>
      <w:pPr>
        <w:widowControl/>
        <w:spacing w:after="100" w:line="259" w:lineRule="auto"/>
      </w:pPr>
      <w:r>
        <w:rPr>
          <w:rFonts w:ascii="Aptos" w:hAnsi="Aptos" w:eastAsia="Aptos"/>
          <w:color w:val="24323D"/>
          <w:sz w:val="18"/>
        </w:rPr>
        <w:t>Le livre couvre CBF, CBV, MTT, TTP, Tmax, cartes de délai, temps de transit artériel, OEF, CMRO₂, délivrance en oxygène, autorégulation, réactivité cérébrovasculaire, couplage neurovasculaire, circulation collatérale, microcirculation et barrière hémato-encéphalique. Il compare CTP, DSC-MRI, DCE-MRI, ASL et PET sans désigner de modalité supérieure en toute situation.</w:t>
      </w:r>
    </w:p>
    <w:p>
      <w:pPr>
        <w:spacing w:before="80" w:after="140"/>
        <w:ind w:left="369" w:right="255"/>
        <w:pBdr>
          <w:left w:val="single" w:sz="18" w:space="8" w:color="22A6B3"/>
        </w:pBdr>
      </w:pPr>
      <w:r>
        <w:rPr>
          <w:rFonts w:ascii="Aptos" w:hAnsi="Aptos" w:eastAsia="Aptos"/>
          <w:b/>
          <w:color w:val="12344D"/>
          <w:sz w:val="19"/>
        </w:rPr>
        <w:t>Règle centrale : aucune carte ne reçoit plus d'autorité que la chaîne de mesure, le modèle et le domaine qui l'ont produite.</w:t>
      </w:r>
    </w:p>
    <w:p>
      <w:bookmarkStart w:id="13" w:name="sec003"/>
      <w:pPr>
        <w:pStyle w:val="Heading2"/>
      </w:pPr>
      <w:r>
        <w:t>3. Question centrale</w:t>
      </w:r>
      <w:bookmarkEnd w:id="13"/>
    </w:p>
    <w:p>
      <w:pPr>
        <w:widowControl/>
        <w:spacing w:after="100" w:line="259" w:lineRule="auto"/>
      </w:pPr>
      <w:r>
        <w:rPr>
          <w:rFonts w:ascii="Aptos" w:hAnsi="Aptos" w:eastAsia="Aptos"/>
          <w:color w:val="24323D"/>
          <w:sz w:val="18"/>
        </w:rPr>
        <w:t>Comment étudier scientifiquement la perfusion et le métabolisme cérébral sans confondre flux, volume, temps, retard, oxygénation, perméabilité, viabilité tissulaire et bénéfice clinique ?</w:t>
      </w:r>
    </w:p>
    <w:p>
      <w:pPr>
        <w:widowControl/>
        <w:spacing w:after="100" w:line="259" w:lineRule="auto"/>
      </w:pPr>
      <w:r>
        <w:rPr>
          <w:rFonts w:ascii="Aptos" w:hAnsi="Aptos" w:eastAsia="Aptos"/>
          <w:color w:val="24323D"/>
          <w:sz w:val="18"/>
        </w:rPr>
        <w:t>La difficulté vient de ce que des cartes portant le même nom peuvent être construites par des signaux, hypothèses et normalisations différents. À l'inverse, plusieurs modalités peuvent viser un même construit sans mesurer le même compartiment, la même fenêtre temporelle ni la même composante vasculaire.</w:t>
      </w:r>
    </w:p>
    <w:p>
      <w:bookmarkStart w:id="14" w:name="sec004"/>
      <w:pPr>
        <w:pStyle w:val="Heading2"/>
      </w:pPr>
      <w:r>
        <w:t>4. Frontières positives et négatives</w:t>
      </w:r>
      <w:bookmarkEnd w:id="14"/>
    </w:p>
    <w:p>
      <w:pPr>
        <w:pStyle w:val="ListBullet"/>
        <w:spacing w:after="50" w:line="247" w:lineRule="auto"/>
      </w:pPr>
      <w:r>
        <w:rPr>
          <w:rFonts w:ascii="Aptos" w:hAnsi="Aptos" w:eastAsia="Aptos"/>
          <w:color w:val="24323D"/>
          <w:sz w:val="18"/>
        </w:rPr>
        <w:t>Inclus : physiologie cérébrovasculaire, dilution de traceur, déconvolution, modèles cinétiques, mesure de l'oxygène, qualité, répétabilité, reproductibilité, harmonisation, étalonnage et incertitude.</w:t>
      </w:r>
    </w:p>
    <w:p>
      <w:pPr>
        <w:pStyle w:val="ListBullet"/>
        <w:spacing w:after="50" w:line="247" w:lineRule="auto"/>
      </w:pPr>
      <w:r>
        <w:rPr>
          <w:rFonts w:ascii="Aptos" w:hAnsi="Aptos" w:eastAsia="Aptos"/>
          <w:color w:val="24323D"/>
          <w:sz w:val="18"/>
        </w:rPr>
        <w:t>Inclus à titre illustratif : AVC aigu et chronique, thrombectomie, vasospasme, sténoses, neuro-oncologie, traumatisme, démences et recherche translationnelle.</w:t>
      </w:r>
    </w:p>
    <w:p>
      <w:pPr>
        <w:pStyle w:val="ListBullet"/>
        <w:spacing w:after="50" w:line="247" w:lineRule="auto"/>
      </w:pPr>
      <w:r>
        <w:rPr>
          <w:rFonts w:ascii="Aptos" w:hAnsi="Aptos" w:eastAsia="Aptos"/>
          <w:color w:val="24323D"/>
          <w:sz w:val="18"/>
        </w:rPr>
        <w:t>Exclus : protocole clinique, plan d'acquisition exécutable, dose, injection, séquence de soin, seuil universel, indication individuelle, recommandation thérapeutique ou comparaison commerciale.</w:t>
      </w:r>
    </w:p>
    <w:p>
      <w:pPr>
        <w:pStyle w:val="ListBullet"/>
        <w:spacing w:after="50" w:line="247" w:lineRule="auto"/>
      </w:pPr>
      <w:r>
        <w:rPr>
          <w:rFonts w:ascii="Aptos" w:hAnsi="Aptos" w:eastAsia="Aptos"/>
          <w:color w:val="24323D"/>
          <w:sz w:val="18"/>
        </w:rPr>
        <w:t>Exclus : implémentation, interface, stockage, moteur décisionnel, code, automatisation ou création automatique de connaissance.</w:t>
      </w:r>
    </w:p>
    <w:p>
      <w:pPr>
        <w:pStyle w:val="ListBullet"/>
        <w:spacing w:after="50" w:line="247" w:lineRule="auto"/>
      </w:pPr>
      <w:r>
        <w:rPr>
          <w:rFonts w:ascii="Aptos" w:hAnsi="Aptos" w:eastAsia="Aptos"/>
          <w:color w:val="24323D"/>
          <w:sz w:val="18"/>
        </w:rPr>
        <w:t>Exclus : chapitre pathologique complet. Chaque application reste une démonstration de construits et de limites.</w:t>
      </w:r>
    </w:p>
    <w:p>
      <w:bookmarkStart w:id="15" w:name="sec005"/>
      <w:pPr>
        <w:pStyle w:val="Heading2"/>
      </w:pPr>
      <w:r>
        <w:t>5. Catégories documentaires explicitement séparées</w:t>
      </w:r>
      <w:bookmarkEnd w:id="15"/>
    </w:p>
    <w:p>
      <w:pPr>
        <w:pStyle w:val="Caption"/>
        <w:spacing w:before="120" w:after="60"/>
        <w:jc w:val="left"/>
        <w:keepNext/>
        <w:keepLines/>
      </w:pPr>
      <w:r>
        <w:rPr>
          <w:rFonts w:ascii="Aptos" w:hAnsi="Aptos" w:eastAsia="Aptos"/>
          <w:b/>
          <w:color w:val="667085"/>
          <w:sz w:val="16"/>
        </w:rPr>
        <w:t>Tableau 2 — Discipline de gouvernance</w:t>
      </w:r>
    </w:p>
    <w:tbl>
      <w:tblPr>
        <w:tblStyle w:val="TableGrid"/>
        <w:tblW w:type="dxa" w:w="9836"/>
        <w:jc w:val="center"/>
        <w:tblLayout w:type="fixed"/>
        <w:tblLook w:firstColumn="1" w:firstRow="1" w:lastColumn="0" w:lastRow="0" w:noHBand="0" w:noVBand="1" w:val="04A0"/>
        <w:tblInd w:w="90" w:type="dxa"/>
      </w:tblPr>
      <w:tblGrid>
        <w:gridCol w:w="1809"/>
        <w:gridCol w:w="5201"/>
        <w:gridCol w:w="2826"/>
      </w:tblGrid>
      <w:tr>
        <w:trPr>
          <w:tblHeader w:val="true"/>
          <w:cantSplit/>
        </w:trPr>
        <w:tc>
          <w:tcPr>
            <w:tcW w:type="dxa" w:w="1809"/>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Catégorie</w:t>
            </w:r>
          </w:p>
        </w:tc>
        <w:tc>
          <w:tcPr>
            <w:tcW w:type="dxa" w:w="520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Contenu applicable</w:t>
            </w:r>
          </w:p>
        </w:tc>
        <w:tc>
          <w:tcPr>
            <w:tcW w:type="dxa" w:w="282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Conséquence</w:t>
            </w:r>
          </w:p>
        </w:tc>
      </w:tr>
      <w:tr>
        <w:trPr>
          <w:cantSplit/>
        </w:trPr>
        <w:tc>
          <w:tcPr>
            <w:tcW w:type="dxa" w:w="1809"/>
            <w:vAlign w:val="top"/>
            <w:tcMar>
              <w:top w:w="70" w:type="dxa"/>
              <w:start w:w="90" w:type="dxa"/>
              <w:bottom w:w="70" w:type="dxa"/>
              <w:end w:w="90" w:type="dxa"/>
            </w:tcMar>
          </w:tcPr>
          <w:p>
            <w:pPr>
              <w:spacing w:after="0" w:line="240" w:lineRule="auto"/>
            </w:pPr>
            <w:r>
              <w:rPr>
                <w:rFonts w:ascii="Aptos" w:hAnsi="Aptos" w:eastAsia="Aptos"/>
                <w:color w:val="24323D"/>
                <w:sz w:val="14"/>
              </w:rPr>
              <w:t>Principes établis</w:t>
            </w:r>
          </w:p>
        </w:tc>
        <w:tc>
          <w:tcPr>
            <w:tcW w:type="dxa" w:w="5201"/>
            <w:vAlign w:val="top"/>
            <w:tcMar>
              <w:top w:w="70" w:type="dxa"/>
              <w:start w:w="90" w:type="dxa"/>
              <w:bottom w:w="70" w:type="dxa"/>
              <w:end w:w="90" w:type="dxa"/>
            </w:tcMar>
          </w:tcPr>
          <w:p>
            <w:pPr>
              <w:spacing w:after="0" w:line="240" w:lineRule="auto"/>
            </w:pPr>
            <w:r>
              <w:rPr>
                <w:rFonts w:ascii="Aptos" w:hAnsi="Aptos" w:eastAsia="Aptos"/>
                <w:color w:val="24323D"/>
                <w:sz w:val="14"/>
              </w:rPr>
              <w:t>Science avant technologie ; phénomène avant biomarqueur ; traçabilité ; responsabilité humaine ; limites visibles.</w:t>
            </w:r>
          </w:p>
        </w:tc>
        <w:tc>
          <w:tcPr>
            <w:tcW w:type="dxa" w:w="2826"/>
            <w:vAlign w:val="top"/>
            <w:tcMar>
              <w:top w:w="70" w:type="dxa"/>
              <w:start w:w="90" w:type="dxa"/>
              <w:bottom w:w="70" w:type="dxa"/>
              <w:end w:w="90" w:type="dxa"/>
            </w:tcMar>
          </w:tcPr>
          <w:p>
            <w:pPr>
              <w:spacing w:after="0" w:line="240" w:lineRule="auto"/>
            </w:pPr>
            <w:r>
              <w:rPr>
                <w:rFonts w:ascii="Aptos" w:hAnsi="Aptos" w:eastAsia="Aptos"/>
                <w:color w:val="24323D"/>
                <w:sz w:val="14"/>
              </w:rPr>
              <w:t>Contraintes supérieures, non révisées par RB-005.</w:t>
            </w:r>
          </w:p>
        </w:tc>
      </w:tr>
      <w:tr>
        <w:trPr>
          <w:cantSplit/>
        </w:trPr>
        <w:tc>
          <w:tcPr>
            <w:tcW w:type="dxa" w:w="18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Références normatives</w:t>
            </w:r>
          </w:p>
        </w:tc>
        <w:tc>
          <w:tcPr>
            <w:tcW w:type="dxa" w:w="520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Charte, Manifesto, Product Specification, PD-003, PD-004, PD-009, PD-011, PD-012 et PD-013.</w:t>
            </w:r>
          </w:p>
        </w:tc>
        <w:tc>
          <w:tcPr>
            <w:tcW w:type="dxa" w:w="282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Contrats de raisonnement, d'évaluation, de Programme et d'ownership.</w:t>
            </w:r>
          </w:p>
        </w:tc>
      </w:tr>
      <w:tr>
        <w:trPr>
          <w:cantSplit/>
        </w:trPr>
        <w:tc>
          <w:tcPr>
            <w:tcW w:type="dxa" w:w="1809"/>
            <w:vAlign w:val="top"/>
            <w:tcMar>
              <w:top w:w="70" w:type="dxa"/>
              <w:start w:w="90" w:type="dxa"/>
              <w:bottom w:w="70" w:type="dxa"/>
              <w:end w:w="90" w:type="dxa"/>
            </w:tcMar>
          </w:tcPr>
          <w:p>
            <w:pPr>
              <w:spacing w:after="0" w:line="240" w:lineRule="auto"/>
            </w:pPr>
            <w:r>
              <w:rPr>
                <w:rFonts w:ascii="Aptos" w:hAnsi="Aptos" w:eastAsia="Aptos"/>
                <w:color w:val="24323D"/>
                <w:sz w:val="14"/>
              </w:rPr>
              <w:t>Corpus scientifique</w:t>
            </w:r>
          </w:p>
        </w:tc>
        <w:tc>
          <w:tcPr>
            <w:tcW w:type="dxa" w:w="5201"/>
            <w:vAlign w:val="top"/>
            <w:tcMar>
              <w:top w:w="70" w:type="dxa"/>
              <w:start w:w="90" w:type="dxa"/>
              <w:bottom w:w="70" w:type="dxa"/>
              <w:end w:w="90" w:type="dxa"/>
            </w:tcMar>
          </w:tcPr>
          <w:p>
            <w:pPr>
              <w:spacing w:after="0" w:line="240" w:lineRule="auto"/>
            </w:pPr>
            <w:r>
              <w:rPr>
                <w:rFonts w:ascii="Aptos" w:hAnsi="Aptos" w:eastAsia="Aptos"/>
                <w:color w:val="24323D"/>
                <w:sz w:val="14"/>
              </w:rPr>
              <w:t>RB-005 version 1.0 et sources R01–R65, arrêtées au 3 août 2026.</w:t>
            </w:r>
          </w:p>
        </w:tc>
        <w:tc>
          <w:tcPr>
            <w:tcW w:type="dxa" w:w="2826"/>
            <w:vAlign w:val="top"/>
            <w:tcMar>
              <w:top w:w="70" w:type="dxa"/>
              <w:start w:w="90" w:type="dxa"/>
              <w:bottom w:w="70" w:type="dxa"/>
              <w:end w:w="90" w:type="dxa"/>
            </w:tcMar>
          </w:tcPr>
          <w:p>
            <w:pPr>
              <w:spacing w:after="0" w:line="240" w:lineRule="auto"/>
            </w:pPr>
            <w:r>
              <w:rPr>
                <w:rFonts w:ascii="Aptos" w:hAnsi="Aptos" w:eastAsia="Aptos"/>
                <w:color w:val="24323D"/>
                <w:sz w:val="14"/>
              </w:rPr>
              <w:t>Connaissance contextualisée, révisable et traçable.</w:t>
            </w:r>
          </w:p>
        </w:tc>
      </w:tr>
      <w:tr>
        <w:trPr>
          <w:cantSplit/>
        </w:trPr>
        <w:tc>
          <w:tcPr>
            <w:tcW w:type="dxa" w:w="18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Cible</w:t>
            </w:r>
          </w:p>
        </w:tc>
        <w:tc>
          <w:tcPr>
            <w:tcW w:type="dxa" w:w="520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Socle scientifique général de Neuro Perfusion &amp; Metabolism.</w:t>
            </w:r>
          </w:p>
        </w:tc>
        <w:tc>
          <w:tcPr>
            <w:tcW w:type="dxa" w:w="282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Ne prouve aucune activation produit.</w:t>
            </w:r>
          </w:p>
        </w:tc>
      </w:tr>
      <w:tr>
        <w:trPr>
          <w:cantSplit/>
        </w:trPr>
        <w:tc>
          <w:tcPr>
            <w:tcW w:type="dxa" w:w="1809"/>
            <w:vAlign w:val="top"/>
            <w:tcMar>
              <w:top w:w="70" w:type="dxa"/>
              <w:start w:w="90" w:type="dxa"/>
              <w:bottom w:w="70" w:type="dxa"/>
              <w:end w:w="90" w:type="dxa"/>
            </w:tcMar>
          </w:tcPr>
          <w:p>
            <w:pPr>
              <w:spacing w:after="0" w:line="240" w:lineRule="auto"/>
            </w:pPr>
            <w:r>
              <w:rPr>
                <w:rFonts w:ascii="Aptos" w:hAnsi="Aptos" w:eastAsia="Aptos"/>
                <w:color w:val="24323D"/>
                <w:sz w:val="14"/>
              </w:rPr>
              <w:t>État réellement implémenté</w:t>
            </w:r>
          </w:p>
        </w:tc>
        <w:tc>
          <w:tcPr>
            <w:tcW w:type="dxa" w:w="5201"/>
            <w:vAlign w:val="top"/>
            <w:tcMar>
              <w:top w:w="70" w:type="dxa"/>
              <w:start w:w="90" w:type="dxa"/>
              <w:bottom w:w="70" w:type="dxa"/>
              <w:end w:w="90" w:type="dxa"/>
            </w:tcMar>
          </w:tcPr>
          <w:p>
            <w:pPr>
              <w:spacing w:after="0" w:line="240" w:lineRule="auto"/>
            </w:pPr>
            <w:r>
              <w:rPr>
                <w:rFonts w:ascii="Aptos" w:hAnsi="Aptos" w:eastAsia="Aptos"/>
                <w:color w:val="24323D"/>
                <w:sz w:val="14"/>
              </w:rPr>
              <w:t>DOCX maître et PDF dérivé seulement.</w:t>
            </w:r>
          </w:p>
        </w:tc>
        <w:tc>
          <w:tcPr>
            <w:tcW w:type="dxa" w:w="2826"/>
            <w:vAlign w:val="top"/>
            <w:tcMar>
              <w:top w:w="70" w:type="dxa"/>
              <w:start w:w="90" w:type="dxa"/>
              <w:bottom w:w="70" w:type="dxa"/>
              <w:end w:w="90" w:type="dxa"/>
            </w:tcMar>
          </w:tcPr>
          <w:p>
            <w:pPr>
              <w:spacing w:after="0" w:line="240" w:lineRule="auto"/>
            </w:pPr>
            <w:r>
              <w:rPr>
                <w:rFonts w:ascii="Aptos" w:hAnsi="Aptos" w:eastAsia="Aptos"/>
                <w:color w:val="24323D"/>
                <w:sz w:val="14"/>
              </w:rPr>
              <w:t>Aucune conclusion sur une interface, un moteur ou un graphe exécutable.</w:t>
            </w:r>
          </w:p>
        </w:tc>
      </w:tr>
      <w:tr>
        <w:trPr>
          <w:cantSplit/>
        </w:trPr>
        <w:tc>
          <w:tcPr>
            <w:tcW w:type="dxa" w:w="18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Hypothèses</w:t>
            </w:r>
          </w:p>
        </w:tc>
        <w:tc>
          <w:tcPr>
            <w:tcW w:type="dxa" w:w="520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NPM-H01 à NPM-H20 et questions ouvertes.</w:t>
            </w:r>
          </w:p>
        </w:tc>
        <w:tc>
          <w:tcPr>
            <w:tcW w:type="dxa" w:w="282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À tester ; aucune autorité clinique.</w:t>
            </w:r>
          </w:p>
        </w:tc>
      </w:tr>
    </w:tbl>
    <w:p>
      <w:bookmarkStart w:id="16" w:name="sec006"/>
      <w:pPr>
        <w:pStyle w:val="Heading2"/>
      </w:pPr>
      <w:r>
        <w:t>6. Niveaux de preuve et politique de contradiction</w:t>
      </w:r>
      <w:bookmarkEnd w:id="16"/>
    </w:p>
    <w:p>
      <w:pPr>
        <w:pStyle w:val="Caption"/>
        <w:spacing w:before="120" w:after="60"/>
        <w:jc w:val="left"/>
        <w:keepNext/>
        <w:keepLines/>
      </w:pPr>
      <w:r>
        <w:rPr>
          <w:rFonts w:ascii="Aptos" w:hAnsi="Aptos" w:eastAsia="Aptos"/>
          <w:b/>
          <w:color w:val="667085"/>
          <w:sz w:val="16"/>
        </w:rPr>
        <w:t>Tableau 1 — Niveaux narratifs de confiance</w:t>
      </w:r>
    </w:p>
    <w:tbl>
      <w:tblPr>
        <w:tblStyle w:val="TableGrid"/>
        <w:tblW w:type="dxa" w:w="9837"/>
        <w:jc w:val="center"/>
        <w:tblLayout w:type="fixed"/>
        <w:tblLook w:firstColumn="1" w:firstRow="1" w:lastColumn="0" w:lastRow="0" w:noHBand="0" w:noVBand="1" w:val="04A0"/>
        <w:tblInd w:w="90" w:type="dxa"/>
      </w:tblPr>
      <w:tblGrid>
        <w:gridCol w:w="1496"/>
        <w:gridCol w:w="3164"/>
        <w:gridCol w:w="2876"/>
        <w:gridCol w:w="2301"/>
      </w:tblGrid>
      <w:tr>
        <w:trPr>
          <w:tblHeader w:val="true"/>
          <w:cantSplit/>
        </w:trPr>
        <w:tc>
          <w:tcPr>
            <w:tcW w:type="dxa" w:w="149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Niveau</w:t>
            </w:r>
          </w:p>
        </w:tc>
        <w:tc>
          <w:tcPr>
            <w:tcW w:type="dxa" w:w="3164"/>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Sens dans RB-005</w:t>
            </w:r>
          </w:p>
        </w:tc>
        <w:tc>
          <w:tcPr>
            <w:tcW w:type="dxa" w:w="287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Formulation permise</w:t>
            </w:r>
          </w:p>
        </w:tc>
        <w:tc>
          <w:tcPr>
            <w:tcW w:type="dxa" w:w="230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Interdit</w:t>
            </w:r>
          </w:p>
        </w:tc>
      </w:tr>
      <w:tr>
        <w:trPr>
          <w:cantSplit/>
        </w:trPr>
        <w:tc>
          <w:tcPr>
            <w:tcW w:type="dxa" w:w="1496"/>
            <w:vAlign w:val="top"/>
            <w:tcMar>
              <w:top w:w="70" w:type="dxa"/>
              <w:start w:w="90" w:type="dxa"/>
              <w:bottom w:w="70" w:type="dxa"/>
              <w:end w:w="90" w:type="dxa"/>
            </w:tcMar>
          </w:tcPr>
          <w:p>
            <w:pPr>
              <w:spacing w:after="0" w:line="240" w:lineRule="auto"/>
            </w:pPr>
            <w:r>
              <w:rPr>
                <w:rFonts w:ascii="Aptos" w:hAnsi="Aptos" w:eastAsia="Aptos"/>
                <w:color w:val="24323D"/>
                <w:sz w:val="14"/>
              </w:rPr>
              <w:t>ÉTABLI</w:t>
            </w:r>
          </w:p>
        </w:tc>
        <w:tc>
          <w:tcPr>
            <w:tcW w:type="dxa" w:w="3164"/>
            <w:vAlign w:val="top"/>
            <w:tcMar>
              <w:top w:w="70" w:type="dxa"/>
              <w:start w:w="90" w:type="dxa"/>
              <w:bottom w:w="70" w:type="dxa"/>
              <w:end w:w="90" w:type="dxa"/>
            </w:tcMar>
          </w:tcPr>
          <w:p>
            <w:pPr>
              <w:spacing w:after="0" w:line="240" w:lineRule="auto"/>
            </w:pPr>
            <w:r>
              <w:rPr>
                <w:rFonts w:ascii="Aptos" w:hAnsi="Aptos" w:eastAsia="Aptos"/>
                <w:color w:val="24323D"/>
                <w:sz w:val="14"/>
              </w:rPr>
              <w:t>Définition physiologique, relation mathématique ou phénomène répliqué dans un domaine explicite.</w:t>
            </w:r>
          </w:p>
        </w:tc>
        <w:tc>
          <w:tcPr>
            <w:tcW w:type="dxa" w:w="2876"/>
            <w:vAlign w:val="top"/>
            <w:tcMar>
              <w:top w:w="70" w:type="dxa"/>
              <w:start w:w="90" w:type="dxa"/>
              <w:bottom w:w="70" w:type="dxa"/>
              <w:end w:w="90" w:type="dxa"/>
            </w:tcMar>
          </w:tcPr>
          <w:p>
            <w:pPr>
              <w:spacing w:after="0" w:line="240" w:lineRule="auto"/>
            </w:pPr>
            <w:r>
              <w:rPr>
                <w:rFonts w:ascii="Aptos" w:hAnsi="Aptos" w:eastAsia="Aptos"/>
                <w:color w:val="24323D"/>
                <w:sz w:val="14"/>
              </w:rPr>
              <w:t>« La grandeur représente… dans ce modèle. »</w:t>
            </w:r>
          </w:p>
        </w:tc>
        <w:tc>
          <w:tcPr>
            <w:tcW w:type="dxa" w:w="2301"/>
            <w:vAlign w:val="top"/>
            <w:tcMar>
              <w:top w:w="70" w:type="dxa"/>
              <w:start w:w="90" w:type="dxa"/>
              <w:bottom w:w="70" w:type="dxa"/>
              <w:end w:w="90" w:type="dxa"/>
            </w:tcMar>
          </w:tcPr>
          <w:p>
            <w:pPr>
              <w:spacing w:after="0" w:line="240" w:lineRule="auto"/>
            </w:pPr>
            <w:r>
              <w:rPr>
                <w:rFonts w:ascii="Aptos" w:hAnsi="Aptos" w:eastAsia="Aptos"/>
                <w:color w:val="24323D"/>
                <w:sz w:val="14"/>
              </w:rPr>
              <w:t>Étendre hors modèle ou hors domaine.</w:t>
            </w:r>
          </w:p>
        </w:tc>
      </w:tr>
      <w:tr>
        <w:trPr>
          <w:cantSplit/>
        </w:trPr>
        <w:tc>
          <w:tcPr>
            <w:tcW w:type="dxa" w:w="149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CONVERGENT</w:t>
            </w:r>
          </w:p>
        </w:tc>
        <w:tc>
          <w:tcPr>
            <w:tcW w:type="dxa" w:w="316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Plusieurs sources cohérentes, avec dépendances techniques ou biologiques persistantes.</w:t>
            </w:r>
          </w:p>
        </w:tc>
        <w:tc>
          <w:tcPr>
            <w:tcW w:type="dxa" w:w="287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Les données convergent vers… »</w:t>
            </w:r>
          </w:p>
        </w:tc>
        <w:tc>
          <w:tcPr>
            <w:tcW w:type="dxa" w:w="230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Présenter comme invariant universel.</w:t>
            </w:r>
          </w:p>
        </w:tc>
      </w:tr>
      <w:tr>
        <w:trPr>
          <w:cantSplit/>
        </w:trPr>
        <w:tc>
          <w:tcPr>
            <w:tcW w:type="dxa" w:w="1496"/>
            <w:vAlign w:val="top"/>
            <w:tcMar>
              <w:top w:w="70" w:type="dxa"/>
              <w:start w:w="90" w:type="dxa"/>
              <w:bottom w:w="70" w:type="dxa"/>
              <w:end w:w="90" w:type="dxa"/>
            </w:tcMar>
          </w:tcPr>
          <w:p>
            <w:pPr>
              <w:spacing w:after="0" w:line="240" w:lineRule="auto"/>
            </w:pPr>
            <w:r>
              <w:rPr>
                <w:rFonts w:ascii="Aptos" w:hAnsi="Aptos" w:eastAsia="Aptos"/>
                <w:color w:val="24323D"/>
                <w:sz w:val="14"/>
              </w:rPr>
              <w:t>CONTEXTUEL</w:t>
            </w:r>
          </w:p>
        </w:tc>
        <w:tc>
          <w:tcPr>
            <w:tcW w:type="dxa" w:w="3164"/>
            <w:vAlign w:val="top"/>
            <w:tcMar>
              <w:top w:w="70" w:type="dxa"/>
              <w:start w:w="90" w:type="dxa"/>
              <w:bottom w:w="70" w:type="dxa"/>
              <w:end w:w="90" w:type="dxa"/>
            </w:tcMar>
          </w:tcPr>
          <w:p>
            <w:pPr>
              <w:spacing w:after="0" w:line="240" w:lineRule="auto"/>
            </w:pPr>
            <w:r>
              <w:rPr>
                <w:rFonts w:ascii="Aptos" w:hAnsi="Aptos" w:eastAsia="Aptos"/>
                <w:color w:val="24323D"/>
                <w:sz w:val="14"/>
              </w:rPr>
              <w:t>Résultat valide pour une modalité, une population, une chaîne ou un usage définis.</w:t>
            </w:r>
          </w:p>
        </w:tc>
        <w:tc>
          <w:tcPr>
            <w:tcW w:type="dxa" w:w="2876"/>
            <w:vAlign w:val="top"/>
            <w:tcMar>
              <w:top w:w="70" w:type="dxa"/>
              <w:start w:w="90" w:type="dxa"/>
              <w:bottom w:w="70" w:type="dxa"/>
              <w:end w:w="90" w:type="dxa"/>
            </w:tcMar>
          </w:tcPr>
          <w:p>
            <w:pPr>
              <w:spacing w:after="0" w:line="240" w:lineRule="auto"/>
            </w:pPr>
            <w:r>
              <w:rPr>
                <w:rFonts w:ascii="Aptos" w:hAnsi="Aptos" w:eastAsia="Aptos"/>
                <w:color w:val="24323D"/>
                <w:sz w:val="14"/>
              </w:rPr>
              <w:t>« Dans cette configuration… »</w:t>
            </w:r>
          </w:p>
        </w:tc>
        <w:tc>
          <w:tcPr>
            <w:tcW w:type="dxa" w:w="2301"/>
            <w:vAlign w:val="top"/>
            <w:tcMar>
              <w:top w:w="70" w:type="dxa"/>
              <w:start w:w="90" w:type="dxa"/>
              <w:bottom w:w="70" w:type="dxa"/>
              <w:end w:w="90" w:type="dxa"/>
            </w:tcMar>
          </w:tcPr>
          <w:p>
            <w:pPr>
              <w:spacing w:after="0" w:line="240" w:lineRule="auto"/>
            </w:pPr>
            <w:r>
              <w:rPr>
                <w:rFonts w:ascii="Aptos" w:hAnsi="Aptos" w:eastAsia="Aptos"/>
                <w:color w:val="24323D"/>
                <w:sz w:val="14"/>
              </w:rPr>
              <w:t>Mutualiser silencieusement seuils et unités.</w:t>
            </w:r>
          </w:p>
        </w:tc>
      </w:tr>
      <w:tr>
        <w:trPr>
          <w:cantSplit/>
        </w:trPr>
        <w:tc>
          <w:tcPr>
            <w:tcW w:type="dxa" w:w="149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CONTROVERSÉ</w:t>
            </w:r>
          </w:p>
        </w:tc>
        <w:tc>
          <w:tcPr>
            <w:tcW w:type="dxa" w:w="316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Définitions, mécanismes ou interprétations concurrents réellement soutenus.</w:t>
            </w:r>
          </w:p>
        </w:tc>
        <w:tc>
          <w:tcPr>
            <w:tcW w:type="dxa" w:w="287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Décrire les positions et leurs raisons.</w:t>
            </w:r>
          </w:p>
        </w:tc>
        <w:tc>
          <w:tcPr>
            <w:tcW w:type="dxa" w:w="230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Trancher par autorité ou majorité simple.</w:t>
            </w:r>
          </w:p>
        </w:tc>
      </w:tr>
      <w:tr>
        <w:trPr>
          <w:cantSplit/>
        </w:trPr>
        <w:tc>
          <w:tcPr>
            <w:tcW w:type="dxa" w:w="1496"/>
            <w:vAlign w:val="top"/>
            <w:tcMar>
              <w:top w:w="70" w:type="dxa"/>
              <w:start w:w="90" w:type="dxa"/>
              <w:bottom w:w="70" w:type="dxa"/>
              <w:end w:w="90" w:type="dxa"/>
            </w:tcMar>
          </w:tcPr>
          <w:p>
            <w:pPr>
              <w:spacing w:after="0" w:line="240" w:lineRule="auto"/>
            </w:pPr>
            <w:r>
              <w:rPr>
                <w:rFonts w:ascii="Aptos" w:hAnsi="Aptos" w:eastAsia="Aptos"/>
                <w:color w:val="24323D"/>
                <w:sz w:val="14"/>
              </w:rPr>
              <w:t>INSUFFISANT / EXPÉRIMENTAL</w:t>
            </w:r>
          </w:p>
        </w:tc>
        <w:tc>
          <w:tcPr>
            <w:tcW w:type="dxa" w:w="3164"/>
            <w:vAlign w:val="top"/>
            <w:tcMar>
              <w:top w:w="70" w:type="dxa"/>
              <w:start w:w="90" w:type="dxa"/>
              <w:bottom w:w="70" w:type="dxa"/>
              <w:end w:w="90" w:type="dxa"/>
            </w:tcMar>
          </w:tcPr>
          <w:p>
            <w:pPr>
              <w:spacing w:after="0" w:line="240" w:lineRule="auto"/>
            </w:pPr>
            <w:r>
              <w:rPr>
                <w:rFonts w:ascii="Aptos" w:hAnsi="Aptos" w:eastAsia="Aptos"/>
                <w:color w:val="24323D"/>
                <w:sz w:val="14"/>
              </w:rPr>
              <w:t>Données rares, indirectes, précliniques, non répliquées ou non transportables.</w:t>
            </w:r>
          </w:p>
        </w:tc>
        <w:tc>
          <w:tcPr>
            <w:tcW w:type="dxa" w:w="2876"/>
            <w:vAlign w:val="top"/>
            <w:tcMar>
              <w:top w:w="70" w:type="dxa"/>
              <w:start w:w="90" w:type="dxa"/>
              <w:bottom w:w="70" w:type="dxa"/>
              <w:end w:w="90" w:type="dxa"/>
            </w:tcMar>
          </w:tcPr>
          <w:p>
            <w:pPr>
              <w:spacing w:after="0" w:line="240" w:lineRule="auto"/>
            </w:pPr>
            <w:r>
              <w:rPr>
                <w:rFonts w:ascii="Aptos" w:hAnsi="Aptos" w:eastAsia="Aptos"/>
                <w:color w:val="24323D"/>
                <w:sz w:val="14"/>
              </w:rPr>
              <w:t>Nommer la lacune et l'hypothèse.</w:t>
            </w:r>
          </w:p>
        </w:tc>
        <w:tc>
          <w:tcPr>
            <w:tcW w:type="dxa" w:w="2301"/>
            <w:vAlign w:val="top"/>
            <w:tcMar>
              <w:top w:w="70" w:type="dxa"/>
              <w:start w:w="90" w:type="dxa"/>
              <w:bottom w:w="70" w:type="dxa"/>
              <w:end w:w="90" w:type="dxa"/>
            </w:tcMar>
          </w:tcPr>
          <w:p>
            <w:pPr>
              <w:spacing w:after="0" w:line="240" w:lineRule="auto"/>
            </w:pPr>
            <w:r>
              <w:rPr>
                <w:rFonts w:ascii="Aptos" w:hAnsi="Aptos" w:eastAsia="Aptos"/>
                <w:color w:val="24323D"/>
                <w:sz w:val="14"/>
              </w:rPr>
              <w:t>En déduire une décision clinique.</w:t>
            </w:r>
          </w:p>
        </w:tc>
      </w:tr>
    </w:tbl>
    <w:p>
      <w:pPr>
        <w:widowControl/>
        <w:spacing w:after="100" w:line="259" w:lineRule="auto"/>
      </w:pPr>
      <w:r>
        <w:rPr>
          <w:rFonts w:ascii="Aptos" w:hAnsi="Aptos" w:eastAsia="Aptos"/>
          <w:color w:val="24323D"/>
          <w:sz w:val="18"/>
        </w:rPr>
        <w:t>La preuve est qualifiée proposition par proposition. Une relation physiologique peut être établie tandis que son estimateur d'imagerie reste contextuel. Une étude multicentrique peut démontrer une reproductibilité limitée sans invalider le construit. Une association à un résultat clinique ne transforme pas l'observable en mécanisme causal.</w:t>
      </w:r>
    </w:p>
    <w:p>
      <w:pPr>
        <w:widowControl/>
        <w:spacing w:after="100" w:line="259" w:lineRule="auto"/>
      </w:pPr>
      <w:r>
        <w:rPr>
          <w:rFonts w:ascii="Aptos" w:hAnsi="Aptos" w:eastAsia="Aptos"/>
          <w:color w:val="24323D"/>
          <w:sz w:val="18"/>
        </w:rPr>
        <w:t>Toute contradiction est conservée avec ses causes plausibles : différence de population, de temps, de modalité, de modèle, de logiciel, de référence ou de définition. RB-005 ne résout jamais une divergence en supprimant la source discordante.</w:t>
      </w:r>
    </w:p>
    <w:p>
      <w:bookmarkStart w:id="17" w:name="part02"/>
      <w:pPr>
        <w:pStyle w:val="Heading1"/>
        <w:keepNext/>
        <w:keepLines/>
        <w:pageBreakBefore/>
      </w:pPr>
      <w:r>
        <w:t>PARTIE II — CONSTRUITS ET VOCABULAIRE DE MESURE</w:t>
      </w:r>
      <w:bookmarkEnd w:id="17"/>
    </w:p>
    <w:p>
      <w:pPr>
        <w:spacing w:after="160"/>
      </w:pPr>
      <w:hyperlink w:anchor="TOC" w:history="1">
        <w:r>
          <w:rPr>
            <w:rStyle w:val="Hyperlink"/>
            <w:color w:val="667085"/>
          </w:rPr>
          <w:t>↑ Retour au sommaire</w:t>
        </w:r>
      </w:hyperlink>
    </w:p>
    <w:p>
      <w:bookmarkStart w:id="18" w:name="sec007"/>
      <w:pPr>
        <w:pStyle w:val="Heading2"/>
      </w:pPr>
      <w:r>
        <w:t>7. Perfusion, circulation et hémodynamique</w:t>
      </w:r>
      <w:bookmarkEnd w:id="18"/>
    </w:p>
    <w:p>
      <w:pPr>
        <w:widowControl/>
        <w:spacing w:after="100" w:line="259" w:lineRule="auto"/>
      </w:pPr>
      <w:r>
        <w:rPr>
          <w:rFonts w:ascii="Aptos" w:hAnsi="Aptos" w:eastAsia="Aptos"/>
          <w:color w:val="24323D"/>
          <w:sz w:val="18"/>
        </w:rPr>
        <w:t>La circulation cérébrale décrit le déplacement du sang à travers un réseau. L'hémodynamique décrit les relations entre pression, résistance, compliance, volume et débit. La perfusion tissulaire désigne la délivrance de sang à une masse ou un volume de tissu pendant une unité de temps. Ces termes se recouvrent sans être synonymes.</w:t>
      </w:r>
    </w:p>
    <w:p>
      <w:pPr>
        <w:widowControl/>
        <w:spacing w:after="100" w:line="259" w:lineRule="auto"/>
      </w:pPr>
      <w:r>
        <w:rPr>
          <w:rFonts w:ascii="Aptos" w:hAnsi="Aptos" w:eastAsia="Aptos"/>
          <w:color w:val="24323D"/>
          <w:sz w:val="18"/>
        </w:rPr>
        <w:t>Une vitesse dans une artère, un débit global, une concentration de traceur, un temps de transit et un CBF régional peuvent tous informer l'hémodynamique, mais aucun ne remplace automatiquement les autres.</w:t>
      </w:r>
    </w:p>
    <w:p>
      <w:bookmarkStart w:id="19" w:name="sec008"/>
      <w:pPr>
        <w:pStyle w:val="Heading2"/>
      </w:pPr>
      <w:r>
        <w:t>8. Taxonomie : mesuré, calculé, dérivé, reconstruit</w:t>
      </w:r>
      <w:bookmarkEnd w:id="19"/>
    </w:p>
    <w:p>
      <w:pPr>
        <w:pStyle w:val="Caption"/>
        <w:spacing w:before="120" w:after="60"/>
        <w:jc w:val="left"/>
        <w:keepNext/>
        <w:keepLines/>
      </w:pPr>
      <w:r>
        <w:rPr>
          <w:rFonts w:ascii="Aptos" w:hAnsi="Aptos" w:eastAsia="Aptos"/>
          <w:b/>
          <w:color w:val="667085"/>
          <w:sz w:val="16"/>
        </w:rPr>
        <w:t>Tableau 3 — Statut des observables</w:t>
      </w:r>
    </w:p>
    <w:tbl>
      <w:tblPr>
        <w:tblStyle w:val="TableGrid"/>
        <w:tblW w:type="dxa" w:w="9836"/>
        <w:jc w:val="center"/>
        <w:tblLayout w:type="fixed"/>
        <w:tblLook w:firstColumn="1" w:firstRow="1" w:lastColumn="0" w:lastRow="0" w:noHBand="0" w:noVBand="1" w:val="04A0"/>
        <w:tblInd w:w="90" w:type="dxa"/>
      </w:tblPr>
      <w:tblGrid>
        <w:gridCol w:w="1696"/>
        <w:gridCol w:w="3392"/>
        <w:gridCol w:w="2600"/>
        <w:gridCol w:w="2148"/>
      </w:tblGrid>
      <w:tr>
        <w:trPr>
          <w:tblHeader w:val="true"/>
          <w:cantSplit/>
        </w:trPr>
        <w:tc>
          <w:tcPr>
            <w:tcW w:type="dxa" w:w="169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Statut</w:t>
            </w:r>
          </w:p>
        </w:tc>
        <w:tc>
          <w:tcPr>
            <w:tcW w:type="dxa" w:w="3392"/>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Définition dans RB-005</w:t>
            </w:r>
          </w:p>
        </w:tc>
        <w:tc>
          <w:tcPr>
            <w:tcW w:type="dxa" w:w="260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Exemple</w:t>
            </w:r>
          </w:p>
        </w:tc>
        <w:tc>
          <w:tcPr>
            <w:tcW w:type="dxa" w:w="2148"/>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Risque</w:t>
            </w:r>
          </w:p>
        </w:tc>
      </w:tr>
      <w:tr>
        <w:trPr>
          <w:cantSplit/>
        </w:trPr>
        <w:tc>
          <w:tcPr>
            <w:tcW w:type="dxa" w:w="1696"/>
            <w:vAlign w:val="top"/>
            <w:tcMar>
              <w:top w:w="70" w:type="dxa"/>
              <w:start w:w="90" w:type="dxa"/>
              <w:bottom w:w="70" w:type="dxa"/>
              <w:end w:w="90" w:type="dxa"/>
            </w:tcMar>
          </w:tcPr>
          <w:p>
            <w:pPr>
              <w:spacing w:after="0" w:line="240" w:lineRule="auto"/>
            </w:pPr>
            <w:r>
              <w:rPr>
                <w:rFonts w:ascii="Aptos" w:hAnsi="Aptos" w:eastAsia="Aptos"/>
                <w:color w:val="24323D"/>
                <w:sz w:val="14"/>
              </w:rPr>
              <w:t>Mesuré</w:t>
            </w:r>
          </w:p>
        </w:tc>
        <w:tc>
          <w:tcPr>
            <w:tcW w:type="dxa" w:w="3392"/>
            <w:vAlign w:val="top"/>
            <w:tcMar>
              <w:top w:w="70" w:type="dxa"/>
              <w:start w:w="90" w:type="dxa"/>
              <w:bottom w:w="70" w:type="dxa"/>
              <w:end w:w="90" w:type="dxa"/>
            </w:tcMar>
          </w:tcPr>
          <w:p>
            <w:pPr>
              <w:spacing w:after="0" w:line="240" w:lineRule="auto"/>
            </w:pPr>
            <w:r>
              <w:rPr>
                <w:rFonts w:ascii="Aptos" w:hAnsi="Aptos" w:eastAsia="Aptos"/>
                <w:color w:val="24323D"/>
                <w:sz w:val="14"/>
              </w:rPr>
              <w:t>Signal instrumenté après corrections physiques de base.</w:t>
            </w:r>
          </w:p>
        </w:tc>
        <w:tc>
          <w:tcPr>
            <w:tcW w:type="dxa" w:w="2600"/>
            <w:vAlign w:val="top"/>
            <w:tcMar>
              <w:top w:w="70" w:type="dxa"/>
              <w:start w:w="90" w:type="dxa"/>
              <w:bottom w:w="70" w:type="dxa"/>
              <w:end w:w="90" w:type="dxa"/>
            </w:tcMar>
          </w:tcPr>
          <w:p>
            <w:pPr>
              <w:spacing w:after="0" w:line="240" w:lineRule="auto"/>
            </w:pPr>
            <w:r>
              <w:rPr>
                <w:rFonts w:ascii="Aptos" w:hAnsi="Aptos" w:eastAsia="Aptos"/>
                <w:color w:val="24323D"/>
                <w:sz w:val="14"/>
              </w:rPr>
              <w:t>Atténuation CT, signal MR temporel, comptes PET.</w:t>
            </w:r>
          </w:p>
        </w:tc>
        <w:tc>
          <w:tcPr>
            <w:tcW w:type="dxa" w:w="2148"/>
            <w:vAlign w:val="top"/>
            <w:tcMar>
              <w:top w:w="70" w:type="dxa"/>
              <w:start w:w="90" w:type="dxa"/>
              <w:bottom w:w="70" w:type="dxa"/>
              <w:end w:w="90" w:type="dxa"/>
            </w:tcMar>
          </w:tcPr>
          <w:p>
            <w:pPr>
              <w:spacing w:after="0" w:line="240" w:lineRule="auto"/>
            </w:pPr>
            <w:r>
              <w:rPr>
                <w:rFonts w:ascii="Aptos" w:hAnsi="Aptos" w:eastAsia="Aptos"/>
                <w:color w:val="24323D"/>
                <w:sz w:val="14"/>
              </w:rPr>
              <w:t>Assimiler signal et physiologie.</w:t>
            </w:r>
          </w:p>
        </w:tc>
      </w:tr>
      <w:tr>
        <w:trPr>
          <w:cantSplit/>
        </w:trPr>
        <w:tc>
          <w:tcPr>
            <w:tcW w:type="dxa" w:w="169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Calculé</w:t>
            </w:r>
          </w:p>
        </w:tc>
        <w:tc>
          <w:tcPr>
            <w:tcW w:type="dxa" w:w="339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Combinaison déterministe de grandeurs définies.</w:t>
            </w:r>
          </w:p>
        </w:tc>
        <w:tc>
          <w:tcPr>
            <w:tcW w:type="dxa" w:w="260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Rapport lésion/référence, asymétrie.</w:t>
            </w:r>
          </w:p>
        </w:tc>
        <w:tc>
          <w:tcPr>
            <w:tcW w:type="dxa" w:w="214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Masquer l'erreur du dénominateur.</w:t>
            </w:r>
          </w:p>
        </w:tc>
      </w:tr>
      <w:tr>
        <w:trPr>
          <w:cantSplit/>
        </w:trPr>
        <w:tc>
          <w:tcPr>
            <w:tcW w:type="dxa" w:w="1696"/>
            <w:vAlign w:val="top"/>
            <w:tcMar>
              <w:top w:w="70" w:type="dxa"/>
              <w:start w:w="90" w:type="dxa"/>
              <w:bottom w:w="70" w:type="dxa"/>
              <w:end w:w="90" w:type="dxa"/>
            </w:tcMar>
          </w:tcPr>
          <w:p>
            <w:pPr>
              <w:spacing w:after="0" w:line="240" w:lineRule="auto"/>
            </w:pPr>
            <w:r>
              <w:rPr>
                <w:rFonts w:ascii="Aptos" w:hAnsi="Aptos" w:eastAsia="Aptos"/>
                <w:color w:val="24323D"/>
                <w:sz w:val="14"/>
              </w:rPr>
              <w:t>Dérivé</w:t>
            </w:r>
          </w:p>
        </w:tc>
        <w:tc>
          <w:tcPr>
            <w:tcW w:type="dxa" w:w="3392"/>
            <w:vAlign w:val="top"/>
            <w:tcMar>
              <w:top w:w="70" w:type="dxa"/>
              <w:start w:w="90" w:type="dxa"/>
              <w:bottom w:w="70" w:type="dxa"/>
              <w:end w:w="90" w:type="dxa"/>
            </w:tcMar>
          </w:tcPr>
          <w:p>
            <w:pPr>
              <w:spacing w:after="0" w:line="240" w:lineRule="auto"/>
            </w:pPr>
            <w:r>
              <w:rPr>
                <w:rFonts w:ascii="Aptos" w:hAnsi="Aptos" w:eastAsia="Aptos"/>
                <w:color w:val="24323D"/>
                <w:sz w:val="14"/>
              </w:rPr>
              <w:t>Estimateur reposant sur un modèle physiologique ou cinétique.</w:t>
            </w:r>
          </w:p>
        </w:tc>
        <w:tc>
          <w:tcPr>
            <w:tcW w:type="dxa" w:w="2600"/>
            <w:vAlign w:val="top"/>
            <w:tcMar>
              <w:top w:w="70" w:type="dxa"/>
              <w:start w:w="90" w:type="dxa"/>
              <w:bottom w:w="70" w:type="dxa"/>
              <w:end w:w="90" w:type="dxa"/>
            </w:tcMar>
          </w:tcPr>
          <w:p>
            <w:pPr>
              <w:spacing w:after="0" w:line="240" w:lineRule="auto"/>
            </w:pPr>
            <w:r>
              <w:rPr>
                <w:rFonts w:ascii="Aptos" w:hAnsi="Aptos" w:eastAsia="Aptos"/>
                <w:color w:val="24323D"/>
                <w:sz w:val="14"/>
              </w:rPr>
              <w:t>CBF déconvolué, Ktrans, OEF MRI.</w:t>
            </w:r>
          </w:p>
        </w:tc>
        <w:tc>
          <w:tcPr>
            <w:tcW w:type="dxa" w:w="2148"/>
            <w:vAlign w:val="top"/>
            <w:tcMar>
              <w:top w:w="70" w:type="dxa"/>
              <w:start w:w="90" w:type="dxa"/>
              <w:bottom w:w="70" w:type="dxa"/>
              <w:end w:w="90" w:type="dxa"/>
            </w:tcMar>
          </w:tcPr>
          <w:p>
            <w:pPr>
              <w:spacing w:after="0" w:line="240" w:lineRule="auto"/>
            </w:pPr>
            <w:r>
              <w:rPr>
                <w:rFonts w:ascii="Aptos" w:hAnsi="Aptos" w:eastAsia="Aptos"/>
                <w:color w:val="24323D"/>
                <w:sz w:val="14"/>
              </w:rPr>
              <w:t>Oublier hypothèses et identifiabilité.</w:t>
            </w:r>
          </w:p>
        </w:tc>
      </w:tr>
      <w:tr>
        <w:trPr>
          <w:cantSplit/>
        </w:trPr>
        <w:tc>
          <w:tcPr>
            <w:tcW w:type="dxa" w:w="169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Reconstruit</w:t>
            </w:r>
          </w:p>
        </w:tc>
        <w:tc>
          <w:tcPr>
            <w:tcW w:type="dxa" w:w="339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Image produite depuis les données brutes par un algorithme.</w:t>
            </w:r>
          </w:p>
        </w:tc>
        <w:tc>
          <w:tcPr>
            <w:tcW w:type="dxa" w:w="260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Carte CTP, DSC ou PET corrigée.</w:t>
            </w:r>
          </w:p>
        </w:tc>
        <w:tc>
          <w:tcPr>
            <w:tcW w:type="dxa" w:w="214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Prendre une apparence stable pour une vérité.</w:t>
            </w:r>
          </w:p>
        </w:tc>
      </w:tr>
      <w:tr>
        <w:trPr>
          <w:cantSplit/>
        </w:trPr>
        <w:tc>
          <w:tcPr>
            <w:tcW w:type="dxa" w:w="1696"/>
            <w:vAlign w:val="top"/>
            <w:tcMar>
              <w:top w:w="70" w:type="dxa"/>
              <w:start w:w="90" w:type="dxa"/>
              <w:bottom w:w="70" w:type="dxa"/>
              <w:end w:w="90" w:type="dxa"/>
            </w:tcMar>
          </w:tcPr>
          <w:p>
            <w:pPr>
              <w:spacing w:after="0" w:line="240" w:lineRule="auto"/>
            </w:pPr>
            <w:r>
              <w:rPr>
                <w:rFonts w:ascii="Aptos" w:hAnsi="Aptos" w:eastAsia="Aptos"/>
                <w:color w:val="24323D"/>
                <w:sz w:val="14"/>
              </w:rPr>
              <w:t>Quantitatif conditionnel</w:t>
            </w:r>
          </w:p>
        </w:tc>
        <w:tc>
          <w:tcPr>
            <w:tcW w:type="dxa" w:w="3392"/>
            <w:vAlign w:val="top"/>
            <w:tcMar>
              <w:top w:w="70" w:type="dxa"/>
              <w:start w:w="90" w:type="dxa"/>
              <w:bottom w:w="70" w:type="dxa"/>
              <w:end w:w="90" w:type="dxa"/>
            </w:tcMar>
          </w:tcPr>
          <w:p>
            <w:pPr>
              <w:spacing w:after="0" w:line="240" w:lineRule="auto"/>
            </w:pPr>
            <w:r>
              <w:rPr>
                <w:rFonts w:ascii="Aptos" w:hAnsi="Aptos" w:eastAsia="Aptos"/>
                <w:color w:val="24323D"/>
                <w:sz w:val="14"/>
              </w:rPr>
              <w:t>Valeur avec unité, calibration et performances dans un domaine.</w:t>
            </w:r>
          </w:p>
        </w:tc>
        <w:tc>
          <w:tcPr>
            <w:tcW w:type="dxa" w:w="2600"/>
            <w:vAlign w:val="top"/>
            <w:tcMar>
              <w:top w:w="70" w:type="dxa"/>
              <w:start w:w="90" w:type="dxa"/>
              <w:bottom w:w="70" w:type="dxa"/>
              <w:end w:w="90" w:type="dxa"/>
            </w:tcMar>
          </w:tcPr>
          <w:p>
            <w:pPr>
              <w:spacing w:after="0" w:line="240" w:lineRule="auto"/>
            </w:pPr>
            <w:r>
              <w:rPr>
                <w:rFonts w:ascii="Aptos" w:hAnsi="Aptos" w:eastAsia="Aptos"/>
                <w:color w:val="24323D"/>
                <w:sz w:val="14"/>
              </w:rPr>
              <w:t>CBF ASL ou PET sous chaîne qualifiée.</w:t>
            </w:r>
          </w:p>
        </w:tc>
        <w:tc>
          <w:tcPr>
            <w:tcW w:type="dxa" w:w="2148"/>
            <w:vAlign w:val="top"/>
            <w:tcMar>
              <w:top w:w="70" w:type="dxa"/>
              <w:start w:w="90" w:type="dxa"/>
              <w:bottom w:w="70" w:type="dxa"/>
              <w:end w:w="90" w:type="dxa"/>
            </w:tcMar>
          </w:tcPr>
          <w:p>
            <w:pPr>
              <w:spacing w:after="0" w:line="240" w:lineRule="auto"/>
            </w:pPr>
            <w:r>
              <w:rPr>
                <w:rFonts w:ascii="Aptos" w:hAnsi="Aptos" w:eastAsia="Aptos"/>
                <w:color w:val="24323D"/>
                <w:sz w:val="14"/>
              </w:rPr>
              <w:t>Transférer une valeur entre chaînes.</w:t>
            </w:r>
          </w:p>
        </w:tc>
      </w:tr>
      <w:tr>
        <w:trPr>
          <w:cantSplit/>
        </w:trPr>
        <w:tc>
          <w:tcPr>
            <w:tcW w:type="dxa" w:w="169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Semi-quantitatif</w:t>
            </w:r>
          </w:p>
        </w:tc>
        <w:tc>
          <w:tcPr>
            <w:tcW w:type="dxa" w:w="339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Indice relatif ou normalisé sans traçabilité absolue complète.</w:t>
            </w:r>
          </w:p>
        </w:tc>
        <w:tc>
          <w:tcPr>
            <w:tcW w:type="dxa" w:w="260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rCBV, TTP relatif, ratio d'OEF.</w:t>
            </w:r>
          </w:p>
        </w:tc>
        <w:tc>
          <w:tcPr>
            <w:tcW w:type="dxa" w:w="214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L'appeler absolu.</w:t>
            </w:r>
          </w:p>
        </w:tc>
      </w:tr>
      <w:tr>
        <w:trPr>
          <w:cantSplit/>
        </w:trPr>
        <w:tc>
          <w:tcPr>
            <w:tcW w:type="dxa" w:w="1696"/>
            <w:vAlign w:val="top"/>
            <w:tcMar>
              <w:top w:w="70" w:type="dxa"/>
              <w:start w:w="90" w:type="dxa"/>
              <w:bottom w:w="70" w:type="dxa"/>
              <w:end w:w="90" w:type="dxa"/>
            </w:tcMar>
          </w:tcPr>
          <w:p>
            <w:pPr>
              <w:spacing w:after="0" w:line="240" w:lineRule="auto"/>
            </w:pPr>
            <w:r>
              <w:rPr>
                <w:rFonts w:ascii="Aptos" w:hAnsi="Aptos" w:eastAsia="Aptos"/>
                <w:color w:val="24323D"/>
                <w:sz w:val="14"/>
              </w:rPr>
              <w:t>Expérimental</w:t>
            </w:r>
          </w:p>
        </w:tc>
        <w:tc>
          <w:tcPr>
            <w:tcW w:type="dxa" w:w="3392"/>
            <w:vAlign w:val="top"/>
            <w:tcMar>
              <w:top w:w="70" w:type="dxa"/>
              <w:start w:w="90" w:type="dxa"/>
              <w:bottom w:w="70" w:type="dxa"/>
              <w:end w:w="90" w:type="dxa"/>
            </w:tcMar>
          </w:tcPr>
          <w:p>
            <w:pPr>
              <w:spacing w:after="0" w:line="240" w:lineRule="auto"/>
            </w:pPr>
            <w:r>
              <w:rPr>
                <w:rFonts w:ascii="Aptos" w:hAnsi="Aptos" w:eastAsia="Aptos"/>
                <w:color w:val="24323D"/>
                <w:sz w:val="14"/>
              </w:rPr>
              <w:t>Mesure dont la validation analytique ou externe reste insuffisante.</w:t>
            </w:r>
          </w:p>
        </w:tc>
        <w:tc>
          <w:tcPr>
            <w:tcW w:type="dxa" w:w="2600"/>
            <w:vAlign w:val="top"/>
            <w:tcMar>
              <w:top w:w="70" w:type="dxa"/>
              <w:start w:w="90" w:type="dxa"/>
              <w:bottom w:w="70" w:type="dxa"/>
              <w:end w:w="90" w:type="dxa"/>
            </w:tcMar>
          </w:tcPr>
          <w:p>
            <w:pPr>
              <w:spacing w:after="0" w:line="240" w:lineRule="auto"/>
            </w:pPr>
            <w:r>
              <w:rPr>
                <w:rFonts w:ascii="Aptos" w:hAnsi="Aptos" w:eastAsia="Aptos"/>
                <w:color w:val="24323D"/>
                <w:sz w:val="14"/>
              </w:rPr>
              <w:t>CMRO₂ MRI régional selon certaines méthodes.</w:t>
            </w:r>
          </w:p>
        </w:tc>
        <w:tc>
          <w:tcPr>
            <w:tcW w:type="dxa" w:w="2148"/>
            <w:vAlign w:val="top"/>
            <w:tcMar>
              <w:top w:w="70" w:type="dxa"/>
              <w:start w:w="90" w:type="dxa"/>
              <w:bottom w:w="70" w:type="dxa"/>
              <w:end w:w="90" w:type="dxa"/>
            </w:tcMar>
          </w:tcPr>
          <w:p>
            <w:pPr>
              <w:spacing w:after="0" w:line="240" w:lineRule="auto"/>
            </w:pPr>
            <w:r>
              <w:rPr>
                <w:rFonts w:ascii="Aptos" w:hAnsi="Aptos" w:eastAsia="Aptos"/>
                <w:color w:val="24323D"/>
                <w:sz w:val="14"/>
              </w:rPr>
              <w:t>La présenter comme établie.</w:t>
            </w:r>
          </w:p>
        </w:tc>
      </w:tr>
    </w:tbl>
    <w:p>
      <w:bookmarkStart w:id="20" w:name="sec009"/>
      <w:pPr>
        <w:pStyle w:val="Heading2"/>
      </w:pPr>
      <w:r>
        <w:t>9. CBF — Cerebral Blood Flow</w:t>
      </w:r>
      <w:bookmarkEnd w:id="20"/>
    </w:p>
    <w:p>
      <w:pPr>
        <w:widowControl/>
        <w:spacing w:after="100" w:line="259" w:lineRule="auto"/>
      </w:pPr>
      <w:r>
        <w:rPr>
          <w:rFonts w:ascii="Aptos" w:hAnsi="Aptos" w:eastAsia="Aptos"/>
          <w:color w:val="24323D"/>
          <w:sz w:val="18"/>
        </w:rPr>
        <w:t>Le CBF est un débit tissulaire : volume de sang délivré par unité de masse ou de volume cérébral et par unité de temps. L'unité usuelle n'en garantit pas l'exactitude. Chaque modalité estime le CBF à partir d'un traceur, d'une fonction d'entrée, d'un modèle d'échange ou d'une calibration.</w:t>
      </w:r>
    </w:p>
    <w:p>
      <w:pPr>
        <w:widowControl/>
        <w:spacing w:after="100" w:line="259" w:lineRule="auto"/>
      </w:pPr>
      <w:r>
        <w:rPr>
          <w:rFonts w:ascii="Aptos" w:hAnsi="Aptos" w:eastAsia="Aptos"/>
          <w:color w:val="24323D"/>
          <w:sz w:val="18"/>
        </w:rPr>
        <w:t>Le CBF varie avec la matière grise ou blanche, l'âge, le CO₂, l'oxygénation, la pression, l'activité neuronale, l'anesthésie, l'hématocrite et l'état systémique. Une valeur régionale est donc une observation physiologique située, non une constante du sujet [R07, R64, R65].</w:t>
      </w:r>
    </w:p>
    <w:p>
      <w:bookmarkStart w:id="21" w:name="sec010"/>
      <w:pPr>
        <w:pStyle w:val="Heading2"/>
      </w:pPr>
      <w:r>
        <w:t>10. CBV — Cerebral Blood Volume</w:t>
      </w:r>
      <w:bookmarkEnd w:id="21"/>
    </w:p>
    <w:p>
      <w:pPr>
        <w:widowControl/>
        <w:spacing w:after="100" w:line="259" w:lineRule="auto"/>
      </w:pPr>
      <w:r>
        <w:rPr>
          <w:rFonts w:ascii="Aptos" w:hAnsi="Aptos" w:eastAsia="Aptos"/>
          <w:color w:val="24323D"/>
          <w:sz w:val="18"/>
        </w:rPr>
        <w:t>Le CBV est le volume de sang présent dans une quantité de tissu. Selon le signal et le modèle, il peut pondérer différemment les compartiments artériel, capillaire et veineux. Un CBV DSC relatif, un CBV CTP et un CBV PET ne sont pas automatiquement interchangeables.</w:t>
      </w:r>
    </w:p>
    <w:p>
      <w:pPr>
        <w:widowControl/>
        <w:spacing w:after="100" w:line="259" w:lineRule="auto"/>
      </w:pPr>
      <w:r>
        <w:rPr>
          <w:rFonts w:ascii="Aptos" w:hAnsi="Aptos" w:eastAsia="Aptos"/>
          <w:color w:val="24323D"/>
          <w:sz w:val="18"/>
        </w:rPr>
        <w:t>Une augmentation de CBV peut refléter vasodilatation compensatrice, néovascularisation, congestion, volume veineux ou biais de fuite. Un CBV diminué peut accompagner une réduction de lit vasculaire, un défaut de remplissage ou une erreur de sensibilité. L'interprétation exige le compartiment, la temporalité et la référence.</w:t>
      </w:r>
    </w:p>
    <w:p>
      <w:bookmarkStart w:id="22" w:name="sec011"/>
      <w:pPr>
        <w:pStyle w:val="Heading2"/>
      </w:pPr>
      <w:r>
        <w:t>11. MTT — Mean Transit Time</w:t>
      </w:r>
      <w:bookmarkEnd w:id="22"/>
    </w:p>
    <w:p>
      <w:pPr>
        <w:widowControl/>
        <w:spacing w:after="100" w:line="259" w:lineRule="auto"/>
      </w:pPr>
      <w:r>
        <w:rPr>
          <w:rFonts w:ascii="Aptos" w:hAnsi="Aptos" w:eastAsia="Aptos"/>
          <w:color w:val="24323D"/>
          <w:sz w:val="18"/>
        </w:rPr>
        <w:t>Le MTT est la moyenne de la distribution des temps de transit définie par un modèle. Dans un système de dilution cohérent, le principe du volume central relie MTT, CBV et CBF : MTT = CBV / CBF. Cette identité exige que les trois grandeurs décrivent le même territoire, le même compartiment et la même convention [R01, R02].</w:t>
      </w:r>
    </w:p>
    <w:p>
      <w:pPr>
        <w:widowControl/>
        <w:spacing w:after="100" w:line="259" w:lineRule="auto"/>
      </w:pPr>
      <w:r>
        <w:rPr>
          <w:rFonts w:ascii="Aptos" w:hAnsi="Aptos" w:eastAsia="Aptos"/>
          <w:color w:val="24323D"/>
          <w:sz w:val="18"/>
        </w:rPr>
        <w:t>Un MTT affiché par un logiciel peut dépendre de la déconvolution, du seuil de régularisation, du délai, de la troncature du bolus et des corrections. Il ne doit pas être recalculé ou comparé comme si toutes les implémentations utilisaient la même définition.</w:t>
      </w:r>
    </w:p>
    <w:p>
      <w:bookmarkStart w:id="23" w:name="sec012"/>
      <w:pPr>
        <w:pStyle w:val="Heading2"/>
      </w:pPr>
      <w:r>
        <w:t>12. TTP, Tmax et cartes de délai</w:t>
      </w:r>
      <w:bookmarkEnd w:id="23"/>
    </w:p>
    <w:p>
      <w:pPr>
        <w:pStyle w:val="Caption"/>
        <w:spacing w:before="120" w:after="60"/>
        <w:jc w:val="left"/>
        <w:keepNext/>
        <w:keepLines/>
      </w:pPr>
      <w:r>
        <w:rPr>
          <w:rFonts w:ascii="Aptos" w:hAnsi="Aptos" w:eastAsia="Aptos"/>
          <w:b/>
          <w:color w:val="667085"/>
          <w:sz w:val="16"/>
        </w:rPr>
        <w:t>Tableau 4 — Paramètres temporels non interchangeables</w:t>
      </w:r>
    </w:p>
    <w:tbl>
      <w:tblPr>
        <w:tblStyle w:val="TableGrid"/>
        <w:tblW w:type="dxa" w:w="9836"/>
        <w:jc w:val="center"/>
        <w:tblLayout w:type="fixed"/>
        <w:tblLook w:firstColumn="1" w:firstRow="1" w:lastColumn="0" w:lastRow="0" w:noHBand="0" w:noVBand="1" w:val="04A0"/>
        <w:tblInd w:w="90" w:type="dxa"/>
      </w:tblPr>
      <w:tblGrid>
        <w:gridCol w:w="1437"/>
        <w:gridCol w:w="3426"/>
        <w:gridCol w:w="2763"/>
        <w:gridCol w:w="2210"/>
      </w:tblGrid>
      <w:tr>
        <w:trPr>
          <w:tblHeader w:val="true"/>
          <w:cantSplit/>
        </w:trPr>
        <w:tc>
          <w:tcPr>
            <w:tcW w:type="dxa" w:w="143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Paramètre</w:t>
            </w:r>
          </w:p>
        </w:tc>
        <w:tc>
          <w:tcPr>
            <w:tcW w:type="dxa" w:w="342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Définition minimale</w:t>
            </w:r>
          </w:p>
        </w:tc>
        <w:tc>
          <w:tcPr>
            <w:tcW w:type="dxa" w:w="2763"/>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Information dominante</w:t>
            </w:r>
          </w:p>
        </w:tc>
        <w:tc>
          <w:tcPr>
            <w:tcW w:type="dxa" w:w="221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Ce qu'il n'est pas</w:t>
            </w:r>
          </w:p>
        </w:tc>
      </w:tr>
      <w:tr>
        <w:trPr>
          <w:cantSplit/>
        </w:trPr>
        <w:tc>
          <w:tcPr>
            <w:tcW w:type="dxa" w:w="1437"/>
            <w:vAlign w:val="top"/>
            <w:tcMar>
              <w:top w:w="70" w:type="dxa"/>
              <w:start w:w="90" w:type="dxa"/>
              <w:bottom w:w="70" w:type="dxa"/>
              <w:end w:w="90" w:type="dxa"/>
            </w:tcMar>
          </w:tcPr>
          <w:p>
            <w:pPr>
              <w:spacing w:after="0" w:line="240" w:lineRule="auto"/>
            </w:pPr>
            <w:r>
              <w:rPr>
                <w:rFonts w:ascii="Aptos" w:hAnsi="Aptos" w:eastAsia="Aptos"/>
                <w:color w:val="24323D"/>
                <w:sz w:val="14"/>
              </w:rPr>
              <w:t>TTP</w:t>
            </w:r>
          </w:p>
        </w:tc>
        <w:tc>
          <w:tcPr>
            <w:tcW w:type="dxa" w:w="3426"/>
            <w:vAlign w:val="top"/>
            <w:tcMar>
              <w:top w:w="70" w:type="dxa"/>
              <w:start w:w="90" w:type="dxa"/>
              <w:bottom w:w="70" w:type="dxa"/>
              <w:end w:w="90" w:type="dxa"/>
            </w:tcMar>
          </w:tcPr>
          <w:p>
            <w:pPr>
              <w:spacing w:after="0" w:line="240" w:lineRule="auto"/>
            </w:pPr>
            <w:r>
              <w:rPr>
                <w:rFonts w:ascii="Aptos" w:hAnsi="Aptos" w:eastAsia="Aptos"/>
                <w:color w:val="24323D"/>
                <w:sz w:val="14"/>
              </w:rPr>
              <w:t>Temps du maximum d'une courbe tissulaire ou d'un signal transformé.</w:t>
            </w:r>
          </w:p>
        </w:tc>
        <w:tc>
          <w:tcPr>
            <w:tcW w:type="dxa" w:w="2763"/>
            <w:vAlign w:val="top"/>
            <w:tcMar>
              <w:top w:w="70" w:type="dxa"/>
              <w:start w:w="90" w:type="dxa"/>
              <w:bottom w:w="70" w:type="dxa"/>
              <w:end w:w="90" w:type="dxa"/>
            </w:tcMar>
          </w:tcPr>
          <w:p>
            <w:pPr>
              <w:spacing w:after="0" w:line="240" w:lineRule="auto"/>
            </w:pPr>
            <w:r>
              <w:rPr>
                <w:rFonts w:ascii="Aptos" w:hAnsi="Aptos" w:eastAsia="Aptos"/>
                <w:color w:val="24323D"/>
                <w:sz w:val="14"/>
              </w:rPr>
              <w:t>Injection, arrivée, dispersion et forme de courbe.</w:t>
            </w:r>
          </w:p>
        </w:tc>
        <w:tc>
          <w:tcPr>
            <w:tcW w:type="dxa" w:w="2210"/>
            <w:vAlign w:val="top"/>
            <w:tcMar>
              <w:top w:w="70" w:type="dxa"/>
              <w:start w:w="90" w:type="dxa"/>
              <w:bottom w:w="70" w:type="dxa"/>
              <w:end w:w="90" w:type="dxa"/>
            </w:tcMar>
          </w:tcPr>
          <w:p>
            <w:pPr>
              <w:spacing w:after="0" w:line="240" w:lineRule="auto"/>
            </w:pPr>
            <w:r>
              <w:rPr>
                <w:rFonts w:ascii="Aptos" w:hAnsi="Aptos" w:eastAsia="Aptos"/>
                <w:color w:val="24323D"/>
                <w:sz w:val="14"/>
              </w:rPr>
              <w:t>Un temps de transit moyen.</w:t>
            </w:r>
          </w:p>
        </w:tc>
      </w:tr>
      <w:tr>
        <w:trPr>
          <w:cantSplit/>
        </w:trPr>
        <w:tc>
          <w:tcPr>
            <w:tcW w:type="dxa" w:w="143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Tmax</w:t>
            </w:r>
          </w:p>
        </w:tc>
        <w:tc>
          <w:tcPr>
            <w:tcW w:type="dxa" w:w="342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Temps du maximum de la fonction résidu après déconvolution.</w:t>
            </w:r>
          </w:p>
        </w:tc>
        <w:tc>
          <w:tcPr>
            <w:tcW w:type="dxa" w:w="276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Retard et dispersion, avec contribution moindre du transit.</w:t>
            </w:r>
          </w:p>
        </w:tc>
        <w:tc>
          <w:tcPr>
            <w:tcW w:type="dxa" w:w="221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Une mesure pure de viabilité ou de MTT.</w:t>
            </w:r>
          </w:p>
        </w:tc>
      </w:tr>
      <w:tr>
        <w:trPr>
          <w:cantSplit/>
        </w:trPr>
        <w:tc>
          <w:tcPr>
            <w:tcW w:type="dxa" w:w="1437"/>
            <w:vAlign w:val="top"/>
            <w:tcMar>
              <w:top w:w="70" w:type="dxa"/>
              <w:start w:w="90" w:type="dxa"/>
              <w:bottom w:w="70" w:type="dxa"/>
              <w:end w:w="90" w:type="dxa"/>
            </w:tcMar>
          </w:tcPr>
          <w:p>
            <w:pPr>
              <w:spacing w:after="0" w:line="240" w:lineRule="auto"/>
            </w:pPr>
            <w:r>
              <w:rPr>
                <w:rFonts w:ascii="Aptos" w:hAnsi="Aptos" w:eastAsia="Aptos"/>
                <w:color w:val="24323D"/>
                <w:sz w:val="14"/>
              </w:rPr>
              <w:t>Delay</w:t>
            </w:r>
          </w:p>
        </w:tc>
        <w:tc>
          <w:tcPr>
            <w:tcW w:type="dxa" w:w="3426"/>
            <w:vAlign w:val="top"/>
            <w:tcMar>
              <w:top w:w="70" w:type="dxa"/>
              <w:start w:w="90" w:type="dxa"/>
              <w:bottom w:w="70" w:type="dxa"/>
              <w:end w:w="90" w:type="dxa"/>
            </w:tcMar>
          </w:tcPr>
          <w:p>
            <w:pPr>
              <w:spacing w:after="0" w:line="240" w:lineRule="auto"/>
            </w:pPr>
            <w:r>
              <w:rPr>
                <w:rFonts w:ascii="Aptos" w:hAnsi="Aptos" w:eastAsia="Aptos"/>
                <w:color w:val="24323D"/>
                <w:sz w:val="14"/>
              </w:rPr>
              <w:t>Décalage temporel estimé relativement à une entrée ou une référence.</w:t>
            </w:r>
          </w:p>
        </w:tc>
        <w:tc>
          <w:tcPr>
            <w:tcW w:type="dxa" w:w="2763"/>
            <w:vAlign w:val="top"/>
            <w:tcMar>
              <w:top w:w="70" w:type="dxa"/>
              <w:start w:w="90" w:type="dxa"/>
              <w:bottom w:w="70" w:type="dxa"/>
              <w:end w:w="90" w:type="dxa"/>
            </w:tcMar>
          </w:tcPr>
          <w:p>
            <w:pPr>
              <w:spacing w:after="0" w:line="240" w:lineRule="auto"/>
            </w:pPr>
            <w:r>
              <w:rPr>
                <w:rFonts w:ascii="Aptos" w:hAnsi="Aptos" w:eastAsia="Aptos"/>
                <w:color w:val="24323D"/>
                <w:sz w:val="14"/>
              </w:rPr>
              <w:t>Arrivée macrovasculaire et collatérale.</w:t>
            </w:r>
          </w:p>
        </w:tc>
        <w:tc>
          <w:tcPr>
            <w:tcW w:type="dxa" w:w="2210"/>
            <w:vAlign w:val="top"/>
            <w:tcMar>
              <w:top w:w="70" w:type="dxa"/>
              <w:start w:w="90" w:type="dxa"/>
              <w:bottom w:w="70" w:type="dxa"/>
              <w:end w:w="90" w:type="dxa"/>
            </w:tcMar>
          </w:tcPr>
          <w:p>
            <w:pPr>
              <w:spacing w:after="0" w:line="240" w:lineRule="auto"/>
            </w:pPr>
            <w:r>
              <w:rPr>
                <w:rFonts w:ascii="Aptos" w:hAnsi="Aptos" w:eastAsia="Aptos"/>
                <w:color w:val="24323D"/>
                <w:sz w:val="14"/>
              </w:rPr>
              <w:t>Une mesure directe de débit.</w:t>
            </w:r>
          </w:p>
        </w:tc>
      </w:tr>
      <w:tr>
        <w:trPr>
          <w:cantSplit/>
        </w:trPr>
        <w:tc>
          <w:tcPr>
            <w:tcW w:type="dxa" w:w="143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ATT</w:t>
            </w:r>
          </w:p>
        </w:tc>
        <w:tc>
          <w:tcPr>
            <w:tcW w:type="dxa" w:w="342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Temps entre marquage artériel et arrivée du label au tissu en ASL.</w:t>
            </w:r>
          </w:p>
        </w:tc>
        <w:tc>
          <w:tcPr>
            <w:tcW w:type="dxa" w:w="276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Transport artériel du label.</w:t>
            </w:r>
          </w:p>
        </w:tc>
        <w:tc>
          <w:tcPr>
            <w:tcW w:type="dxa" w:w="221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Le MTT capillaire complet.</w:t>
            </w:r>
          </w:p>
        </w:tc>
      </w:tr>
    </w:tbl>
    <w:p>
      <w:pPr>
        <w:widowControl/>
        <w:spacing w:after="100" w:line="259" w:lineRule="auto"/>
      </w:pPr>
      <w:r>
        <w:rPr>
          <w:rFonts w:ascii="Aptos" w:hAnsi="Aptos" w:eastAsia="Aptos"/>
          <w:color w:val="24323D"/>
          <w:sz w:val="18"/>
        </w:rPr>
        <w:t>Tmax reflète une combinaison de délai, dispersion et, dans une moindre mesure, transit. Sa valeur dépend de la résolution temporelle et de la méthode de déconvolution [R03]. Une carte de délai prolongé peut coexister avec un débit préservé par collatérales ; la couleur ne porte donc pas seule une notion de sévérité.</w:t>
      </w:r>
    </w:p>
    <w:p>
      <w:bookmarkStart w:id="24" w:name="sec013"/>
      <w:pPr>
        <w:pStyle w:val="Heading2"/>
      </w:pPr>
      <w:r>
        <w:t>13. Valeurs absolues, relatives et normalisées</w:t>
      </w:r>
      <w:bookmarkEnd w:id="24"/>
    </w:p>
    <w:p>
      <w:pPr>
        <w:widowControl/>
        <w:spacing w:after="100" w:line="259" w:lineRule="auto"/>
      </w:pPr>
      <w:r>
        <w:rPr>
          <w:rFonts w:ascii="Aptos" w:hAnsi="Aptos" w:eastAsia="Aptos"/>
          <w:color w:val="24323D"/>
          <w:sz w:val="18"/>
        </w:rPr>
        <w:t>Une valeur absolue est reliée à une unité par une chaîne de calibration ; elle n'est pas nécessairement exacte. Une valeur relative compare une région à une référence ; elle peut être robuste localement mais dépend du choix du tissu de référence. Une normalisation peut réduire un effet systémique et simultanément introduire un biais si la référence est atteinte.</w:t>
      </w:r>
    </w:p>
    <w:p>
      <w:pPr>
        <w:widowControl/>
        <w:spacing w:after="100" w:line="259" w:lineRule="auto"/>
      </w:pPr>
      <w:r>
        <w:rPr>
          <w:rFonts w:ascii="Aptos" w:hAnsi="Aptos" w:eastAsia="Aptos"/>
          <w:color w:val="24323D"/>
          <w:sz w:val="18"/>
        </w:rPr>
        <w:t>Le corpus refuse toute mutualisation silencieuse de seuils entre valeurs absolues, relatives, normalisées ou standardisées. Le nom du paramètre doit être accompagné de sa définition opérationnelle.</w:t>
      </w:r>
    </w:p>
    <w:p>
      <w:bookmarkStart w:id="25" w:name="part03"/>
      <w:pPr>
        <w:pStyle w:val="Heading1"/>
        <w:keepNext/>
        <w:keepLines/>
        <w:pageBreakBefore/>
      </w:pPr>
      <w:r>
        <w:t>PARTIE III — PHYSIOLOGIE HÉMODYNAMIQUE CÉRÉBRALE</w:t>
      </w:r>
      <w:bookmarkEnd w:id="25"/>
    </w:p>
    <w:p>
      <w:pPr>
        <w:spacing w:after="160"/>
      </w:pPr>
      <w:hyperlink w:anchor="TOC" w:history="1">
        <w:r>
          <w:rPr>
            <w:rStyle w:val="Hyperlink"/>
            <w:color w:val="667085"/>
          </w:rPr>
          <w:t>↑ Retour au sommaire</w:t>
        </w:r>
      </w:hyperlink>
    </w:p>
    <w:p>
      <w:bookmarkStart w:id="26" w:name="sec014"/>
      <w:pPr>
        <w:pStyle w:val="Heading2"/>
      </w:pPr>
      <w:r>
        <w:t>14. Pression, résistance et délivrance</w:t>
      </w:r>
      <w:bookmarkEnd w:id="26"/>
    </w:p>
    <w:p>
      <w:pPr>
        <w:widowControl/>
        <w:spacing w:after="100" w:line="259" w:lineRule="auto"/>
      </w:pPr>
      <w:r>
        <w:rPr>
          <w:rFonts w:ascii="Aptos" w:hAnsi="Aptos" w:eastAsia="Aptos"/>
          <w:color w:val="24323D"/>
          <w:sz w:val="18"/>
        </w:rPr>
        <w:t>Le débit cérébral résulte d'un gradient de pression et d'une résistance distribuée dans les artères, artérioles, capillaires et veines. La pression de perfusion cérébrale est souvent approchée par la différence entre pression artérielle moyenne et pression intracrânienne, mais cette approximation ne résout ni les gradients régionaux ni la pression veineuse.</w:t>
      </w:r>
    </w:p>
    <w:p>
      <w:pPr>
        <w:widowControl/>
        <w:spacing w:after="100" w:line="259" w:lineRule="auto"/>
      </w:pPr>
      <w:r>
        <w:rPr>
          <w:rFonts w:ascii="Aptos" w:hAnsi="Aptos" w:eastAsia="Aptos"/>
          <w:color w:val="24323D"/>
          <w:sz w:val="18"/>
        </w:rPr>
        <w:t>La délivrance d'oxygène dépend du CBF et du contenu artériel en oxygène. Ainsi, deux sujets ayant le même CBF peuvent recevoir des quantités d'oxygène différentes si hémoglobine ou saturation diffèrent.</w:t>
      </w:r>
    </w:p>
    <w:p>
      <w:bookmarkStart w:id="27" w:name="sec015"/>
      <w:pPr>
        <w:pStyle w:val="Heading2"/>
      </w:pPr>
      <w:r>
        <w:t>15. Autorégulation statique et dynamique</w:t>
      </w:r>
      <w:bookmarkEnd w:id="27"/>
    </w:p>
    <w:p>
      <w:pPr>
        <w:widowControl/>
        <w:spacing w:after="100" w:line="259" w:lineRule="auto"/>
      </w:pPr>
      <w:r>
        <w:rPr>
          <w:rFonts w:ascii="Aptos" w:hAnsi="Aptos" w:eastAsia="Aptos"/>
          <w:color w:val="24323D"/>
          <w:sz w:val="18"/>
        </w:rPr>
        <w:t>L'autorégulation désigne le contrôle du CBF en réponse aux variations de pression de perfusion. La représentation d'un plateau fixe entre deux limites universelles est une simplification. La relation varie avec le temps, le territoire, le CO₂, l'âge, l'hypertension, l'état endothélial et la maladie [R07].</w:t>
      </w:r>
    </w:p>
    <w:p>
      <w:pPr>
        <w:widowControl/>
        <w:spacing w:after="100" w:line="259" w:lineRule="auto"/>
      </w:pPr>
      <w:r>
        <w:rPr>
          <w:rFonts w:ascii="Aptos" w:hAnsi="Aptos" w:eastAsia="Aptos"/>
          <w:color w:val="24323D"/>
          <w:sz w:val="18"/>
        </w:rPr>
        <w:t>L'autorégulation statique compare des états stabilisés ; l'autorégulation dynamique étudie la réponse temporelle à des variations de pression. Les indices de transfert, gain, phase et cohérence dépendent du signal de débit ou de vitesse, de la bande de fréquence, du prétraitement et de la qualité de l'excitation [R08].</w:t>
      </w:r>
    </w:p>
    <w:p>
      <w:bookmarkStart w:id="28" w:name="sec016"/>
      <w:pPr>
        <w:pStyle w:val="Heading2"/>
      </w:pPr>
      <w:r>
        <w:t>16. Réactivité cérébrovasculaire</w:t>
      </w:r>
      <w:bookmarkEnd w:id="28"/>
    </w:p>
    <w:p>
      <w:pPr>
        <w:widowControl/>
        <w:spacing w:after="100" w:line="259" w:lineRule="auto"/>
      </w:pPr>
      <w:r>
        <w:rPr>
          <w:rFonts w:ascii="Aptos" w:hAnsi="Aptos" w:eastAsia="Aptos"/>
          <w:color w:val="24323D"/>
          <w:sz w:val="18"/>
        </w:rPr>
        <w:t>La réactivité cérébrovasculaire mesure la réponse vasculaire à un stimulus défini, souvent lié au CO₂. Elle renseigne une réserve ou une capacité de modulation, non le CBF basal seul. Une réponse BOLD, une réponse ASL-CBF et une vitesse Doppler ne sont pas le même mesurande [R58–R60].</w:t>
      </w:r>
    </w:p>
    <w:p>
      <w:pPr>
        <w:widowControl/>
        <w:spacing w:after="100" w:line="259" w:lineRule="auto"/>
      </w:pPr>
      <w:r>
        <w:rPr>
          <w:rFonts w:ascii="Aptos" w:hAnsi="Aptos" w:eastAsia="Aptos"/>
          <w:color w:val="24323D"/>
          <w:sz w:val="18"/>
        </w:rPr>
        <w:t>Le stimulus, son amplitude, sa temporalité, les gaz inspirés, l'end-tidal CO₂, la ventilation et l'analyse déterminent l'estimation. Les réponses obtenues avec des mélanges gazeux différents ne sont pas directement comparables [R60].</w:t>
      </w:r>
    </w:p>
    <w:p>
      <w:bookmarkStart w:id="29" w:name="sec017"/>
      <w:pPr>
        <w:pStyle w:val="Heading2"/>
      </w:pPr>
      <w:r>
        <w:t>17. Circulation collatérale</w:t>
      </w:r>
      <w:bookmarkEnd w:id="29"/>
    </w:p>
    <w:p>
      <w:pPr>
        <w:widowControl/>
        <w:spacing w:after="100" w:line="259" w:lineRule="auto"/>
      </w:pPr>
      <w:r>
        <w:rPr>
          <w:rFonts w:ascii="Aptos" w:hAnsi="Aptos" w:eastAsia="Aptos"/>
          <w:color w:val="24323D"/>
          <w:sz w:val="18"/>
        </w:rPr>
        <w:t>Les collatérales sont des voies alternatives d'alimentation lorsque la route principale est réduite ou occluse. Elles modifient délai, dispersion, direction et pression de perfusion. Elles peuvent préserver le CBF tout en prolongeant TTP, Tmax ou ATT.</w:t>
      </w:r>
    </w:p>
    <w:p>
      <w:pPr>
        <w:widowControl/>
        <w:spacing w:after="100" w:line="259" w:lineRule="auto"/>
      </w:pPr>
      <w:r>
        <w:rPr>
          <w:rFonts w:ascii="Aptos" w:hAnsi="Aptos" w:eastAsia="Aptos"/>
          <w:color w:val="24323D"/>
          <w:sz w:val="18"/>
        </w:rPr>
        <w:t>Un délai long ne signifie donc pas nécessairement une défaillance tissulaire ; il peut être la signature d'un trajet efficace mais indirect. Inversement, une arrivée relativement rapide n'établit pas un débit capillaire adéquat. Les collatérales doivent être étudiées avec une information vasculaire et tissulaire [R45–R47].</w:t>
      </w:r>
    </w:p>
    <w:p>
      <w:bookmarkStart w:id="30" w:name="sec018"/>
      <w:pPr>
        <w:pStyle w:val="Heading2"/>
      </w:pPr>
      <w:r>
        <w:t>18. Macro- et microcirculation</w:t>
      </w:r>
      <w:bookmarkEnd w:id="30"/>
    </w:p>
    <w:p>
      <w:pPr>
        <w:widowControl/>
        <w:spacing w:after="100" w:line="259" w:lineRule="auto"/>
      </w:pPr>
      <w:r>
        <w:rPr>
          <w:rFonts w:ascii="Aptos" w:hAnsi="Aptos" w:eastAsia="Aptos"/>
          <w:color w:val="24323D"/>
          <w:sz w:val="18"/>
        </w:rPr>
        <w:t>Les artères de conductance, artérioles résistives, capillaires d'échange et compartiments veineux contribuent différemment au signal. Les petites variations de diamètre artériolaire peuvent fortement modifier la résistance, tandis que l'hétérogénéité capillaire influence l'extraction d'oxygène.</w:t>
      </w:r>
    </w:p>
    <w:p>
      <w:pPr>
        <w:widowControl/>
        <w:spacing w:after="100" w:line="259" w:lineRule="auto"/>
      </w:pPr>
      <w:r>
        <w:rPr>
          <w:rFonts w:ascii="Aptos" w:hAnsi="Aptos" w:eastAsia="Aptos"/>
          <w:color w:val="24323D"/>
          <w:sz w:val="18"/>
        </w:rPr>
        <w:t>Un biomarqueur macroscopique ne prouve pas la normalité de la microcirculation. Les modèles de microvascular flow, capillary transit-time heterogeneity ou pericyte control restent des cadres scientifiques actifs dont l'observation in vivo humaine est partielle.</w:t>
      </w:r>
    </w:p>
    <w:p>
      <w:bookmarkStart w:id="31" w:name="sec019"/>
      <w:pPr>
        <w:pStyle w:val="Heading2"/>
      </w:pPr>
      <w:r>
        <w:t>19. Effets du CO₂, de l'O₂ et de l'état systémique</w:t>
      </w:r>
      <w:bookmarkEnd w:id="31"/>
    </w:p>
    <w:p>
      <w:pPr>
        <w:widowControl/>
        <w:spacing w:after="100" w:line="259" w:lineRule="auto"/>
      </w:pPr>
      <w:r>
        <w:rPr>
          <w:rFonts w:ascii="Aptos" w:hAnsi="Aptos" w:eastAsia="Aptos"/>
          <w:color w:val="24323D"/>
          <w:sz w:val="18"/>
        </w:rPr>
        <w:t>Le CO₂ artériel est un modulateur puissant du tonus cérébrovasculaire. L'oxygénation, l'hémoglobine, la température, la viscosité, le débit cardiaque, la pression, les agents anesthésiques, la douleur et l'activité modifient également le CBF ou le signal.</w:t>
      </w:r>
    </w:p>
    <w:p>
      <w:pPr>
        <w:widowControl/>
        <w:spacing w:after="100" w:line="259" w:lineRule="auto"/>
      </w:pPr>
      <w:r>
        <w:rPr>
          <w:rFonts w:ascii="Aptos" w:hAnsi="Aptos" w:eastAsia="Aptos"/>
          <w:color w:val="24323D"/>
          <w:sz w:val="18"/>
        </w:rPr>
        <w:t>Une différence de perfusion entre groupes peut donc provenir d'un état systémique non contrôlé. La mesure scientifique doit enregistrer les variables capables d'altérer le construit et distinguer confondeur, médiateur et composante du phénomène étudié.</w:t>
      </w:r>
    </w:p>
    <w:p>
      <w:bookmarkStart w:id="32" w:name="sec020"/>
      <w:pPr>
        <w:pStyle w:val="Heading2"/>
      </w:pPr>
      <w:r>
        <w:t>20. Principe d'interprétation négative</w:t>
      </w:r>
      <w:bookmarkEnd w:id="32"/>
    </w:p>
    <w:p>
      <w:pPr>
        <w:pStyle w:val="ListBullet"/>
        <w:spacing w:after="50" w:line="247" w:lineRule="auto"/>
      </w:pPr>
      <w:r>
        <w:rPr>
          <w:rFonts w:ascii="Aptos" w:hAnsi="Aptos" w:eastAsia="Aptos"/>
          <w:color w:val="24323D"/>
          <w:sz w:val="18"/>
        </w:rPr>
        <w:t>Un CBF non diminué ne prouve pas une délivrance d'oxygène adéquate si le contenu artériel ou l'extraction sont anormaux.</w:t>
      </w:r>
    </w:p>
    <w:p>
      <w:pPr>
        <w:pStyle w:val="ListBullet"/>
        <w:spacing w:after="50" w:line="247" w:lineRule="auto"/>
      </w:pPr>
      <w:r>
        <w:rPr>
          <w:rFonts w:ascii="Aptos" w:hAnsi="Aptos" w:eastAsia="Aptos"/>
          <w:color w:val="24323D"/>
          <w:sz w:val="18"/>
        </w:rPr>
        <w:t>Un CBV préservé ne prouve pas la viabilité ni un flux capillaire efficace.</w:t>
      </w:r>
    </w:p>
    <w:p>
      <w:pPr>
        <w:pStyle w:val="ListBullet"/>
        <w:spacing w:after="50" w:line="247" w:lineRule="auto"/>
      </w:pPr>
      <w:r>
        <w:rPr>
          <w:rFonts w:ascii="Aptos" w:hAnsi="Aptos" w:eastAsia="Aptos"/>
          <w:color w:val="24323D"/>
          <w:sz w:val="18"/>
        </w:rPr>
        <w:t>Un Tmax normal ne prouve pas l'absence d'une anomalie microvasculaire ou métabolique.</w:t>
      </w:r>
    </w:p>
    <w:p>
      <w:pPr>
        <w:pStyle w:val="ListBullet"/>
        <w:spacing w:after="50" w:line="247" w:lineRule="auto"/>
      </w:pPr>
      <w:r>
        <w:rPr>
          <w:rFonts w:ascii="Aptos" w:hAnsi="Aptos" w:eastAsia="Aptos"/>
          <w:color w:val="24323D"/>
          <w:sz w:val="18"/>
        </w:rPr>
        <w:t>Une ASL négative ne prouve pas l'absence de perfusion si le label n'est pas arrivé ou si la qualité est insuffisante.</w:t>
      </w:r>
    </w:p>
    <w:p>
      <w:pPr>
        <w:pStyle w:val="ListBullet"/>
        <w:spacing w:after="50" w:line="247" w:lineRule="auto"/>
      </w:pPr>
      <w:r>
        <w:rPr>
          <w:rFonts w:ascii="Aptos" w:hAnsi="Aptos" w:eastAsia="Aptos"/>
          <w:color w:val="24323D"/>
          <w:sz w:val="18"/>
        </w:rPr>
        <w:t>Une DCE négative ne prouve pas l'intégrité absolue de la BBB sous la limite de détection.</w:t>
      </w:r>
    </w:p>
    <w:p>
      <w:pPr>
        <w:pStyle w:val="ListBullet"/>
        <w:spacing w:after="50" w:line="247" w:lineRule="auto"/>
      </w:pPr>
      <w:r>
        <w:rPr>
          <w:rFonts w:ascii="Aptos" w:hAnsi="Aptos" w:eastAsia="Aptos"/>
          <w:color w:val="24323D"/>
          <w:sz w:val="18"/>
        </w:rPr>
        <w:t>Une OEF normale ne prouve pas un métabolisme normal si CBF ou CMRO₂ sont réduits ensemble.</w:t>
      </w:r>
    </w:p>
    <w:p>
      <w:bookmarkStart w:id="33" w:name="part04"/>
      <w:pPr>
        <w:pStyle w:val="Heading1"/>
        <w:keepNext/>
        <w:keepLines/>
        <w:pageBreakBefore/>
      </w:pPr>
      <w:r>
        <w:t>PARTIE IV — DILUTION, TRANSIT ET DÉCONVOLUTION</w:t>
      </w:r>
      <w:bookmarkEnd w:id="33"/>
    </w:p>
    <w:p>
      <w:pPr>
        <w:spacing w:after="160"/>
      </w:pPr>
      <w:hyperlink w:anchor="TOC" w:history="1">
        <w:r>
          <w:rPr>
            <w:rStyle w:val="Hyperlink"/>
            <w:color w:val="667085"/>
          </w:rPr>
          <w:t>↑ Retour au sommaire</w:t>
        </w:r>
      </w:hyperlink>
    </w:p>
    <w:p>
      <w:bookmarkStart w:id="34" w:name="sec021"/>
      <w:pPr>
        <w:pStyle w:val="Heading2"/>
      </w:pPr>
      <w:r>
        <w:t>21. Traceur intravasculaire et courbe concentration–temps</w:t>
      </w:r>
      <w:bookmarkEnd w:id="34"/>
    </w:p>
    <w:p>
      <w:pPr>
        <w:widowControl/>
        <w:spacing w:after="100" w:line="259" w:lineRule="auto"/>
      </w:pPr>
      <w:r>
        <w:rPr>
          <w:rFonts w:ascii="Aptos" w:hAnsi="Aptos" w:eastAsia="Aptos"/>
          <w:color w:val="24323D"/>
          <w:sz w:val="18"/>
        </w:rPr>
        <w:t>Les méthodes dynamiques observent le passage d'un bolus ou d'un label. Une courbe tissulaire combine fonction d'entrée, transport vasculaire, dispersion, échange éventuel, recirculation, bruit et réponse instrumentale. Elle ne représente pas directement le débit.</w:t>
      </w:r>
    </w:p>
    <w:p>
      <w:pPr>
        <w:widowControl/>
        <w:spacing w:after="100" w:line="259" w:lineRule="auto"/>
      </w:pPr>
      <w:r>
        <w:rPr>
          <w:rFonts w:ascii="Aptos" w:hAnsi="Aptos" w:eastAsia="Aptos"/>
          <w:color w:val="24323D"/>
          <w:sz w:val="18"/>
        </w:rPr>
        <w:t>La transformation signal–concentration doit être justifiée. En CT, l'atténuation est approximativement reliée à la concentration iodée dans un domaine. En DSC, la variation de relaxation transverse effective est reliée à la concentration sous hypothèses de susceptibilité. En DCE, la relation T1–signal–concentration dépend de la cartographie ou d'une baseline appropriée.</w:t>
      </w:r>
    </w:p>
    <w:p>
      <w:bookmarkStart w:id="35" w:name="sec022"/>
      <w:pPr>
        <w:pStyle w:val="Heading2"/>
      </w:pPr>
      <w:r>
        <w:t>22. Fonction d'entrée artérielle et sortie veineuse</w:t>
      </w:r>
      <w:bookmarkEnd w:id="35"/>
    </w:p>
    <w:p>
      <w:pPr>
        <w:widowControl/>
        <w:spacing w:after="100" w:line="259" w:lineRule="auto"/>
      </w:pPr>
      <w:r>
        <w:rPr>
          <w:rFonts w:ascii="Aptos" w:hAnsi="Aptos" w:eastAsia="Aptos"/>
          <w:color w:val="24323D"/>
          <w:sz w:val="18"/>
        </w:rPr>
        <w:t>La fonction d'entrée artérielle (AIF) représente la concentration de traceur délivrée au territoire. Son choix, sa localisation, le volume partiel, la saturation, le délai et la dispersion influencent tous les paramètres. Une fonction de sortie veineuse peut servir de contrôle d'échelle ou de récupération du bolus, sans corriger toutes les erreurs.</w:t>
      </w:r>
    </w:p>
    <w:p>
      <w:pPr>
        <w:widowControl/>
        <w:spacing w:after="100" w:line="259" w:lineRule="auto"/>
      </w:pPr>
      <w:r>
        <w:rPr>
          <w:rFonts w:ascii="Aptos" w:hAnsi="Aptos" w:eastAsia="Aptos"/>
          <w:color w:val="24323D"/>
          <w:sz w:val="18"/>
        </w:rPr>
        <w:t>Une AIF globale suppose que l'entrée choisie décrit le territoire ; une AIF locale est plus proche mais plus bruitée et exposée au volume partiel. Aucune stratégie n'est universelle. Le corpus exige seulement que l'AIF et ses corrections soient visibles.</w:t>
      </w:r>
    </w:p>
    <w:p>
      <w:bookmarkStart w:id="36" w:name="sec023"/>
      <w:pPr>
        <w:pStyle w:val="Heading2"/>
      </w:pPr>
      <w:r>
        <w:t>23. Résidu tissulaire</w:t>
      </w:r>
      <w:bookmarkEnd w:id="36"/>
    </w:p>
    <w:p>
      <w:pPr>
        <w:widowControl/>
        <w:spacing w:after="100" w:line="259" w:lineRule="auto"/>
      </w:pPr>
      <w:r>
        <w:rPr>
          <w:rFonts w:ascii="Aptos" w:hAnsi="Aptos" w:eastAsia="Aptos"/>
          <w:color w:val="24323D"/>
          <w:sz w:val="18"/>
        </w:rPr>
        <w:t>La fonction résidu décrit la fraction idéale du traceur encore présente dans le tissu après une injection impulsionnelle. Sa valeur initiale et sa forme permettent d'estimer le débit et la distribution des transits dans le cadre de la dilution indicatrice [R01, R02].</w:t>
      </w:r>
    </w:p>
    <w:p>
      <w:pPr>
        <w:widowControl/>
        <w:spacing w:after="100" w:line="259" w:lineRule="auto"/>
      </w:pPr>
      <w:r>
        <w:rPr>
          <w:rFonts w:ascii="Aptos" w:hAnsi="Aptos" w:eastAsia="Aptos"/>
          <w:color w:val="24323D"/>
          <w:sz w:val="18"/>
        </w:rPr>
        <w:t>Le résidu n'est pas directement observé : il est reconstruit par déconvolution. Les oscillations, valeurs négatives, lissage ou contrainte de monotonie révèlent le compromis entre bruit, modèle et résolution.</w:t>
      </w:r>
    </w:p>
    <w:p>
      <w:bookmarkStart w:id="37" w:name="sec024"/>
      <w:pPr>
        <w:pStyle w:val="Heading2"/>
      </w:pPr>
      <w:r>
        <w:t>24. Déconvolution et régularisation</w:t>
      </w:r>
      <w:bookmarkEnd w:id="37"/>
    </w:p>
    <w:p>
      <w:pPr>
        <w:widowControl/>
        <w:spacing w:after="100" w:line="259" w:lineRule="auto"/>
      </w:pPr>
      <w:r>
        <w:rPr>
          <w:rFonts w:ascii="Aptos" w:hAnsi="Aptos" w:eastAsia="Aptos"/>
          <w:color w:val="24323D"/>
          <w:sz w:val="18"/>
        </w:rPr>
        <w:t>La déconvolution cherche la fonction qui, combinée à l'AIF, reproduit la courbe tissulaire. L'inversion est mal conditionnée : le bruit et une AIF imparfaite peuvent produire de grandes variations. Les méthodes SVD, block-circulant, bayésiennes, paramétriques ou régularisées imposent des propriétés différentes [R01–R04].</w:t>
      </w:r>
    </w:p>
    <w:p>
      <w:pPr>
        <w:widowControl/>
        <w:spacing w:after="100" w:line="259" w:lineRule="auto"/>
      </w:pPr>
      <w:r>
        <w:rPr>
          <w:rFonts w:ascii="Aptos" w:hAnsi="Aptos" w:eastAsia="Aptos"/>
          <w:color w:val="24323D"/>
          <w:sz w:val="18"/>
        </w:rPr>
        <w:t>Une méthode dite delay-insensitive réduit une dépendance algorithmique au décalage sans rendre la physiologie insensible au délai. La régularisation stabilise au prix d'un biais. Le réglage doit être traité comme une composante de version scientifique.</w:t>
      </w:r>
    </w:p>
    <w:p>
      <w:bookmarkStart w:id="38" w:name="sec025"/>
      <w:pPr>
        <w:pStyle w:val="Heading2"/>
      </w:pPr>
      <w:r>
        <w:t>25. Délai, dispersion et troncature</w:t>
      </w:r>
      <w:bookmarkEnd w:id="38"/>
    </w:p>
    <w:p>
      <w:pPr>
        <w:widowControl/>
        <w:spacing w:after="100" w:line="259" w:lineRule="auto"/>
      </w:pPr>
      <w:r>
        <w:rPr>
          <w:rFonts w:ascii="Aptos" w:hAnsi="Aptos" w:eastAsia="Aptos"/>
          <w:color w:val="24323D"/>
          <w:sz w:val="18"/>
        </w:rPr>
        <w:t>Le délai déplace le bolus ; la dispersion en élargit et abaisse le pic. Tous deux peuvent faire paraître le flux plus faible ou le transit plus long. Une durée d'acquisition insuffisante tronque l'entrée, le tissu ou la recirculation et biaise CBV, CBF et MTT.</w:t>
      </w:r>
    </w:p>
    <w:p>
      <w:pPr>
        <w:widowControl/>
        <w:spacing w:after="100" w:line="259" w:lineRule="auto"/>
      </w:pPr>
      <w:r>
        <w:rPr>
          <w:rFonts w:ascii="Aptos" w:hAnsi="Aptos" w:eastAsia="Aptos"/>
          <w:color w:val="24323D"/>
          <w:sz w:val="18"/>
        </w:rPr>
        <w:t>Tmax est particulièrement sensible au cadre temporel et aux interpolations [R03]. Une correction de délai peut améliorer CBF tout en supprimant une information collatérale utile. Le document exige donc de conserver la carte corrigée et la caractérisation du délai comme construits distincts.</w:t>
      </w:r>
    </w:p>
    <w:p>
      <w:bookmarkStart w:id="39" w:name="sec026"/>
      <w:pPr>
        <w:pStyle w:val="Heading2"/>
      </w:pPr>
      <w:r>
        <w:t>26. Identifiabilité et propagation d'incertitude</w:t>
      </w:r>
      <w:bookmarkEnd w:id="39"/>
    </w:p>
    <w:p>
      <w:pPr>
        <w:widowControl/>
        <w:spacing w:after="100" w:line="259" w:lineRule="auto"/>
      </w:pPr>
      <w:r>
        <w:rPr>
          <w:rFonts w:ascii="Aptos" w:hAnsi="Aptos" w:eastAsia="Aptos"/>
          <w:color w:val="24323D"/>
          <w:sz w:val="18"/>
        </w:rPr>
        <w:t>Un jeu de courbes ne permet pas toujours d'identifier simultanément débit, volume, délai, dispersion, perméabilité et espaces de distribution. Deux combinaisons de paramètres peuvent produire des signaux proches. Une estimation stable numériquement peut alors être déterminée par la contrainte plutôt que par les données.</w:t>
      </w:r>
    </w:p>
    <w:p>
      <w:pPr>
        <w:widowControl/>
        <w:spacing w:after="100" w:line="259" w:lineRule="auto"/>
      </w:pPr>
      <w:r>
        <w:rPr>
          <w:rFonts w:ascii="Aptos" w:hAnsi="Aptos" w:eastAsia="Aptos"/>
          <w:color w:val="24323D"/>
          <w:sz w:val="18"/>
        </w:rPr>
        <w:t>L'incertitude doit inclure bruit, AIF, conversion du signal, régularisation, mouvement, segmentation, volume partiel, référence et variabilité physiologique. Les cartes voxel-wise de confiance restent utiles seulement si elles représentent aussi les biais systématiques pertinents.</w:t>
      </w:r>
    </w:p>
    <w:p>
      <w:bookmarkStart w:id="40" w:name="part05"/>
      <w:pPr>
        <w:pStyle w:val="Heading1"/>
        <w:keepNext/>
        <w:keepLines/>
        <w:pageBreakBefore/>
      </w:pPr>
      <w:r>
        <w:t>PARTIE V — OXYGÉNATION ET MÉTABOLISME CÉRÉBRAL</w:t>
      </w:r>
      <w:bookmarkEnd w:id="40"/>
    </w:p>
    <w:p>
      <w:pPr>
        <w:spacing w:after="160"/>
      </w:pPr>
      <w:hyperlink w:anchor="TOC" w:history="1">
        <w:r>
          <w:rPr>
            <w:rStyle w:val="Hyperlink"/>
            <w:color w:val="667085"/>
          </w:rPr>
          <w:t>↑ Retour au sommaire</w:t>
        </w:r>
      </w:hyperlink>
    </w:p>
    <w:p>
      <w:bookmarkStart w:id="41" w:name="sec027"/>
      <w:pPr>
        <w:pStyle w:val="Heading2"/>
      </w:pPr>
      <w:r>
        <w:t>27. Délivrance et contenu artériel en oxygène</w:t>
      </w:r>
      <w:bookmarkEnd w:id="41"/>
    </w:p>
    <w:p>
      <w:pPr>
        <w:widowControl/>
        <w:spacing w:after="100" w:line="259" w:lineRule="auto"/>
      </w:pPr>
      <w:r>
        <w:rPr>
          <w:rFonts w:ascii="Aptos" w:hAnsi="Aptos" w:eastAsia="Aptos"/>
          <w:color w:val="24323D"/>
          <w:sz w:val="18"/>
        </w:rPr>
        <w:t>La délivrance cérébrale d'oxygène est le produit du CBF par le contenu artériel en oxygène. Ce contenu dépend principalement de l'hémoglobine et de sa saturation, avec une contribution dissoute plus faible. Une carte de CBF seule ne suffit donc pas à quantifier la disponibilité en oxygène.</w:t>
      </w:r>
    </w:p>
    <w:p>
      <w:pPr>
        <w:widowControl/>
        <w:spacing w:after="100" w:line="259" w:lineRule="auto"/>
      </w:pPr>
      <w:r>
        <w:rPr>
          <w:rFonts w:ascii="Aptos" w:hAnsi="Aptos" w:eastAsia="Aptos"/>
          <w:color w:val="24323D"/>
          <w:sz w:val="18"/>
        </w:rPr>
        <w:t>La physiologie compense parfois une baisse de contenu par une augmentation de débit, ou une baisse de débit par une extraction accrue. L'interprétation exige de distinguer offre, extraction et consommation.</w:t>
      </w:r>
    </w:p>
    <w:p>
      <w:bookmarkStart w:id="42" w:name="sec028"/>
      <w:pPr>
        <w:pStyle w:val="Heading2"/>
      </w:pPr>
      <w:r>
        <w:t>28. OEF — Oxygen Extraction Fraction</w:t>
      </w:r>
      <w:bookmarkEnd w:id="42"/>
    </w:p>
    <w:p>
      <w:pPr>
        <w:widowControl/>
        <w:spacing w:after="100" w:line="259" w:lineRule="auto"/>
      </w:pPr>
      <w:r>
        <w:rPr>
          <w:rFonts w:ascii="Aptos" w:hAnsi="Aptos" w:eastAsia="Aptos"/>
          <w:color w:val="24323D"/>
          <w:sz w:val="18"/>
        </w:rPr>
        <w:t>L'OEF est la fraction de l'oxygène artériel extrait par le tissu avant le retour veineux. Elle peut être mesurée ou estimée à l'échelle globale ou régionale. L'OEF ne décrit ni le débit ni la consommation isolément.</w:t>
      </w:r>
    </w:p>
    <w:p>
      <w:pPr>
        <w:widowControl/>
        <w:spacing w:after="100" w:line="259" w:lineRule="auto"/>
      </w:pPr>
      <w:r>
        <w:rPr>
          <w:rFonts w:ascii="Aptos" w:hAnsi="Aptos" w:eastAsia="Aptos"/>
          <w:color w:val="24323D"/>
          <w:sz w:val="18"/>
        </w:rPr>
        <w:t>L'OEF PET à l'oxygène-15 repose sur une modélisation du traceur et des corrections de volume sanguin, recirculation et hétérogénéité. Les méthodes MRI exploitent notamment susceptibilité, T2 du sang, qBOLD, TRUST, QSM ou calibration, avec des hypothèses différentes [R31–R38, R62]. Une valeur commune ne prouve pas l'équivalence des méthodes.</w:t>
      </w:r>
    </w:p>
    <w:p>
      <w:bookmarkStart w:id="43" w:name="sec029"/>
      <w:pPr>
        <w:pStyle w:val="Heading2"/>
      </w:pPr>
      <w:r>
        <w:t>29. CMRO₂ — Cerebral Metabolic Rate of Oxygen</w:t>
      </w:r>
      <w:bookmarkEnd w:id="43"/>
    </w:p>
    <w:p>
      <w:pPr>
        <w:widowControl/>
        <w:spacing w:after="100" w:line="259" w:lineRule="auto"/>
      </w:pPr>
      <w:r>
        <w:rPr>
          <w:rFonts w:ascii="Aptos" w:hAnsi="Aptos" w:eastAsia="Aptos"/>
          <w:color w:val="24323D"/>
          <w:sz w:val="18"/>
        </w:rPr>
        <w:t>Le CMRO₂ est la quantité d'oxygène consommée par le tissu par unité de temps. Dans une formulation de Fick, CMRO₂ = CBF × contenu artériel en oxygène × OEF, avec conversions d'unités appropriées. Chacun des trois termes apporte son incertitude.</w:t>
      </w:r>
    </w:p>
    <w:p>
      <w:pPr>
        <w:widowControl/>
        <w:spacing w:after="100" w:line="259" w:lineRule="auto"/>
      </w:pPr>
      <w:r>
        <w:rPr>
          <w:rFonts w:ascii="Aptos" w:hAnsi="Aptos" w:eastAsia="Aptos"/>
          <w:color w:val="24323D"/>
          <w:sz w:val="18"/>
        </w:rPr>
        <w:t>Une carte de CMRO₂ est donc une composition de mesures, corrections et hypothèses. Un apparent maintien du CMRO₂ peut masquer des erreurs compensées ; une baisse peut provenir d'un CBF réduit, d'une extraction réduite, d'un métabolisme cellulaire diminué ou d'un échec de modèle [R31–R34].</w:t>
      </w:r>
    </w:p>
    <w:p>
      <w:bookmarkStart w:id="44" w:name="sec030"/>
      <w:pPr>
        <w:pStyle w:val="Heading2"/>
      </w:pPr>
      <w:r>
        <w:t>30. Couplage débit–métabolisme</w:t>
      </w:r>
      <w:bookmarkEnd w:id="44"/>
    </w:p>
    <w:p>
      <w:pPr>
        <w:widowControl/>
        <w:spacing w:after="100" w:line="259" w:lineRule="auto"/>
      </w:pPr>
      <w:r>
        <w:rPr>
          <w:rFonts w:ascii="Aptos" w:hAnsi="Aptos" w:eastAsia="Aptos"/>
          <w:color w:val="24323D"/>
          <w:sz w:val="18"/>
        </w:rPr>
        <w:t>Au repos, débit et métabolisme sont liés sans proportion fixe universelle. Lors d'une activation, l'augmentation de CBF peut dépasser celle du CMRO₂, ce qui modifie l'oxygénation veineuse et le signal BOLD. Un signal BOLD n'est donc ni un CBF ni un CMRO₂ direct.</w:t>
      </w:r>
    </w:p>
    <w:p>
      <w:pPr>
        <w:widowControl/>
        <w:spacing w:after="100" w:line="259" w:lineRule="auto"/>
      </w:pPr>
      <w:r>
        <w:rPr>
          <w:rFonts w:ascii="Aptos" w:hAnsi="Aptos" w:eastAsia="Aptos"/>
          <w:color w:val="24323D"/>
          <w:sz w:val="18"/>
        </w:rPr>
        <w:t>En ischémie chronique, l'extraction peut augmenter lorsque l'autorégulation vasodilatatrice ne suffit plus. En lésion sévère, CBF, OEF et CMRO₂ peuvent évoluer dans des directions différentes selon le temps et la viabilité. Les stades hémodynamiques sont des cadres, non des états binaires.</w:t>
      </w:r>
    </w:p>
    <w:p>
      <w:bookmarkStart w:id="45" w:name="sec031"/>
      <w:pPr>
        <w:pStyle w:val="Heading2"/>
      </w:pPr>
      <w:r>
        <w:t>31. Référence PET et limites</w:t>
      </w:r>
      <w:bookmarkEnd w:id="45"/>
    </w:p>
    <w:p>
      <w:pPr>
        <w:widowControl/>
        <w:spacing w:after="100" w:line="259" w:lineRule="auto"/>
      </w:pPr>
      <w:r>
        <w:rPr>
          <w:rFonts w:ascii="Aptos" w:hAnsi="Aptos" w:eastAsia="Aptos"/>
          <w:color w:val="24323D"/>
          <w:sz w:val="18"/>
        </w:rPr>
        <w:t>Le PET à l'eau-15 fournit une référence quantitative importante pour le CBF ; le PET à l'oxygène-15 permet OEF et CMRO₂. Son statut de référence vient d'une chaîne physiologique explicite et d'une longue expérience, non d'une absence d'erreur [R31, R32, R65].</w:t>
      </w:r>
    </w:p>
    <w:p>
      <w:pPr>
        <w:widowControl/>
        <w:spacing w:after="100" w:line="259" w:lineRule="auto"/>
      </w:pPr>
      <w:r>
        <w:rPr>
          <w:rFonts w:ascii="Aptos" w:hAnsi="Aptos" w:eastAsia="Aptos"/>
          <w:color w:val="24323D"/>
          <w:sz w:val="18"/>
        </w:rPr>
        <w:t>Échantillonnage artériel, métabolites, délai sanguin, volume partiel, faible résolution, temps d'examen, inhalation ou injection et modèle cinétique influencent les résultats. Une validation contre PET doit apparier les temps physiologiques, les territoires et les définitions.</w:t>
      </w:r>
    </w:p>
    <w:p>
      <w:bookmarkStart w:id="46" w:name="sec032"/>
      <w:pPr>
        <w:pStyle w:val="Heading2"/>
      </w:pPr>
      <w:r>
        <w:t>32. Hétérogénéité capillaire et extraction</w:t>
      </w:r>
      <w:bookmarkEnd w:id="46"/>
    </w:p>
    <w:p>
      <w:pPr>
        <w:widowControl/>
        <w:spacing w:after="100" w:line="259" w:lineRule="auto"/>
      </w:pPr>
      <w:r>
        <w:rPr>
          <w:rFonts w:ascii="Aptos" w:hAnsi="Aptos" w:eastAsia="Aptos"/>
          <w:color w:val="24323D"/>
          <w:sz w:val="18"/>
        </w:rPr>
        <w:t>L'extraction dépend du temps de contact, de la surface d'échange, de la diffusion et de la distribution des vitesses capillaires. Deux tissus ayant le même CBF moyen peuvent différer par hétérogénéité des transits et efficacité d'extraction.</w:t>
      </w:r>
    </w:p>
    <w:p>
      <w:pPr>
        <w:widowControl/>
        <w:spacing w:after="100" w:line="259" w:lineRule="auto"/>
      </w:pPr>
      <w:r>
        <w:rPr>
          <w:rFonts w:ascii="Aptos" w:hAnsi="Aptos" w:eastAsia="Aptos"/>
          <w:color w:val="24323D"/>
          <w:sz w:val="18"/>
        </w:rPr>
        <w:t>Les modèles reliant capillary transit-time heterogeneity à l'oxygénation sont scientifiquement plausibles mais difficiles à valider in vivo. Le corpus les classe comme construits translationnels jusqu'à démonstration métrologique et biologique adaptée.</w:t>
      </w:r>
    </w:p>
    <w:p>
      <w:bookmarkStart w:id="47" w:name="part06"/>
      <w:pPr>
        <w:pStyle w:val="Heading1"/>
        <w:keepNext/>
        <w:keepLines/>
        <w:pageBreakBefore/>
      </w:pPr>
      <w:r>
        <w:t>PARTIE VI — COUPLAGE NEUROVASCULAIRE ET BARRIÈRE HÉMATO-ENCÉPHALIQUE</w:t>
      </w:r>
      <w:bookmarkEnd w:id="47"/>
    </w:p>
    <w:p>
      <w:pPr>
        <w:spacing w:after="160"/>
      </w:pPr>
      <w:hyperlink w:anchor="TOC" w:history="1">
        <w:r>
          <w:rPr>
            <w:rStyle w:val="Hyperlink"/>
            <w:color w:val="667085"/>
          </w:rPr>
          <w:t>↑ Retour au sommaire</w:t>
        </w:r>
      </w:hyperlink>
    </w:p>
    <w:p>
      <w:bookmarkStart w:id="48" w:name="sec033"/>
      <w:pPr>
        <w:pStyle w:val="Heading2"/>
      </w:pPr>
      <w:r>
        <w:t>33. Unité neurovasculaire</w:t>
      </w:r>
      <w:bookmarkEnd w:id="48"/>
    </w:p>
    <w:p>
      <w:pPr>
        <w:widowControl/>
        <w:spacing w:after="100" w:line="259" w:lineRule="auto"/>
      </w:pPr>
      <w:r>
        <w:rPr>
          <w:rFonts w:ascii="Aptos" w:hAnsi="Aptos" w:eastAsia="Aptos"/>
          <w:color w:val="24323D"/>
          <w:sz w:val="18"/>
        </w:rPr>
        <w:t>L'unité neurovasculaire associe neurones, endothélium, cellules musculaires lisses, péricytes, astrocytes, microglie, matrice et éléments sanguins. Elle décrit un système de régulation et d'échange, non une structure unique mesurable par une seule carte.</w:t>
      </w:r>
    </w:p>
    <w:p>
      <w:pPr>
        <w:widowControl/>
        <w:spacing w:after="100" w:line="259" w:lineRule="auto"/>
      </w:pPr>
      <w:r>
        <w:rPr>
          <w:rFonts w:ascii="Aptos" w:hAnsi="Aptos" w:eastAsia="Aptos"/>
          <w:color w:val="24323D"/>
          <w:sz w:val="18"/>
        </w:rPr>
        <w:t>Les rôles respectifs des astrocytes, péricytes, interneurones et cellules endothéliales dans l'hyperémie fonctionnelle restent partiellement controversés. Des travaux expérimentaux soutiennent plusieurs voies selon le segment vasculaire et le modèle [R09–R11].</w:t>
      </w:r>
    </w:p>
    <w:p>
      <w:bookmarkStart w:id="49" w:name="sec034"/>
      <w:pPr>
        <w:pStyle w:val="Heading2"/>
      </w:pPr>
      <w:r>
        <w:t>34. Couplage neurovasculaire</w:t>
      </w:r>
      <w:bookmarkEnd w:id="49"/>
    </w:p>
    <w:p>
      <w:pPr>
        <w:widowControl/>
        <w:spacing w:after="100" w:line="259" w:lineRule="auto"/>
      </w:pPr>
      <w:r>
        <w:rPr>
          <w:rFonts w:ascii="Aptos" w:hAnsi="Aptos" w:eastAsia="Aptos"/>
          <w:color w:val="24323D"/>
          <w:sz w:val="18"/>
        </w:rPr>
        <w:t>Le couplage neurovasculaire est la réponse du flux local à une variation d'activité neuronale. Il se distingue de l'autorégulation, réponse à la pression, et de la réactivité à un stimulus vasoactif. Ces mécanismes interagissent mais ne sont pas substituables [R07, R63].</w:t>
      </w:r>
    </w:p>
    <w:p>
      <w:pPr>
        <w:widowControl/>
        <w:spacing w:after="100" w:line="259" w:lineRule="auto"/>
      </w:pPr>
      <w:r>
        <w:rPr>
          <w:rFonts w:ascii="Aptos" w:hAnsi="Aptos" w:eastAsia="Aptos"/>
          <w:color w:val="24323D"/>
          <w:sz w:val="18"/>
        </w:rPr>
        <w:t>Une altération du couplage peut produire un signal fonctionnel réduit sans réduction proportionnelle de l'activité neuronale. Toute étude BOLD ou perfusionnelle fonctionnelle doit donc considérer le statut vasculaire comme composante du modèle d'inférence.</w:t>
      </w:r>
    </w:p>
    <w:p>
      <w:bookmarkStart w:id="50" w:name="sec035"/>
      <w:pPr>
        <w:pStyle w:val="Heading2"/>
      </w:pPr>
      <w:r>
        <w:t>35. Architecture de la BBB</w:t>
      </w:r>
      <w:bookmarkEnd w:id="50"/>
    </w:p>
    <w:p>
      <w:pPr>
        <w:widowControl/>
        <w:spacing w:after="100" w:line="259" w:lineRule="auto"/>
      </w:pPr>
      <w:r>
        <w:rPr>
          <w:rFonts w:ascii="Aptos" w:hAnsi="Aptos" w:eastAsia="Aptos"/>
          <w:color w:val="24323D"/>
          <w:sz w:val="18"/>
        </w:rPr>
        <w:t>La barrière hémato-encéphalique repose sur un endothélium spécialisé, des jonctions, transporteurs, membrane basale, péricytes et pieds astrocytaires. Elle régule flux paracellulaire, transcellulaire et transport sélectif. Le terme « ouverture » simplifie un continuum de voies et de dimensions.</w:t>
      </w:r>
    </w:p>
    <w:p>
      <w:pPr>
        <w:widowControl/>
        <w:spacing w:after="100" w:line="259" w:lineRule="auto"/>
      </w:pPr>
      <w:r>
        <w:rPr>
          <w:rFonts w:ascii="Aptos" w:hAnsi="Aptos" w:eastAsia="Aptos"/>
          <w:color w:val="24323D"/>
          <w:sz w:val="18"/>
        </w:rPr>
        <w:t>Une augmentation de rehaussement peut refléter perméabilité, surface vasculaire, concentration plasmatique, débit, volume extracellulaire, inflammation ou rupture franche. Une absence de rehaussement n'exclut pas une fuite faible ou un transport non détecté.</w:t>
      </w:r>
    </w:p>
    <w:p>
      <w:bookmarkStart w:id="51" w:name="sec036"/>
      <w:pPr>
        <w:pStyle w:val="Heading2"/>
      </w:pPr>
      <w:r>
        <w:t>36. Ktrans, Ki, PS et espaces de distribution</w:t>
      </w:r>
      <w:bookmarkEnd w:id="51"/>
    </w:p>
    <w:p>
      <w:pPr>
        <w:widowControl/>
        <w:spacing w:after="100" w:line="259" w:lineRule="auto"/>
      </w:pPr>
      <w:r>
        <w:rPr>
          <w:rFonts w:ascii="Aptos" w:hAnsi="Aptos" w:eastAsia="Aptos"/>
          <w:color w:val="24323D"/>
          <w:sz w:val="18"/>
        </w:rPr>
        <w:t>Ktrans est un coefficient de transfert dépendant du modèle. Dans un régime flow-limited, il peut refléter davantage la perfusion ; dans un régime permeability-limited, davantage le produit perméabilité–surface. Il ne doit pas être renommé « perméabilité » sans qualifier le régime [R28–R30].</w:t>
      </w:r>
    </w:p>
    <w:p>
      <w:pPr>
        <w:widowControl/>
        <w:spacing w:after="100" w:line="259" w:lineRule="auto"/>
      </w:pPr>
      <w:r>
        <w:rPr>
          <w:rFonts w:ascii="Aptos" w:hAnsi="Aptos" w:eastAsia="Aptos"/>
          <w:color w:val="24323D"/>
          <w:sz w:val="18"/>
        </w:rPr>
        <w:t>Ki sous modèle de Patlak suppose un influx approximativement unidirectionnel pendant la fenêtre analysée. vp représente une fraction plasmatique estimée ; ve un espace extravasculaire extracellulaire accessible ; kep est dérivé de Ktrans et ve dans le modèle concerné. Ces paramètres ne sont pas des volumes histologiques directs.</w:t>
      </w:r>
    </w:p>
    <w:p>
      <w:bookmarkStart w:id="52" w:name="sec037"/>
      <w:pPr>
        <w:pStyle w:val="Heading2"/>
      </w:pPr>
      <w:r>
        <w:t>37. Faibles fuites et limites de détection</w:t>
      </w:r>
      <w:bookmarkEnd w:id="52"/>
    </w:p>
    <w:p>
      <w:pPr>
        <w:widowControl/>
        <w:spacing w:after="100" w:line="259" w:lineRule="auto"/>
      </w:pPr>
      <w:r>
        <w:rPr>
          <w:rFonts w:ascii="Aptos" w:hAnsi="Aptos" w:eastAsia="Aptos"/>
          <w:color w:val="24323D"/>
          <w:sz w:val="18"/>
        </w:rPr>
        <w:t>Dans le cerveau apparemment normal, le signal de fuite peut être proche du bruit, de la dérive et des erreurs de mouvement. La durée, la stabilité T1, l'AIF, le modèle et la régularisation deviennent déterminants [R29, R30].</w:t>
      </w:r>
    </w:p>
    <w:p>
      <w:pPr>
        <w:widowControl/>
        <w:spacing w:after="100" w:line="259" w:lineRule="auto"/>
      </w:pPr>
      <w:r>
        <w:rPr>
          <w:rFonts w:ascii="Aptos" w:hAnsi="Aptos" w:eastAsia="Aptos"/>
          <w:color w:val="24323D"/>
          <w:sz w:val="18"/>
        </w:rPr>
        <w:t>La limite de détection doit être séparée de la limite de quantification. Un voxel classé sans fuite peut se situer sous la sensibilité de la chaîne. Une comparaison de groupes peut détecter un effet moyen sans permettre une classification individuelle.</w:t>
      </w:r>
    </w:p>
    <w:p>
      <w:bookmarkStart w:id="53" w:name="sec038"/>
      <w:pPr>
        <w:pStyle w:val="Heading2"/>
      </w:pPr>
      <w:r>
        <w:t>38. Perméabilité, inflammation et causalité</w:t>
      </w:r>
      <w:bookmarkEnd w:id="53"/>
    </w:p>
    <w:p>
      <w:pPr>
        <w:widowControl/>
        <w:spacing w:after="100" w:line="259" w:lineRule="auto"/>
      </w:pPr>
      <w:r>
        <w:rPr>
          <w:rFonts w:ascii="Aptos" w:hAnsi="Aptos" w:eastAsia="Aptos"/>
          <w:color w:val="24323D"/>
          <w:sz w:val="18"/>
        </w:rPr>
        <w:t>Une association entre fuite de contraste et maladie ne prouve pas que la BBB est la cause primaire. La fuite peut être cause, conséquence, marqueur d'activité, effet du traitement ou combinaison de mécanismes.</w:t>
      </w:r>
    </w:p>
    <w:p>
      <w:pPr>
        <w:widowControl/>
        <w:spacing w:after="100" w:line="259" w:lineRule="auto"/>
      </w:pPr>
      <w:r>
        <w:rPr>
          <w:rFonts w:ascii="Aptos" w:hAnsi="Aptos" w:eastAsia="Aptos"/>
          <w:color w:val="24323D"/>
          <w:sz w:val="18"/>
        </w:rPr>
        <w:t>La causalité exige temporalité, dose–réponse, mécanisme, contrôles et validation indépendante. RB-005 autorise « marqueur de transfert ou de fuite selon le modèle », et refuse « barrière détruite » ou « inflammation prouvée » sans chaîne additionnelle.</w:t>
      </w:r>
    </w:p>
    <w:p>
      <w:bookmarkStart w:id="54" w:name="part07"/>
      <w:pPr>
        <w:pStyle w:val="Heading1"/>
        <w:keepNext/>
        <w:keepLines/>
        <w:pageBreakBefore/>
      </w:pPr>
      <w:r>
        <w:t>PARTIE VII — MODALITÉS : COMPARAISON CONCEPTUELLE</w:t>
      </w:r>
      <w:bookmarkEnd w:id="54"/>
    </w:p>
    <w:p>
      <w:pPr>
        <w:spacing w:after="160"/>
      </w:pPr>
      <w:hyperlink w:anchor="TOC" w:history="1">
        <w:r>
          <w:rPr>
            <w:rStyle w:val="Hyperlink"/>
            <w:color w:val="667085"/>
          </w:rPr>
          <w:t>↑ Retour au sommaire</w:t>
        </w:r>
      </w:hyperlink>
    </w:p>
    <w:p>
      <w:bookmarkStart w:id="55" w:name="sec039"/>
      <w:pPr>
        <w:pStyle w:val="Heading2"/>
      </w:pPr>
      <w:r>
        <w:t>39. Une modalité n'est pas un construit</w:t>
      </w:r>
      <w:bookmarkEnd w:id="55"/>
    </w:p>
    <w:p>
      <w:pPr>
        <w:widowControl/>
        <w:spacing w:after="100" w:line="259" w:lineRule="auto"/>
      </w:pPr>
      <w:r>
        <w:rPr>
          <w:rFonts w:ascii="Aptos" w:hAnsi="Aptos" w:eastAsia="Aptos"/>
          <w:color w:val="24323D"/>
          <w:sz w:val="18"/>
        </w:rPr>
        <w:t>CTP, DSC, DCE, ASL et PET sont des familles d'expériences. Elles produisent plusieurs observables et partagent parfois un nom de biomarqueur. Le choix scientifique doit partir du construit, de la temporalité, du compartiment, de la référence et de l'incertitude, non de la disponibilité d'une carte.</w:t>
      </w:r>
    </w:p>
    <w:p>
      <w:bookmarkStart w:id="56" w:name="sec040"/>
      <w:pPr>
        <w:pStyle w:val="Heading2"/>
      </w:pPr>
      <w:r>
        <w:t>40. Matrice transmodale</w:t>
      </w:r>
      <w:bookmarkEnd w:id="56"/>
    </w:p>
    <w:p>
      <w:pPr>
        <w:pStyle w:val="Caption"/>
        <w:spacing w:before="120" w:after="60"/>
        <w:jc w:val="left"/>
        <w:keepNext/>
        <w:keepLines/>
      </w:pPr>
      <w:r>
        <w:rPr>
          <w:rFonts w:ascii="Aptos" w:hAnsi="Aptos" w:eastAsia="Aptos"/>
          <w:b/>
          <w:color w:val="667085"/>
          <w:sz w:val="16"/>
        </w:rPr>
        <w:t>Tableau 5 — Comparaison des familles de mesure</w:t>
      </w:r>
    </w:p>
    <w:tbl>
      <w:tblPr>
        <w:tblStyle w:val="TableGrid"/>
        <w:tblW w:type="dxa" w:w="9835"/>
        <w:jc w:val="center"/>
        <w:tblLayout w:type="fixed"/>
        <w:tblLook w:firstColumn="1" w:firstRow="1" w:lastColumn="0" w:lastRow="0" w:noHBand="0" w:noVBand="1" w:val="04A0"/>
        <w:tblInd w:w="90" w:type="dxa"/>
      </w:tblPr>
      <w:tblGrid>
        <w:gridCol w:w="1262"/>
        <w:gridCol w:w="1841"/>
        <w:gridCol w:w="2314"/>
        <w:gridCol w:w="2209"/>
        <w:gridCol w:w="2209"/>
      </w:tblGrid>
      <w:tr>
        <w:trPr>
          <w:tblHeader w:val="true"/>
          <w:cantSplit/>
        </w:trPr>
        <w:tc>
          <w:tcPr>
            <w:tcW w:type="dxa" w:w="1262"/>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Famille</w:t>
            </w:r>
          </w:p>
        </w:tc>
        <w:tc>
          <w:tcPr>
            <w:tcW w:type="dxa" w:w="184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Traceur / contraste</w:t>
            </w:r>
          </w:p>
        </w:tc>
        <w:tc>
          <w:tcPr>
            <w:tcW w:type="dxa" w:w="2314"/>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Sorties principales</w:t>
            </w:r>
          </w:p>
        </w:tc>
        <w:tc>
          <w:tcPr>
            <w:tcW w:type="dxa" w:w="2209"/>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Force scientifique</w:t>
            </w:r>
          </w:p>
        </w:tc>
        <w:tc>
          <w:tcPr>
            <w:tcW w:type="dxa" w:w="2209"/>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Limite structurante</w:t>
            </w:r>
          </w:p>
        </w:tc>
      </w:tr>
      <w:tr>
        <w:trPr>
          <w:cantSplit/>
        </w:trPr>
        <w:tc>
          <w:tcPr>
            <w:tcW w:type="dxa" w:w="1262"/>
            <w:vAlign w:val="top"/>
            <w:tcMar>
              <w:top w:w="70" w:type="dxa"/>
              <w:start w:w="90" w:type="dxa"/>
              <w:bottom w:w="70" w:type="dxa"/>
              <w:end w:w="90" w:type="dxa"/>
            </w:tcMar>
          </w:tcPr>
          <w:p>
            <w:pPr>
              <w:spacing w:after="0" w:line="240" w:lineRule="auto"/>
            </w:pPr>
            <w:r>
              <w:rPr>
                <w:rFonts w:ascii="Aptos" w:hAnsi="Aptos" w:eastAsia="Aptos"/>
                <w:color w:val="24323D"/>
                <w:sz w:val="14"/>
              </w:rPr>
              <w:t>CTP</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Bolus iodé exogène</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CBF, CBV, MTT, TTP, Tmax/delay selon logiciel</w:t>
            </w:r>
          </w:p>
        </w:tc>
        <w:tc>
          <w:tcPr>
            <w:tcW w:type="dxa" w:w="2209"/>
            <w:vAlign w:val="top"/>
            <w:tcMar>
              <w:top w:w="70" w:type="dxa"/>
              <w:start w:w="90" w:type="dxa"/>
              <w:bottom w:w="70" w:type="dxa"/>
              <w:end w:w="90" w:type="dxa"/>
            </w:tcMar>
          </w:tcPr>
          <w:p>
            <w:pPr>
              <w:spacing w:after="0" w:line="240" w:lineRule="auto"/>
            </w:pPr>
            <w:r>
              <w:rPr>
                <w:rFonts w:ascii="Aptos" w:hAnsi="Aptos" w:eastAsia="Aptos"/>
                <w:color w:val="24323D"/>
                <w:sz w:val="14"/>
              </w:rPr>
              <w:t>Dynamique rapide, disponibilité, couverture anatomique selon système</w:t>
            </w:r>
          </w:p>
        </w:tc>
        <w:tc>
          <w:tcPr>
            <w:tcW w:type="dxa" w:w="2209"/>
            <w:vAlign w:val="top"/>
            <w:tcMar>
              <w:top w:w="70" w:type="dxa"/>
              <w:start w:w="90" w:type="dxa"/>
              <w:bottom w:w="70" w:type="dxa"/>
              <w:end w:w="90" w:type="dxa"/>
            </w:tcMar>
          </w:tcPr>
          <w:p>
            <w:pPr>
              <w:spacing w:after="0" w:line="240" w:lineRule="auto"/>
            </w:pPr>
            <w:r>
              <w:rPr>
                <w:rFonts w:ascii="Aptos" w:hAnsi="Aptos" w:eastAsia="Aptos"/>
                <w:color w:val="24323D"/>
                <w:sz w:val="14"/>
              </w:rPr>
              <w:t>Rayonnement, bolus, troncature et forte dépendance logicielle</w:t>
            </w:r>
          </w:p>
        </w:tc>
      </w:tr>
      <w:tr>
        <w:trPr>
          <w:cantSplit/>
        </w:trPr>
        <w:tc>
          <w:tcPr>
            <w:tcW w:type="dxa" w:w="126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DSC-MRI</w:t>
            </w:r>
          </w:p>
        </w:tc>
        <w:tc>
          <w:tcPr>
            <w:tcW w:type="dxa" w:w="184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Bolus gadoliné, effet T2*</w:t>
            </w:r>
          </w:p>
        </w:tc>
        <w:tc>
          <w:tcPr>
            <w:tcW w:type="dxa" w:w="231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rCBV, rCBF, MTT, Tmax, courbes</w:t>
            </w:r>
          </w:p>
        </w:tc>
        <w:tc>
          <w:tcPr>
            <w:tcW w:type="dxa" w:w="22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Sensibilité hémodynamique et intégration MR</w:t>
            </w:r>
          </w:p>
        </w:tc>
        <w:tc>
          <w:tcPr>
            <w:tcW w:type="dxa" w:w="22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Fuite BBB, susceptibilité, AIF et normalisation</w:t>
            </w:r>
          </w:p>
        </w:tc>
      </w:tr>
      <w:tr>
        <w:trPr>
          <w:cantSplit/>
        </w:trPr>
        <w:tc>
          <w:tcPr>
            <w:tcW w:type="dxa" w:w="1262"/>
            <w:vAlign w:val="top"/>
            <w:tcMar>
              <w:top w:w="70" w:type="dxa"/>
              <w:start w:w="90" w:type="dxa"/>
              <w:bottom w:w="70" w:type="dxa"/>
              <w:end w:w="90" w:type="dxa"/>
            </w:tcMar>
          </w:tcPr>
          <w:p>
            <w:pPr>
              <w:spacing w:after="0" w:line="240" w:lineRule="auto"/>
            </w:pPr>
            <w:r>
              <w:rPr>
                <w:rFonts w:ascii="Aptos" w:hAnsi="Aptos" w:eastAsia="Aptos"/>
                <w:color w:val="24323D"/>
                <w:sz w:val="14"/>
              </w:rPr>
              <w:t>DCE-MRI</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Bolus gadoliné, effet T1</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Ktrans/Ki, vp, ve, kep, courbes</w:t>
            </w:r>
          </w:p>
        </w:tc>
        <w:tc>
          <w:tcPr>
            <w:tcW w:type="dxa" w:w="2209"/>
            <w:vAlign w:val="top"/>
            <w:tcMar>
              <w:top w:w="70" w:type="dxa"/>
              <w:start w:w="90" w:type="dxa"/>
              <w:bottom w:w="70" w:type="dxa"/>
              <w:end w:w="90" w:type="dxa"/>
            </w:tcMar>
          </w:tcPr>
          <w:p>
            <w:pPr>
              <w:spacing w:after="0" w:line="240" w:lineRule="auto"/>
            </w:pPr>
            <w:r>
              <w:rPr>
                <w:rFonts w:ascii="Aptos" w:hAnsi="Aptos" w:eastAsia="Aptos"/>
                <w:color w:val="24323D"/>
                <w:sz w:val="14"/>
              </w:rPr>
              <w:t>Transfert BBB et espaces modelés</w:t>
            </w:r>
          </w:p>
        </w:tc>
        <w:tc>
          <w:tcPr>
            <w:tcW w:type="dxa" w:w="2209"/>
            <w:vAlign w:val="top"/>
            <w:tcMar>
              <w:top w:w="70" w:type="dxa"/>
              <w:start w:w="90" w:type="dxa"/>
              <w:bottom w:w="70" w:type="dxa"/>
              <w:end w:w="90" w:type="dxa"/>
            </w:tcMar>
          </w:tcPr>
          <w:p>
            <w:pPr>
              <w:spacing w:after="0" w:line="240" w:lineRule="auto"/>
            </w:pPr>
            <w:r>
              <w:rPr>
                <w:rFonts w:ascii="Aptos" w:hAnsi="Aptos" w:eastAsia="Aptos"/>
                <w:color w:val="24323D"/>
                <w:sz w:val="14"/>
              </w:rPr>
              <w:t>Modèle, AIF, T1 baseline et faible fuite</w:t>
            </w:r>
          </w:p>
        </w:tc>
      </w:tr>
      <w:tr>
        <w:trPr>
          <w:cantSplit/>
        </w:trPr>
        <w:tc>
          <w:tcPr>
            <w:tcW w:type="dxa" w:w="126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ASL</w:t>
            </w:r>
          </w:p>
        </w:tc>
        <w:tc>
          <w:tcPr>
            <w:tcW w:type="dxa" w:w="184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Eau sanguine marquée endogène</w:t>
            </w:r>
          </w:p>
        </w:tc>
        <w:tc>
          <w:tcPr>
            <w:tcW w:type="dxa" w:w="231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CBF, ATT, signal artériel</w:t>
            </w:r>
          </w:p>
        </w:tc>
        <w:tc>
          <w:tcPr>
            <w:tcW w:type="dxa" w:w="22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Sans traceur exogène, répétable</w:t>
            </w:r>
          </w:p>
        </w:tc>
        <w:tc>
          <w:tcPr>
            <w:tcW w:type="dxa" w:w="220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SNR, efficacité de marquage, transit et modèle</w:t>
            </w:r>
          </w:p>
        </w:tc>
      </w:tr>
      <w:tr>
        <w:trPr>
          <w:cantSplit/>
        </w:trPr>
        <w:tc>
          <w:tcPr>
            <w:tcW w:type="dxa" w:w="1262"/>
            <w:vAlign w:val="top"/>
            <w:tcMar>
              <w:top w:w="70" w:type="dxa"/>
              <w:start w:w="90" w:type="dxa"/>
              <w:bottom w:w="70" w:type="dxa"/>
              <w:end w:w="90" w:type="dxa"/>
            </w:tcMar>
          </w:tcPr>
          <w:p>
            <w:pPr>
              <w:spacing w:after="0" w:line="240" w:lineRule="auto"/>
            </w:pPr>
            <w:r>
              <w:rPr>
                <w:rFonts w:ascii="Aptos" w:hAnsi="Aptos" w:eastAsia="Aptos"/>
                <w:color w:val="24323D"/>
                <w:sz w:val="14"/>
              </w:rPr>
              <w:t>PET</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Traceurs O-15 ou autres</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CBF, CBV, OEF, CMRO₂</w:t>
            </w:r>
          </w:p>
        </w:tc>
        <w:tc>
          <w:tcPr>
            <w:tcW w:type="dxa" w:w="2209"/>
            <w:vAlign w:val="top"/>
            <w:tcMar>
              <w:top w:w="70" w:type="dxa"/>
              <w:start w:w="90" w:type="dxa"/>
              <w:bottom w:w="70" w:type="dxa"/>
              <w:end w:w="90" w:type="dxa"/>
            </w:tcMar>
          </w:tcPr>
          <w:p>
            <w:pPr>
              <w:spacing w:after="0" w:line="240" w:lineRule="auto"/>
            </w:pPr>
            <w:r>
              <w:rPr>
                <w:rFonts w:ascii="Aptos" w:hAnsi="Aptos" w:eastAsia="Aptos"/>
                <w:color w:val="24323D"/>
                <w:sz w:val="14"/>
              </w:rPr>
              <w:t>Chaîne physiologique quantitative de référence</w:t>
            </w:r>
          </w:p>
        </w:tc>
        <w:tc>
          <w:tcPr>
            <w:tcW w:type="dxa" w:w="2209"/>
            <w:vAlign w:val="top"/>
            <w:tcMar>
              <w:top w:w="70" w:type="dxa"/>
              <w:start w:w="90" w:type="dxa"/>
              <w:bottom w:w="70" w:type="dxa"/>
              <w:end w:w="90" w:type="dxa"/>
            </w:tcMar>
          </w:tcPr>
          <w:p>
            <w:pPr>
              <w:spacing w:after="0" w:line="240" w:lineRule="auto"/>
            </w:pPr>
            <w:r>
              <w:rPr>
                <w:rFonts w:ascii="Aptos" w:hAnsi="Aptos" w:eastAsia="Aptos"/>
                <w:color w:val="24323D"/>
                <w:sz w:val="14"/>
              </w:rPr>
              <w:t>Complexité, résolution, métabolites et prélèvements</w:t>
            </w:r>
          </w:p>
        </w:tc>
      </w:tr>
    </w:tbl>
    <w:p>
      <w:bookmarkStart w:id="57" w:name="sec041"/>
      <w:pPr>
        <w:pStyle w:val="Heading2"/>
      </w:pPr>
      <w:r>
        <w:t>41. Résolution spatiale, temporelle et physiologique</w:t>
      </w:r>
      <w:bookmarkEnd w:id="57"/>
    </w:p>
    <w:p>
      <w:pPr>
        <w:widowControl/>
        <w:spacing w:after="100" w:line="259" w:lineRule="auto"/>
      </w:pPr>
      <w:r>
        <w:rPr>
          <w:rFonts w:ascii="Aptos" w:hAnsi="Aptos" w:eastAsia="Aptos"/>
          <w:color w:val="24323D"/>
          <w:sz w:val="18"/>
        </w:rPr>
        <w:t>La résolution spatiale nominale ne décrit pas le volume physiologique réellement mélangé. La résolution temporelle d'une acquisition n'est pas la précision d'un délai. La résolution physiologique désigne la capacité à distinguer des compartiments ou mécanismes ; elle peut rester faible malgré des pixels fins.</w:t>
      </w:r>
    </w:p>
    <w:p>
      <w:pPr>
        <w:widowControl/>
        <w:spacing w:after="100" w:line="259" w:lineRule="auto"/>
      </w:pPr>
      <w:r>
        <w:rPr>
          <w:rFonts w:ascii="Aptos" w:hAnsi="Aptos" w:eastAsia="Aptos"/>
          <w:color w:val="24323D"/>
          <w:sz w:val="18"/>
        </w:rPr>
        <w:t>Les reconstructions, lissages, corrections de mouvement et régularisations modifient la résolution effective. Toute comparaison doit apparier la tâche plutôt que la taille de voxel affichée.</w:t>
      </w:r>
    </w:p>
    <w:p>
      <w:bookmarkStart w:id="58" w:name="sec042"/>
      <w:pPr>
        <w:pStyle w:val="Heading2"/>
      </w:pPr>
      <w:r>
        <w:t>42. Références croisées et absence de gold standard universel</w:t>
      </w:r>
      <w:bookmarkEnd w:id="58"/>
    </w:p>
    <w:p>
      <w:pPr>
        <w:widowControl/>
        <w:spacing w:after="100" w:line="259" w:lineRule="auto"/>
      </w:pPr>
      <w:r>
        <w:rPr>
          <w:rFonts w:ascii="Aptos" w:hAnsi="Aptos" w:eastAsia="Aptos"/>
          <w:color w:val="24323D"/>
          <w:sz w:val="18"/>
        </w:rPr>
        <w:t>Un phantom teste la chaîne numérique, pas la physiologie. Le PET peut servir de référence pour CBF/OEF/CMRO₂, mais possède sa propre résolution et temporalité. L'angiographie décrit les vaisseaux et collatérales, non le débit capillaire. L'histologie décrit un prélèvement, souvent après un délai.</w:t>
      </w:r>
    </w:p>
    <w:p>
      <w:pPr>
        <w:widowControl/>
        <w:spacing w:after="100" w:line="259" w:lineRule="auto"/>
      </w:pPr>
      <w:r>
        <w:rPr>
          <w:rFonts w:ascii="Aptos" w:hAnsi="Aptos" w:eastAsia="Aptos"/>
          <w:color w:val="24323D"/>
          <w:sz w:val="18"/>
        </w:rPr>
        <w:t>La référence doit viser le même construit. L'accord entre deux mesures imparfaites ne prouve pas l'exactitude ; leur désaccord doit déclencher une analyse de compartiment, temps et modèle.</w:t>
      </w:r>
    </w:p>
    <w:p>
      <w:bookmarkStart w:id="59" w:name="sec043"/>
      <w:pPr>
        <w:pStyle w:val="Heading2"/>
      </w:pPr>
      <w:r>
        <w:t>43. Multimodalité</w:t>
      </w:r>
      <w:bookmarkEnd w:id="59"/>
    </w:p>
    <w:p>
      <w:pPr>
        <w:widowControl/>
        <w:spacing w:after="100" w:line="259" w:lineRule="auto"/>
      </w:pPr>
      <w:r>
        <w:rPr>
          <w:rFonts w:ascii="Aptos" w:hAnsi="Aptos" w:eastAsia="Aptos"/>
          <w:color w:val="24323D"/>
          <w:sz w:val="18"/>
        </w:rPr>
        <w:t>La multimodalité peut réduire l'ambiguïté en combinant structure, perfusion, oxygénation et métabolisme. Elle peut aussi multiplier les discordances, le mouvement, les délais inter-examens et les choix analytiques.</w:t>
      </w:r>
    </w:p>
    <w:p>
      <w:pPr>
        <w:widowControl/>
        <w:spacing w:after="100" w:line="259" w:lineRule="auto"/>
      </w:pPr>
      <w:r>
        <w:rPr>
          <w:rFonts w:ascii="Aptos" w:hAnsi="Aptos" w:eastAsia="Aptos"/>
          <w:color w:val="24323D"/>
          <w:sz w:val="18"/>
        </w:rPr>
        <w:t>Une fusion valide conserve chaque provenance et ne force pas l'alignement de paramètres de nature différente. Un composite n'est admissible que si sa formule, sa causalité supposée et son bénéfice incrémental sont testés.</w:t>
      </w:r>
    </w:p>
    <w:p>
      <w:bookmarkStart w:id="60" w:name="sec044"/>
      <w:pPr>
        <w:pStyle w:val="Heading2"/>
      </w:pPr>
      <w:r>
        <w:t>44. Statut quantitatif comparé</w:t>
      </w:r>
      <w:bookmarkEnd w:id="60"/>
    </w:p>
    <w:p>
      <w:pPr>
        <w:widowControl/>
        <w:spacing w:after="100" w:line="259" w:lineRule="auto"/>
      </w:pPr>
      <w:r>
        <w:rPr>
          <w:rFonts w:ascii="Aptos" w:hAnsi="Aptos" w:eastAsia="Aptos"/>
          <w:color w:val="24323D"/>
          <w:sz w:val="18"/>
        </w:rPr>
        <w:t>Le PET et certaines formes d'ASL ou de CTP peuvent afficher des unités absolues ; le DSC est souvent relatif ; la DCE produit des coefficients de modèle. Aucun statut ne se déduit de l'étiquette de la modalité. Le statut est attribué au couple mesurande–chaîne–domaine.</w:t>
      </w:r>
    </w:p>
    <w:p>
      <w:bookmarkStart w:id="61" w:name="part08"/>
      <w:pPr>
        <w:pStyle w:val="Heading1"/>
        <w:keepNext/>
        <w:keepLines/>
        <w:pageBreakBefore/>
      </w:pPr>
      <w:r>
        <w:t>PARTIE VIII — CT PERFUSION</w:t>
      </w:r>
      <w:bookmarkEnd w:id="61"/>
    </w:p>
    <w:p>
      <w:pPr>
        <w:spacing w:after="160"/>
      </w:pPr>
      <w:hyperlink w:anchor="TOC" w:history="1">
        <w:r>
          <w:rPr>
            <w:rStyle w:val="Hyperlink"/>
            <w:color w:val="667085"/>
          </w:rPr>
          <w:t>↑ Retour au sommaire</w:t>
        </w:r>
      </w:hyperlink>
    </w:p>
    <w:p>
      <w:bookmarkStart w:id="62" w:name="sec045"/>
      <w:pPr>
        <w:pStyle w:val="Heading2"/>
      </w:pPr>
      <w:r>
        <w:t>45. Formation de la mesure CTP</w:t>
      </w:r>
      <w:bookmarkEnd w:id="62"/>
    </w:p>
    <w:p>
      <w:pPr>
        <w:widowControl/>
        <w:spacing w:after="100" w:line="259" w:lineRule="auto"/>
      </w:pPr>
      <w:r>
        <w:rPr>
          <w:rFonts w:ascii="Aptos" w:hAnsi="Aptos" w:eastAsia="Aptos"/>
          <w:color w:val="24323D"/>
          <w:sz w:val="18"/>
        </w:rPr>
        <w:t>La CTP observe les variations d'atténuation pendant le passage d'un bolus iodé. Après conversion en courbes de concentration, une méthode de pente ou de déconvolution estime CBF, CBV et paramètres temporels. La couverture, le bruit, la cadence, la durée et la correction de mouvement conditionnent le résultat.</w:t>
      </w:r>
    </w:p>
    <w:p>
      <w:bookmarkStart w:id="63" w:name="sec046"/>
      <w:pPr>
        <w:pStyle w:val="Heading2"/>
      </w:pPr>
      <w:r>
        <w:t>46. AIF, saturation, recirculation et rayonnement</w:t>
      </w:r>
      <w:bookmarkEnd w:id="63"/>
    </w:p>
    <w:p>
      <w:pPr>
        <w:widowControl/>
        <w:spacing w:after="100" w:line="259" w:lineRule="auto"/>
      </w:pPr>
      <w:r>
        <w:rPr>
          <w:rFonts w:ascii="Aptos" w:hAnsi="Aptos" w:eastAsia="Aptos"/>
          <w:color w:val="24323D"/>
          <w:sz w:val="18"/>
        </w:rPr>
        <w:t>Une AIF saturée ou partiellement volumée altère l'échelle. La recirculation et la troncature influencent l'intégrale. Le mouvement crée des variations d'atténuation non liées au traceur. La répétition d'acquisitions ajoute une exposition qui doit être considérée dans une étude, sans qu'aucune valeur ou recommandation ne soit fournie ici.</w:t>
      </w:r>
    </w:p>
    <w:p>
      <w:bookmarkStart w:id="64" w:name="sec047"/>
      <w:pPr>
        <w:pStyle w:val="Heading2"/>
      </w:pPr>
      <w:r>
        <w:t>47. Variabilité logicielle</w:t>
      </w:r>
      <w:bookmarkEnd w:id="64"/>
    </w:p>
    <w:p>
      <w:pPr>
        <w:widowControl/>
        <w:spacing w:after="100" w:line="259" w:lineRule="auto"/>
      </w:pPr>
      <w:r>
        <w:rPr>
          <w:rFonts w:ascii="Aptos" w:hAnsi="Aptos" w:eastAsia="Aptos"/>
          <w:color w:val="24323D"/>
          <w:sz w:val="18"/>
        </w:rPr>
        <w:t>Des phantoms numériques et comparaisons de logiciels montrent des différences de CBF, MTT, délai et volumes de régions ischémiques même à données identiques [R04–R06]. L'algorithme, le seuil, la régularisation et la définition de l'entrée sont donc des variables scientifiques.</w:t>
      </w:r>
    </w:p>
    <w:p>
      <w:pPr>
        <w:widowControl/>
        <w:spacing w:after="100" w:line="259" w:lineRule="auto"/>
      </w:pPr>
      <w:r>
        <w:rPr>
          <w:rFonts w:ascii="Aptos" w:hAnsi="Aptos" w:eastAsia="Aptos"/>
          <w:color w:val="24323D"/>
          <w:sz w:val="18"/>
        </w:rPr>
        <w:t>Une couleur ou un volume automatisé ne doit jamais masquer le logiciel et sa version. La reproductibilité la plus pertinente inclut le reprocessing multi-plateforme et les cas à délai ou bolus atypique.</w:t>
      </w:r>
    </w:p>
    <w:p>
      <w:bookmarkStart w:id="65" w:name="sec048"/>
      <w:pPr>
        <w:pStyle w:val="Heading2"/>
      </w:pPr>
      <w:r>
        <w:t>48. Core, penumbra et ghost core</w:t>
      </w:r>
      <w:bookmarkEnd w:id="65"/>
    </w:p>
    <w:p>
      <w:pPr>
        <w:widowControl/>
        <w:spacing w:after="100" w:line="259" w:lineRule="auto"/>
      </w:pPr>
      <w:r>
        <w:rPr>
          <w:rFonts w:ascii="Aptos" w:hAnsi="Aptos" w:eastAsia="Aptos"/>
          <w:color w:val="24323D"/>
          <w:sz w:val="18"/>
        </w:rPr>
        <w:t>Le noyau infarci et la pénombre sont des construits dynamiques. Dans des essais et analyses donnés, des seuils de CBF relatif et de Tmax ont été utilisés pour estimer tissu sévèrement atteint et hypoperfusé [R39–R42]. Ces seuils n'ont pas d'autorité universelle hors de la chaîne validée.</w:t>
      </w:r>
    </w:p>
    <w:p>
      <w:pPr>
        <w:widowControl/>
        <w:spacing w:after="100" w:line="259" w:lineRule="auto"/>
      </w:pPr>
      <w:r>
        <w:rPr>
          <w:rFonts w:ascii="Aptos" w:hAnsi="Aptos" w:eastAsia="Aptos"/>
          <w:color w:val="24323D"/>
          <w:sz w:val="18"/>
        </w:rPr>
        <w:t>La CTP peut surestimer un noyau qui n'apparaît pas comme infarctus final après reperfusion rapide : le phénomène de ghost core rappelle qu'un estimateur précoce n'est pas l'histologie future [R43, R44]. Le corpus interdit d'appeler « irréversible » une classe issue du seul seuil.</w:t>
      </w:r>
    </w:p>
    <w:p>
      <w:bookmarkStart w:id="66" w:name="part09"/>
      <w:pPr>
        <w:pStyle w:val="Heading1"/>
        <w:keepNext/>
        <w:keepLines/>
        <w:pageBreakBefore/>
      </w:pPr>
      <w:r>
        <w:t>PARTIE IX — DSC-MRI</w:t>
      </w:r>
      <w:bookmarkEnd w:id="66"/>
    </w:p>
    <w:p>
      <w:pPr>
        <w:spacing w:after="160"/>
      </w:pPr>
      <w:hyperlink w:anchor="TOC" w:history="1">
        <w:r>
          <w:rPr>
            <w:rStyle w:val="Hyperlink"/>
            <w:color w:val="667085"/>
          </w:rPr>
          <w:t>↑ Retour au sommaire</w:t>
        </w:r>
      </w:hyperlink>
    </w:p>
    <w:p>
      <w:bookmarkStart w:id="67" w:name="sec049"/>
      <w:pPr>
        <w:pStyle w:val="Heading2"/>
      </w:pPr>
      <w:r>
        <w:t>49. Principe de susceptibilité dynamique</w:t>
      </w:r>
      <w:bookmarkEnd w:id="67"/>
    </w:p>
    <w:p>
      <w:pPr>
        <w:widowControl/>
        <w:spacing w:after="100" w:line="259" w:lineRule="auto"/>
      </w:pPr>
      <w:r>
        <w:rPr>
          <w:rFonts w:ascii="Aptos" w:hAnsi="Aptos" w:eastAsia="Aptos"/>
          <w:color w:val="24323D"/>
          <w:sz w:val="18"/>
        </w:rPr>
        <w:t>La DSC-MRI suit une baisse transitoire de signal liée à l'effet de susceptibilité du contraste lors du premier passage. La transformation en ΔR2* puis l'intégration permettent une estimation de CBV ; la déconvolution avec une AIF permet CBF et transit [R01, R02, R21].</w:t>
      </w:r>
    </w:p>
    <w:p>
      <w:pPr>
        <w:widowControl/>
        <w:spacing w:after="100" w:line="259" w:lineRule="auto"/>
      </w:pPr>
      <w:r>
        <w:rPr>
          <w:rFonts w:ascii="Aptos" w:hAnsi="Aptos" w:eastAsia="Aptos"/>
          <w:color w:val="24323D"/>
          <w:sz w:val="18"/>
        </w:rPr>
        <w:t>La relation signal–concentration dépend du champ, du TE, de la géométrie, du compartiment vasculaire et de la séquence. Les valeurs sont souvent relatives et normalisées à un tissu de référence.</w:t>
      </w:r>
    </w:p>
    <w:p>
      <w:bookmarkStart w:id="68" w:name="sec050"/>
      <w:pPr>
        <w:pStyle w:val="Heading2"/>
      </w:pPr>
      <w:r>
        <w:t>50. Fuite de contraste</w:t>
      </w:r>
      <w:bookmarkEnd w:id="68"/>
    </w:p>
    <w:p>
      <w:pPr>
        <w:widowControl/>
        <w:spacing w:after="100" w:line="259" w:lineRule="auto"/>
      </w:pPr>
      <w:r>
        <w:rPr>
          <w:rFonts w:ascii="Aptos" w:hAnsi="Aptos" w:eastAsia="Aptos"/>
          <w:color w:val="24323D"/>
          <w:sz w:val="18"/>
        </w:rPr>
        <w:t>Lorsque la BBB est altérée, l'agent quitte le compartiment intravasculaire. Des effets T1 peuvent augmenter le signal, tandis que des effets T2/T2* extravasculaires peuvent le diminuer. Le rCBV devient alors biaisé dans des directions variables.</w:t>
      </w:r>
    </w:p>
    <w:p>
      <w:pPr>
        <w:widowControl/>
        <w:spacing w:after="100" w:line="259" w:lineRule="auto"/>
      </w:pPr>
      <w:r>
        <w:rPr>
          <w:rFonts w:ascii="Aptos" w:hAnsi="Aptos" w:eastAsia="Aptos"/>
          <w:color w:val="24323D"/>
          <w:sz w:val="18"/>
        </w:rPr>
        <w:t>Précharge, angle de bascule et corrections post-traitement réduisent certains biais sans produire une vérité unique. Leur valeur a été étudiée contre un agent intravasculaire et dans des comparaisons multicentriques [R22, R23, R50]. La méthode de correction reste un attribut obligatoire.</w:t>
      </w:r>
    </w:p>
    <w:p>
      <w:bookmarkStart w:id="69" w:name="sec051"/>
      <w:pPr>
        <w:pStyle w:val="Heading2"/>
      </w:pPr>
      <w:r>
        <w:t>51. Normalisation, standardisation et hotspots</w:t>
      </w:r>
      <w:bookmarkEnd w:id="69"/>
    </w:p>
    <w:p>
      <w:pPr>
        <w:widowControl/>
        <w:spacing w:after="100" w:line="259" w:lineRule="auto"/>
      </w:pPr>
      <w:r>
        <w:rPr>
          <w:rFonts w:ascii="Aptos" w:hAnsi="Aptos" w:eastAsia="Aptos"/>
          <w:color w:val="24323D"/>
          <w:sz w:val="18"/>
        </w:rPr>
        <w:t>Un rCBV normalisé dépend du tissu de référence, qui peut être altéré par âge, traitement, œdème ou maladie diffuse. Une standardisation transforme l'échelle selon une population ou une distribution et doit conserver sa version.</w:t>
      </w:r>
    </w:p>
    <w:p>
      <w:pPr>
        <w:widowControl/>
        <w:spacing w:after="100" w:line="259" w:lineRule="auto"/>
      </w:pPr>
      <w:r>
        <w:rPr>
          <w:rFonts w:ascii="Aptos" w:hAnsi="Aptos" w:eastAsia="Aptos"/>
          <w:color w:val="24323D"/>
          <w:sz w:val="18"/>
        </w:rPr>
        <w:t>Les hotspots tumoraux, moyennes, médianes et histogrammes répondent à des construits différents. La sélection post hoc de la zone maximale amplifie le bruit et le biais d'optimisme. Les règles de segmentation doivent être verrouillées avant validation.</w:t>
      </w:r>
    </w:p>
    <w:p>
      <w:bookmarkStart w:id="70" w:name="sec052"/>
      <w:pPr>
        <w:pStyle w:val="Heading2"/>
      </w:pPr>
      <w:r>
        <w:t>52. Robustesse DSC et erreurs invisibles</w:t>
      </w:r>
      <w:bookmarkEnd w:id="70"/>
    </w:p>
    <w:p>
      <w:pPr>
        <w:widowControl/>
        <w:spacing w:after="100" w:line="259" w:lineRule="auto"/>
      </w:pPr>
      <w:r>
        <w:rPr>
          <w:rFonts w:ascii="Aptos" w:hAnsi="Aptos" w:eastAsia="Aptos"/>
          <w:color w:val="24323D"/>
          <w:sz w:val="18"/>
        </w:rPr>
        <w:t>Même sous acquisition standardisée, les logiciels produisent des différences de paramètres [R27]. Des digital reference objects et exercices multisites permettent d'isoler acquisition, analyse et seuil [R24–R26].</w:t>
      </w:r>
    </w:p>
    <w:p>
      <w:pPr>
        <w:widowControl/>
        <w:spacing w:after="100" w:line="259" w:lineRule="auto"/>
      </w:pPr>
      <w:r>
        <w:rPr>
          <w:rFonts w:ascii="Aptos" w:hAnsi="Aptos" w:eastAsia="Aptos"/>
          <w:color w:val="24323D"/>
          <w:sz w:val="18"/>
        </w:rPr>
        <w:t>Une carte rCBV visuellement plausible peut rester fausse en cas de bolus inadéquat, mauvaise AIF, fuite, susceptibilité ou saturation. Le contrôle qualité doit examiner la série dynamique et les courbes, pas seulement la carte finale [R61].</w:t>
      </w:r>
    </w:p>
    <w:p>
      <w:bookmarkStart w:id="71" w:name="part10"/>
      <w:pPr>
        <w:pStyle w:val="Heading1"/>
        <w:keepNext/>
        <w:keepLines/>
        <w:pageBreakBefore/>
      </w:pPr>
      <w:r>
        <w:t>PARTIE X — DCE-MRI ET BARRIÈRE</w:t>
      </w:r>
      <w:bookmarkEnd w:id="71"/>
    </w:p>
    <w:p>
      <w:pPr>
        <w:spacing w:after="160"/>
      </w:pPr>
      <w:hyperlink w:anchor="TOC" w:history="1">
        <w:r>
          <w:rPr>
            <w:rStyle w:val="Hyperlink"/>
            <w:color w:val="667085"/>
          </w:rPr>
          <w:t>↑ Retour au sommaire</w:t>
        </w:r>
      </w:hyperlink>
    </w:p>
    <w:p>
      <w:bookmarkStart w:id="72" w:name="sec053"/>
      <w:pPr>
        <w:pStyle w:val="Heading2"/>
      </w:pPr>
      <w:r>
        <w:t>53. Signal T1 dynamique</w:t>
      </w:r>
      <w:bookmarkEnd w:id="72"/>
    </w:p>
    <w:p>
      <w:pPr>
        <w:widowControl/>
        <w:spacing w:after="100" w:line="259" w:lineRule="auto"/>
      </w:pPr>
      <w:r>
        <w:rPr>
          <w:rFonts w:ascii="Aptos" w:hAnsi="Aptos" w:eastAsia="Aptos"/>
          <w:color w:val="24323D"/>
          <w:sz w:val="18"/>
        </w:rPr>
        <w:t>La DCE-MRI suit l'augmentation de signal liée au raccourcissement de T1 après contraste. Une conversion quantitative exige T1 pré-contraste, relation signal–concentration, angle effectif ou calibration, AIF et stabilité de la dynamique.</w:t>
      </w:r>
    </w:p>
    <w:p>
      <w:pPr>
        <w:widowControl/>
        <w:spacing w:after="100" w:line="259" w:lineRule="auto"/>
      </w:pPr>
      <w:r>
        <w:rPr>
          <w:rFonts w:ascii="Aptos" w:hAnsi="Aptos" w:eastAsia="Aptos"/>
          <w:color w:val="24323D"/>
          <w:sz w:val="18"/>
        </w:rPr>
        <w:t>L'intensité brute ou l'aire sous la courbe est descriptive et dépendante de la chaîne. Elle ne devient pas Ktrans par simple re-étiquetage.</w:t>
      </w:r>
    </w:p>
    <w:p>
      <w:bookmarkStart w:id="73" w:name="sec054"/>
      <w:pPr>
        <w:pStyle w:val="Heading2"/>
      </w:pPr>
      <w:r>
        <w:t>54. Familles de modèles</w:t>
      </w:r>
      <w:bookmarkEnd w:id="73"/>
    </w:p>
    <w:p>
      <w:pPr>
        <w:widowControl/>
        <w:spacing w:after="100" w:line="259" w:lineRule="auto"/>
      </w:pPr>
      <w:r>
        <w:rPr>
          <w:rFonts w:ascii="Aptos" w:hAnsi="Aptos" w:eastAsia="Aptos"/>
          <w:color w:val="24323D"/>
          <w:sz w:val="18"/>
        </w:rPr>
        <w:t>Les modèles Tofts, extended Tofts, Patlak, two-compartment exchange ou distributed parameter représentent différemment flux, plasma, espace extravasculaire et échanges [R28]. Le modèle approprié dépend du régime de fuite, de la durée et de l'information disponible.</w:t>
      </w:r>
    </w:p>
    <w:p>
      <w:pPr>
        <w:widowControl/>
        <w:spacing w:after="100" w:line="259" w:lineRule="auto"/>
      </w:pPr>
      <w:r>
        <w:rPr>
          <w:rFonts w:ascii="Aptos" w:hAnsi="Aptos" w:eastAsia="Aptos"/>
          <w:color w:val="24323D"/>
          <w:sz w:val="18"/>
        </w:rPr>
        <w:t>Un modèle plus complexe n'est pas nécessairement plus identifiable. L'ajout de paramètres peut réduire le biais structurel et augmenter la variance. La comparaison de modèles doit examiner résidus, plausibilité et stabilité, pas seulement l'ajustement moyen.</w:t>
      </w:r>
    </w:p>
    <w:p>
      <w:bookmarkStart w:id="74" w:name="sec055"/>
      <w:pPr>
        <w:pStyle w:val="Heading2"/>
      </w:pPr>
      <w:r>
        <w:t>55. Faible versus forte perméabilité</w:t>
      </w:r>
      <w:bookmarkEnd w:id="74"/>
    </w:p>
    <w:p>
      <w:pPr>
        <w:widowControl/>
        <w:spacing w:after="100" w:line="259" w:lineRule="auto"/>
      </w:pPr>
      <w:r>
        <w:rPr>
          <w:rFonts w:ascii="Aptos" w:hAnsi="Aptos" w:eastAsia="Aptos"/>
          <w:color w:val="24323D"/>
          <w:sz w:val="18"/>
        </w:rPr>
        <w:t>Dans une lésion fortement rehaussée, l'échange et le reflux peuvent être visibles pendant la dynamique. Dans une BBB faiblement perméable, le signal de transfert est lent et proche de la dérive ; le modèle de Patlak peut être plus stable sous son hypothèse d'influx unidirectionnel [R29, R30].</w:t>
      </w:r>
    </w:p>
    <w:p>
      <w:pPr>
        <w:widowControl/>
        <w:spacing w:after="100" w:line="259" w:lineRule="auto"/>
      </w:pPr>
      <w:r>
        <w:rPr>
          <w:rFonts w:ascii="Aptos" w:hAnsi="Aptos" w:eastAsia="Aptos"/>
          <w:color w:val="24323D"/>
          <w:sz w:val="18"/>
        </w:rPr>
        <w:t>Employer le même modèle et la même fenêtre dans les deux régimes peut produire un biais différent. Le statut du biomarqueur est donc propre au tissu et à la plage de transfert.</w:t>
      </w:r>
    </w:p>
    <w:p>
      <w:bookmarkStart w:id="75" w:name="sec056"/>
      <w:pPr>
        <w:pStyle w:val="Heading2"/>
      </w:pPr>
      <w:r>
        <w:t>56. DCE : sortie autorisée</w:t>
      </w:r>
      <w:bookmarkEnd w:id="75"/>
    </w:p>
    <w:p>
      <w:pPr>
        <w:widowControl/>
        <w:spacing w:after="100" w:line="259" w:lineRule="auto"/>
      </w:pPr>
      <w:r>
        <w:rPr>
          <w:rFonts w:ascii="Aptos" w:hAnsi="Aptos" w:eastAsia="Aptos"/>
          <w:color w:val="24323D"/>
          <w:sz w:val="18"/>
        </w:rPr>
        <w:t>Une sortie DCE publiable conserve : paramètre, unité, modèle, AIF, conversion T1, fenêtre, tissu, qualité, limite de détection et incertitude. Le terme « perméabilité BBB » reste conditionné à la relation entre le coefficient et le produit perméabilité–surface dans le régime étudié.</w:t>
      </w:r>
    </w:p>
    <w:p>
      <w:bookmarkStart w:id="76" w:name="part11"/>
      <w:pPr>
        <w:pStyle w:val="Heading1"/>
        <w:keepNext/>
        <w:keepLines/>
        <w:pageBreakBefore/>
      </w:pPr>
      <w:r>
        <w:t>PARTIE XI — ARTERIAL SPIN LABELING</w:t>
      </w:r>
      <w:bookmarkEnd w:id="76"/>
    </w:p>
    <w:p>
      <w:pPr>
        <w:spacing w:after="160"/>
      </w:pPr>
      <w:hyperlink w:anchor="TOC" w:history="1">
        <w:r>
          <w:rPr>
            <w:rStyle w:val="Hyperlink"/>
            <w:color w:val="667085"/>
          </w:rPr>
          <w:t>↑ Retour au sommaire</w:t>
        </w:r>
      </w:hyperlink>
    </w:p>
    <w:p>
      <w:bookmarkStart w:id="77" w:name="sec057"/>
      <w:pPr>
        <w:pStyle w:val="Heading2"/>
      </w:pPr>
      <w:r>
        <w:t>57. Traceur endogène</w:t>
      </w:r>
      <w:bookmarkEnd w:id="77"/>
    </w:p>
    <w:p>
      <w:pPr>
        <w:widowControl/>
        <w:spacing w:after="100" w:line="259" w:lineRule="auto"/>
      </w:pPr>
      <w:r>
        <w:rPr>
          <w:rFonts w:ascii="Aptos" w:hAnsi="Aptos" w:eastAsia="Aptos"/>
          <w:color w:val="24323D"/>
          <w:sz w:val="18"/>
        </w:rPr>
        <w:t>L'ASL inverse ou sature l'aimantation de l'eau artérielle et mesure la différence entre images label et contrôle. Le signal est faible mais ne nécessite pas de traceur exogène. Il dépend de l'efficacité de marquage, du T1 du sang, du délai, de l'échange, de M0, du bruit et de la suppression du fond [R12, R13].</w:t>
      </w:r>
    </w:p>
    <w:p>
      <w:bookmarkStart w:id="78" w:name="sec058"/>
      <w:pPr>
        <w:pStyle w:val="Heading2"/>
      </w:pPr>
      <w:r>
        <w:t>58. Modèle cinétique ASL</w:t>
      </w:r>
      <w:bookmarkEnd w:id="78"/>
    </w:p>
    <w:p>
      <w:pPr>
        <w:widowControl/>
        <w:spacing w:after="100" w:line="259" w:lineRule="auto"/>
      </w:pPr>
      <w:r>
        <w:rPr>
          <w:rFonts w:ascii="Aptos" w:hAnsi="Aptos" w:eastAsia="Aptos"/>
          <w:color w:val="24323D"/>
          <w:sz w:val="18"/>
        </w:rPr>
        <w:t>Le modèle général de Buxton représente livraison, transit, relaxation et échange du label [R12]. Les implémentations simplifiées supposent notamment que le label est arrivé et que certains paramètres sont connus. Une valeur absolue de CBF reste conditionnelle à ces hypothèses.</w:t>
      </w:r>
    </w:p>
    <w:p>
      <w:pPr>
        <w:widowControl/>
        <w:spacing w:after="100" w:line="259" w:lineRule="auto"/>
      </w:pPr>
      <w:r>
        <w:rPr>
          <w:rFonts w:ascii="Aptos" w:hAnsi="Aptos" w:eastAsia="Aptos"/>
          <w:color w:val="24323D"/>
          <w:sz w:val="18"/>
        </w:rPr>
        <w:t>Le signal artériel intravasculaire peut signaler un transit lent ou des collatérales, mais contaminer l'estimation tissulaire. Le supprimer par crusher ou traitement retire une information et modifie le mesurande.</w:t>
      </w:r>
    </w:p>
    <w:p>
      <w:bookmarkStart w:id="79" w:name="sec059"/>
      <w:pPr>
        <w:pStyle w:val="Heading2"/>
      </w:pPr>
      <w:r>
        <w:t>59. PLD, ATT et multi-delay</w:t>
      </w:r>
      <w:bookmarkEnd w:id="79"/>
    </w:p>
    <w:p>
      <w:pPr>
        <w:widowControl/>
        <w:spacing w:after="100" w:line="259" w:lineRule="auto"/>
      </w:pPr>
      <w:r>
        <w:rPr>
          <w:rFonts w:ascii="Aptos" w:hAnsi="Aptos" w:eastAsia="Aptos"/>
          <w:color w:val="24323D"/>
          <w:sz w:val="18"/>
        </w:rPr>
        <w:t>Le post-labeling delay est un délai d'observation ; l'ATT est une propriété estimée du transport. Si le PLD est trop court pour le territoire, le CBF est sous-estimé et le signal artériel augmenté. Les acquisitions multi-delay peuvent séparer davantage CBF et ATT au prix de signal, durée et modèle.</w:t>
      </w:r>
    </w:p>
    <w:p>
      <w:pPr>
        <w:widowControl/>
        <w:spacing w:after="100" w:line="259" w:lineRule="auto"/>
      </w:pPr>
      <w:r>
        <w:rPr>
          <w:rFonts w:ascii="Aptos" w:hAnsi="Aptos" w:eastAsia="Aptos"/>
          <w:color w:val="24323D"/>
          <w:sz w:val="18"/>
        </w:rPr>
        <w:t>Les comparaisons PET montrent que la correction ATT peut améliorer l'accord dans les sténoses, sans supprimer toutes les erreurs [R17–R20]. Une étude 2026 en vieillissement souligne que le meilleur compromis dépend du contexte et du budget d'acquisition [R20].</w:t>
      </w:r>
    </w:p>
    <w:p>
      <w:bookmarkStart w:id="80" w:name="sec060"/>
      <w:pPr>
        <w:pStyle w:val="Heading2"/>
      </w:pPr>
      <w:r>
        <w:t>60. Répétabilité et multicentrique ASL</w:t>
      </w:r>
      <w:bookmarkEnd w:id="80"/>
    </w:p>
    <w:p>
      <w:pPr>
        <w:widowControl/>
        <w:spacing w:after="100" w:line="259" w:lineRule="auto"/>
      </w:pPr>
      <w:r>
        <w:rPr>
          <w:rFonts w:ascii="Aptos" w:hAnsi="Aptos" w:eastAsia="Aptos"/>
          <w:color w:val="24323D"/>
          <w:sz w:val="18"/>
        </w:rPr>
        <w:t>La pCASL et certaines acquisitions multi-delay ont montré une répétabilité utile, mais de petites différences de marquage, readout ou post-traitement peuvent dépasser un effet constructeur [R14, R15].</w:t>
      </w:r>
    </w:p>
    <w:p>
      <w:pPr>
        <w:widowControl/>
        <w:spacing w:after="100" w:line="259" w:lineRule="auto"/>
      </w:pPr>
      <w:r>
        <w:rPr>
          <w:rFonts w:ascii="Aptos" w:hAnsi="Aptos" w:eastAsia="Aptos"/>
          <w:color w:val="24323D"/>
          <w:sz w:val="18"/>
        </w:rPr>
        <w:t>Le challenge OSIPI a mis en évidence de larges erreurs et une variabilité liée au mouvement et au traitement [R16]. Une pipeline reproduite n'est pas nécessairement correcte ; la réplication et la comparaison à des données synthétiques ou PET restent complémentaires.</w:t>
      </w:r>
    </w:p>
    <w:p>
      <w:bookmarkStart w:id="81" w:name="sec061"/>
      <w:pPr>
        <w:pStyle w:val="Heading2"/>
      </w:pPr>
      <w:r>
        <w:t>61. ASL et populations à transit prolongé</w:t>
      </w:r>
      <w:bookmarkEnd w:id="81"/>
    </w:p>
    <w:p>
      <w:pPr>
        <w:widowControl/>
        <w:spacing w:after="100" w:line="259" w:lineRule="auto"/>
      </w:pPr>
      <w:r>
        <w:rPr>
          <w:rFonts w:ascii="Aptos" w:hAnsi="Aptos" w:eastAsia="Aptos"/>
          <w:color w:val="24323D"/>
          <w:sz w:val="18"/>
        </w:rPr>
        <w:t>Chez les sujets âgés, dans les sténoses, collatérales ou certaines démences, l'ATT peut être prolongé et hétérogène. Une ASL single-delay peut alors confondre faible débit et arrivée tardive. Le contrôle qualité doit conserver les artéfacts vasculaires et la couverture, non les classer automatiquement comme bruit.</w:t>
      </w:r>
    </w:p>
    <w:p>
      <w:bookmarkStart w:id="82" w:name="part12"/>
      <w:pPr>
        <w:pStyle w:val="Heading1"/>
        <w:keepNext/>
        <w:keepLines/>
        <w:pageBreakBefore/>
      </w:pPr>
      <w:r>
        <w:t>PARTIE XII — PET, OEF ET IMAGERIE MULTIMODALE</w:t>
      </w:r>
      <w:bookmarkEnd w:id="82"/>
    </w:p>
    <w:p>
      <w:pPr>
        <w:spacing w:after="160"/>
      </w:pPr>
      <w:hyperlink w:anchor="TOC" w:history="1">
        <w:r>
          <w:rPr>
            <w:rStyle w:val="Hyperlink"/>
            <w:color w:val="667085"/>
          </w:rPr>
          <w:t>↑ Retour au sommaire</w:t>
        </w:r>
      </w:hyperlink>
    </w:p>
    <w:p>
      <w:bookmarkStart w:id="83" w:name="sec062"/>
      <w:pPr>
        <w:pStyle w:val="Heading2"/>
      </w:pPr>
      <w:r>
        <w:t>62. PET à l'eau-15</w:t>
      </w:r>
      <w:bookmarkEnd w:id="83"/>
    </w:p>
    <w:p>
      <w:pPr>
        <w:widowControl/>
        <w:spacing w:after="100" w:line="259" w:lineRule="auto"/>
      </w:pPr>
      <w:r>
        <w:rPr>
          <w:rFonts w:ascii="Aptos" w:hAnsi="Aptos" w:eastAsia="Aptos"/>
          <w:color w:val="24323D"/>
          <w:sz w:val="18"/>
        </w:rPr>
        <w:t>L'eau-15 est un traceur diffusible utilisé pour estimer le CBF par modèle cinétique. La mesure régionale dépend de la fonction d'entrée, de l'extraction, du volume partiel et de la reconstruction. Elle constitue une référence majeure pour valider ASL et bolus tracking, sans être exempte d'incertitude [R17, R31, R65].</w:t>
      </w:r>
    </w:p>
    <w:p>
      <w:bookmarkStart w:id="84" w:name="sec063"/>
      <w:pPr>
        <w:pStyle w:val="Heading2"/>
      </w:pPr>
      <w:r>
        <w:t>63. PET à l'oxygène-15</w:t>
      </w:r>
      <w:bookmarkEnd w:id="84"/>
    </w:p>
    <w:p>
      <w:pPr>
        <w:widowControl/>
        <w:spacing w:after="100" w:line="259" w:lineRule="auto"/>
      </w:pPr>
      <w:r>
        <w:rPr>
          <w:rFonts w:ascii="Aptos" w:hAnsi="Aptos" w:eastAsia="Aptos"/>
          <w:color w:val="24323D"/>
          <w:sz w:val="18"/>
        </w:rPr>
        <w:t>L'oxygène-15 permet d'estimer OEF et CMRO₂ en tenant compte de l'oxygène inhalé, de sa conversion métabolique en eau marquée, de la recirculation et du CBV. Les méthodes steady-state et bolus ont des compromis différents [R31, R32].</w:t>
      </w:r>
    </w:p>
    <w:p>
      <w:pPr>
        <w:widowControl/>
        <w:spacing w:after="100" w:line="259" w:lineRule="auto"/>
      </w:pPr>
      <w:r>
        <w:rPr>
          <w:rFonts w:ascii="Aptos" w:hAnsi="Aptos" w:eastAsia="Aptos"/>
          <w:color w:val="24323D"/>
          <w:sz w:val="18"/>
        </w:rPr>
        <w:t>Des méthodes count-based ou de ratios peuvent prédire un risque dans certaines occlusions carotidiennes, tout en divergeant de la mesure absolue [R35–R38]. Le choix d'une métrique OEF modifie sensibilité, spécificité et comparabilité.</w:t>
      </w:r>
    </w:p>
    <w:p>
      <w:bookmarkStart w:id="85" w:name="sec064"/>
      <w:pPr>
        <w:pStyle w:val="Heading2"/>
      </w:pPr>
      <w:r>
        <w:t>64. PET/MR et méthodes MRI de métabolisme</w:t>
      </w:r>
      <w:bookmarkEnd w:id="85"/>
    </w:p>
    <w:p>
      <w:pPr>
        <w:widowControl/>
        <w:spacing w:after="100" w:line="259" w:lineRule="auto"/>
      </w:pPr>
      <w:r>
        <w:rPr>
          <w:rFonts w:ascii="Aptos" w:hAnsi="Aptos" w:eastAsia="Aptos"/>
          <w:color w:val="24323D"/>
          <w:sz w:val="18"/>
        </w:rPr>
        <w:t>PET/MR peut associer PET O-15, ASL, susceptibilité, T2 sanguin et anatomie. Des méthodes de calibration cherchent à réduire l'échantillonnage artériel [R34]. La simultanéité réduit certains décalages, mais les chaînes de reconstruction et les résolutions restent différentes.</w:t>
      </w:r>
    </w:p>
    <w:p>
      <w:pPr>
        <w:widowControl/>
        <w:spacing w:after="100" w:line="259" w:lineRule="auto"/>
      </w:pPr>
      <w:r>
        <w:rPr>
          <w:rFonts w:ascii="Aptos" w:hAnsi="Aptos" w:eastAsia="Aptos"/>
          <w:color w:val="24323D"/>
          <w:sz w:val="18"/>
        </w:rPr>
        <w:t>Les méthodes MRI d'OEF et CMRO₂ sont prometteuses et parfois quantitatives dans des conditions définies [R33, R62]. Leur validation régionale, intersite et hors population saine reste inégale. Elles sont classées de contextuelles à expérimentales selon la technique.</w:t>
      </w:r>
    </w:p>
    <w:p>
      <w:bookmarkStart w:id="86" w:name="part13"/>
      <w:pPr>
        <w:pStyle w:val="Heading1"/>
        <w:keepNext/>
        <w:keepLines/>
        <w:pageBreakBefore/>
      </w:pPr>
      <w:r>
        <w:t>PARTIE XIII — QUALITÉ, MÉTROLOGIE ET CORE LAB</w:t>
      </w:r>
      <w:bookmarkEnd w:id="86"/>
    </w:p>
    <w:p>
      <w:pPr>
        <w:spacing w:after="160"/>
      </w:pPr>
      <w:hyperlink w:anchor="TOC" w:history="1">
        <w:r>
          <w:rPr>
            <w:rStyle w:val="Hyperlink"/>
            <w:color w:val="667085"/>
          </w:rPr>
          <w:t>↑ Retour au sommaire</w:t>
        </w:r>
      </w:hyperlink>
    </w:p>
    <w:p>
      <w:bookmarkStart w:id="87" w:name="sec065"/>
      <w:pPr>
        <w:pStyle w:val="Heading2"/>
      </w:pPr>
      <w:r>
        <w:t>65. Qualité en quatre étages</w:t>
      </w:r>
      <w:bookmarkEnd w:id="87"/>
    </w:p>
    <w:p>
      <w:pPr>
        <w:pStyle w:val="Caption"/>
        <w:spacing w:before="120" w:after="60"/>
        <w:jc w:val="left"/>
        <w:keepNext/>
        <w:keepLines/>
      </w:pPr>
      <w:r>
        <w:rPr>
          <w:rFonts w:ascii="Aptos" w:hAnsi="Aptos" w:eastAsia="Aptos"/>
          <w:b/>
          <w:color w:val="667085"/>
          <w:sz w:val="16"/>
        </w:rPr>
        <w:t>Tableau 6 — Étages de qualité</w:t>
      </w:r>
    </w:p>
    <w:tbl>
      <w:tblPr>
        <w:tblStyle w:val="TableGrid"/>
        <w:tblW w:type="dxa" w:w="9836"/>
        <w:jc w:val="center"/>
        <w:tblLayout w:type="fixed"/>
        <w:tblLook w:firstColumn="1" w:firstRow="1" w:lastColumn="0" w:lastRow="0" w:noHBand="0" w:noVBand="1" w:val="04A0"/>
        <w:tblInd w:w="90" w:type="dxa"/>
      </w:tblPr>
      <w:tblGrid>
        <w:gridCol w:w="1612"/>
        <w:gridCol w:w="5375"/>
        <w:gridCol w:w="2849"/>
      </w:tblGrid>
      <w:tr>
        <w:trPr>
          <w:tblHeader w:val="true"/>
          <w:cantSplit/>
        </w:trPr>
        <w:tc>
          <w:tcPr>
            <w:tcW w:type="dxa" w:w="1612"/>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Étage</w:t>
            </w:r>
          </w:p>
        </w:tc>
        <w:tc>
          <w:tcPr>
            <w:tcW w:type="dxa" w:w="5375"/>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Questions</w:t>
            </w:r>
          </w:p>
        </w:tc>
        <w:tc>
          <w:tcPr>
            <w:tcW w:type="dxa" w:w="2849"/>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Échec typique</w:t>
            </w:r>
          </w:p>
        </w:tc>
      </w:tr>
      <w:tr>
        <w:trPr>
          <w:cantSplit/>
        </w:trPr>
        <w:tc>
          <w:tcPr>
            <w:tcW w:type="dxa" w:w="1612"/>
            <w:vAlign w:val="top"/>
            <w:tcMar>
              <w:top w:w="70" w:type="dxa"/>
              <w:start w:w="90" w:type="dxa"/>
              <w:bottom w:w="70" w:type="dxa"/>
              <w:end w:w="90" w:type="dxa"/>
            </w:tcMar>
          </w:tcPr>
          <w:p>
            <w:pPr>
              <w:spacing w:after="0" w:line="240" w:lineRule="auto"/>
            </w:pPr>
            <w:r>
              <w:rPr>
                <w:rFonts w:ascii="Aptos" w:hAnsi="Aptos" w:eastAsia="Aptos"/>
                <w:color w:val="24323D"/>
                <w:sz w:val="14"/>
              </w:rPr>
              <w:t>Données</w:t>
            </w:r>
          </w:p>
        </w:tc>
        <w:tc>
          <w:tcPr>
            <w:tcW w:type="dxa" w:w="5375"/>
            <w:vAlign w:val="top"/>
            <w:tcMar>
              <w:top w:w="70" w:type="dxa"/>
              <w:start w:w="90" w:type="dxa"/>
              <w:bottom w:w="70" w:type="dxa"/>
              <w:end w:w="90" w:type="dxa"/>
            </w:tcMar>
          </w:tcPr>
          <w:p>
            <w:pPr>
              <w:spacing w:after="0" w:line="240" w:lineRule="auto"/>
            </w:pPr>
            <w:r>
              <w:rPr>
                <w:rFonts w:ascii="Aptos" w:hAnsi="Aptos" w:eastAsia="Aptos"/>
                <w:color w:val="24323D"/>
                <w:sz w:val="14"/>
              </w:rPr>
              <w:t>Couverture, dynamique, signal, mouvement, injection/marquage, métadonnées.</w:t>
            </w:r>
          </w:p>
        </w:tc>
        <w:tc>
          <w:tcPr>
            <w:tcW w:type="dxa" w:w="2849"/>
            <w:vAlign w:val="top"/>
            <w:tcMar>
              <w:top w:w="70" w:type="dxa"/>
              <w:start w:w="90" w:type="dxa"/>
              <w:bottom w:w="70" w:type="dxa"/>
              <w:end w:w="90" w:type="dxa"/>
            </w:tcMar>
          </w:tcPr>
          <w:p>
            <w:pPr>
              <w:spacing w:after="0" w:line="240" w:lineRule="auto"/>
            </w:pPr>
            <w:r>
              <w:rPr>
                <w:rFonts w:ascii="Aptos" w:hAnsi="Aptos" w:eastAsia="Aptos"/>
                <w:color w:val="24323D"/>
                <w:sz w:val="14"/>
              </w:rPr>
              <w:t>Carte calculée depuis une série incomplète.</w:t>
            </w:r>
          </w:p>
        </w:tc>
      </w:tr>
      <w:tr>
        <w:trPr>
          <w:cantSplit/>
        </w:trPr>
        <w:tc>
          <w:tcPr>
            <w:tcW w:type="dxa" w:w="161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Mesure</w:t>
            </w:r>
          </w:p>
        </w:tc>
        <w:tc>
          <w:tcPr>
            <w:tcW w:type="dxa" w:w="537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AIF, modèle, calibration, segmentation, unités, résidus.</w:t>
            </w:r>
          </w:p>
        </w:tc>
        <w:tc>
          <w:tcPr>
            <w:tcW w:type="dxa" w:w="284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Nombre plausible mais biaisé.</w:t>
            </w:r>
          </w:p>
        </w:tc>
      </w:tr>
      <w:tr>
        <w:trPr>
          <w:cantSplit/>
        </w:trPr>
        <w:tc>
          <w:tcPr>
            <w:tcW w:type="dxa" w:w="1612"/>
            <w:vAlign w:val="top"/>
            <w:tcMar>
              <w:top w:w="70" w:type="dxa"/>
              <w:start w:w="90" w:type="dxa"/>
              <w:bottom w:w="70" w:type="dxa"/>
              <w:end w:w="90" w:type="dxa"/>
            </w:tcMar>
          </w:tcPr>
          <w:p>
            <w:pPr>
              <w:spacing w:after="0" w:line="240" w:lineRule="auto"/>
            </w:pPr>
            <w:r>
              <w:rPr>
                <w:rFonts w:ascii="Aptos" w:hAnsi="Aptos" w:eastAsia="Aptos"/>
                <w:color w:val="24323D"/>
                <w:sz w:val="14"/>
              </w:rPr>
              <w:t>Biomarqueur</w:t>
            </w:r>
          </w:p>
        </w:tc>
        <w:tc>
          <w:tcPr>
            <w:tcW w:type="dxa" w:w="5375"/>
            <w:vAlign w:val="top"/>
            <w:tcMar>
              <w:top w:w="70" w:type="dxa"/>
              <w:start w:w="90" w:type="dxa"/>
              <w:bottom w:w="70" w:type="dxa"/>
              <w:end w:w="90" w:type="dxa"/>
            </w:tcMar>
          </w:tcPr>
          <w:p>
            <w:pPr>
              <w:spacing w:after="0" w:line="240" w:lineRule="auto"/>
            </w:pPr>
            <w:r>
              <w:rPr>
                <w:rFonts w:ascii="Aptos" w:hAnsi="Aptos" w:eastAsia="Aptos"/>
                <w:color w:val="24323D"/>
                <w:sz w:val="14"/>
              </w:rPr>
              <w:t>Relation au construit, répétabilité, plage, confondeurs.</w:t>
            </w:r>
          </w:p>
        </w:tc>
        <w:tc>
          <w:tcPr>
            <w:tcW w:type="dxa" w:w="2849"/>
            <w:vAlign w:val="top"/>
            <w:tcMar>
              <w:top w:w="70" w:type="dxa"/>
              <w:start w:w="90" w:type="dxa"/>
              <w:bottom w:w="70" w:type="dxa"/>
              <w:end w:w="90" w:type="dxa"/>
            </w:tcMar>
          </w:tcPr>
          <w:p>
            <w:pPr>
              <w:spacing w:after="0" w:line="240" w:lineRule="auto"/>
            </w:pPr>
            <w:r>
              <w:rPr>
                <w:rFonts w:ascii="Aptos" w:hAnsi="Aptos" w:eastAsia="Aptos"/>
                <w:color w:val="24323D"/>
                <w:sz w:val="14"/>
              </w:rPr>
              <w:t>Seuil local appelé universel.</w:t>
            </w:r>
          </w:p>
        </w:tc>
      </w:tr>
      <w:tr>
        <w:trPr>
          <w:cantSplit/>
        </w:trPr>
        <w:tc>
          <w:tcPr>
            <w:tcW w:type="dxa" w:w="161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Inférence</w:t>
            </w:r>
          </w:p>
        </w:tc>
        <w:tc>
          <w:tcPr>
            <w:tcW w:type="dxa" w:w="537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Population, référence, contexte d'usage, valeur incrémentale.</w:t>
            </w:r>
          </w:p>
        </w:tc>
        <w:tc>
          <w:tcPr>
            <w:tcW w:type="dxa" w:w="2849"/>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Association transformée en causalité.</w:t>
            </w:r>
          </w:p>
        </w:tc>
      </w:tr>
    </w:tbl>
    <w:p>
      <w:bookmarkStart w:id="88" w:name="sec066"/>
      <w:pPr>
        <w:pStyle w:val="Heading2"/>
      </w:pPr>
      <w:r>
        <w:t>66. Exactitude, répétabilité et reproductibilité</w:t>
      </w:r>
      <w:bookmarkEnd w:id="88"/>
    </w:p>
    <w:p>
      <w:pPr>
        <w:widowControl/>
        <w:spacing w:after="100" w:line="259" w:lineRule="auto"/>
      </w:pPr>
      <w:r>
        <w:rPr>
          <w:rFonts w:ascii="Aptos" w:hAnsi="Aptos" w:eastAsia="Aptos"/>
          <w:color w:val="24323D"/>
          <w:sz w:val="18"/>
        </w:rPr>
        <w:t>Le biais mesure l'écart à une référence ; la précision décrit la dispersion. La répétabilité porte sur des conditions proches ; la reproductibilité nomme les conditions changées : site, appareil, opérateur, logiciel, version, jour ou modèle.</w:t>
      </w:r>
    </w:p>
    <w:p>
      <w:pPr>
        <w:widowControl/>
        <w:spacing w:after="100" w:line="259" w:lineRule="auto"/>
      </w:pPr>
      <w:r>
        <w:rPr>
          <w:rFonts w:ascii="Aptos" w:hAnsi="Aptos" w:eastAsia="Aptos"/>
          <w:color w:val="24323D"/>
          <w:sz w:val="18"/>
        </w:rPr>
        <w:t>La corrélation ne prouve pas l'accord. L'ICC dépend de l'hétérogénéité de la population. Un coefficient de variation devient instable près de zéro. Les limites d'accord doivent être comparées à l'erreur admissible du contexte d'usage.</w:t>
      </w:r>
    </w:p>
    <w:p>
      <w:bookmarkStart w:id="89" w:name="sec067"/>
      <w:pPr>
        <w:pStyle w:val="Heading2"/>
      </w:pPr>
      <w:r>
        <w:t>67. Calibration, phantoms et digital reference objects</w:t>
      </w:r>
      <w:bookmarkEnd w:id="89"/>
    </w:p>
    <w:p>
      <w:pPr>
        <w:widowControl/>
        <w:spacing w:after="100" w:line="259" w:lineRule="auto"/>
      </w:pPr>
      <w:r>
        <w:rPr>
          <w:rFonts w:ascii="Aptos" w:hAnsi="Aptos" w:eastAsia="Aptos"/>
          <w:color w:val="24323D"/>
          <w:sz w:val="18"/>
        </w:rPr>
        <w:t>Un phantom physique teste atténuation, concentration, géométrie ou stabilité. Un digital reference object teste les algorithmes avec une vérité générée. Le premier n'a pas toute la physiologie ; le second n'a pas toutes les imperfections instrumentales.</w:t>
      </w:r>
    </w:p>
    <w:p>
      <w:pPr>
        <w:widowControl/>
        <w:spacing w:after="100" w:line="259" w:lineRule="auto"/>
      </w:pPr>
      <w:r>
        <w:rPr>
          <w:rFonts w:ascii="Aptos" w:hAnsi="Aptos" w:eastAsia="Aptos"/>
          <w:color w:val="24323D"/>
          <w:sz w:val="18"/>
        </w:rPr>
        <w:t>Les phantoms CTP/DSC ont révélé des erreurs de délai et des dépendances logicielles [R04, R24–R26]. Une chaîne métrologique crédible combine références, contrôles humains, cas difficiles et suivi de dérive.</w:t>
      </w:r>
    </w:p>
    <w:p>
      <w:bookmarkStart w:id="90" w:name="sec068"/>
      <w:pPr>
        <w:pStyle w:val="Heading2"/>
      </w:pPr>
      <w:r>
        <w:t>68. Harmonisation</w:t>
      </w:r>
      <w:bookmarkEnd w:id="90"/>
    </w:p>
    <w:p>
      <w:pPr>
        <w:widowControl/>
        <w:spacing w:after="100" w:line="259" w:lineRule="auto"/>
      </w:pPr>
      <w:r>
        <w:rPr>
          <w:rFonts w:ascii="Aptos" w:hAnsi="Aptos" w:eastAsia="Aptos"/>
          <w:color w:val="24323D"/>
          <w:sz w:val="18"/>
        </w:rPr>
        <w:t>Harmoniser peut signifier standardiser avant acquisition, recalibrer, normaliser à un tissu, ajuster un effet site ou reconstruire par une chaîne commune. Ces opérations n'ont pas la même causalité.</w:t>
      </w:r>
    </w:p>
    <w:p>
      <w:pPr>
        <w:widowControl/>
        <w:spacing w:after="100" w:line="259" w:lineRule="auto"/>
      </w:pPr>
      <w:r>
        <w:rPr>
          <w:rFonts w:ascii="Aptos" w:hAnsi="Aptos" w:eastAsia="Aptos"/>
          <w:color w:val="24323D"/>
          <w:sz w:val="18"/>
        </w:rPr>
        <w:t>Une réduction de l'effet site ne prouve pas la conservation du signal biologique. Toute transformation conserve les données originales, sa version, ses paramètres et une validation hors échantillon. Les seuils interlogiciels ne sont pas mutualisés sans étude de pont [R05, R06, R27].</w:t>
      </w:r>
    </w:p>
    <w:p>
      <w:bookmarkStart w:id="91" w:name="sec069"/>
      <w:pPr>
        <w:pStyle w:val="Heading2"/>
      </w:pPr>
      <w:r>
        <w:t>69. Scénario Core Lab</w:t>
      </w:r>
      <w:bookmarkEnd w:id="91"/>
    </w:p>
    <w:p>
      <w:pPr>
        <w:pStyle w:val="ListBullet"/>
        <w:spacing w:after="50" w:line="247" w:lineRule="auto"/>
      </w:pPr>
      <w:r>
        <w:rPr>
          <w:rFonts w:ascii="Aptos" w:hAnsi="Aptos" w:eastAsia="Aptos"/>
          <w:color w:val="24323D"/>
          <w:sz w:val="18"/>
        </w:rPr>
        <w:t>Verrouiller les définitions des construits, unités, modèles et états de non-évaluabilité.</w:t>
      </w:r>
    </w:p>
    <w:p>
      <w:pPr>
        <w:pStyle w:val="ListBullet"/>
        <w:spacing w:after="50" w:line="247" w:lineRule="auto"/>
      </w:pPr>
      <w:r>
        <w:rPr>
          <w:rFonts w:ascii="Aptos" w:hAnsi="Aptos" w:eastAsia="Aptos"/>
          <w:color w:val="24323D"/>
          <w:sz w:val="18"/>
        </w:rPr>
        <w:t>Qualifier chaque site, logiciel, reconstruction, AIF et version avec des objets communs.</w:t>
      </w:r>
    </w:p>
    <w:p>
      <w:pPr>
        <w:pStyle w:val="ListBullet"/>
        <w:spacing w:after="50" w:line="247" w:lineRule="auto"/>
      </w:pPr>
      <w:r>
        <w:rPr>
          <w:rFonts w:ascii="Aptos" w:hAnsi="Aptos" w:eastAsia="Aptos"/>
          <w:color w:val="24323D"/>
          <w:sz w:val="18"/>
        </w:rPr>
        <w:t>Centraliser ou certifier la segmentation et le contrôle des courbes sans masquer les données sources.</w:t>
      </w:r>
    </w:p>
    <w:p>
      <w:pPr>
        <w:pStyle w:val="ListBullet"/>
        <w:spacing w:after="50" w:line="247" w:lineRule="auto"/>
      </w:pPr>
      <w:r>
        <w:rPr>
          <w:rFonts w:ascii="Aptos" w:hAnsi="Aptos" w:eastAsia="Aptos"/>
          <w:color w:val="24323D"/>
          <w:sz w:val="18"/>
        </w:rPr>
        <w:t>Séparer développement, calibration et validation ; maintenir l'aveugle lorsque pertinent.</w:t>
      </w:r>
    </w:p>
    <w:p>
      <w:pPr>
        <w:pStyle w:val="ListBullet"/>
        <w:spacing w:after="50" w:line="247" w:lineRule="auto"/>
      </w:pPr>
      <w:r>
        <w:rPr>
          <w:rFonts w:ascii="Aptos" w:hAnsi="Aptos" w:eastAsia="Aptos"/>
          <w:color w:val="24323D"/>
          <w:sz w:val="18"/>
        </w:rPr>
        <w:t>Tracer corrections, exclusions, déviations, adjudications, lots et mises à jour.</w:t>
      </w:r>
    </w:p>
    <w:p>
      <w:pPr>
        <w:pStyle w:val="ListBullet"/>
        <w:spacing w:after="50" w:line="247" w:lineRule="auto"/>
      </w:pPr>
      <w:r>
        <w:rPr>
          <w:rFonts w:ascii="Aptos" w:hAnsi="Aptos" w:eastAsia="Aptos"/>
          <w:color w:val="24323D"/>
          <w:sz w:val="18"/>
        </w:rPr>
        <w:t>Quantifier biais, répétabilité, reproductibilité et effet site par biomarqueur.</w:t>
      </w:r>
    </w:p>
    <w:p>
      <w:pPr>
        <w:pStyle w:val="ListBullet"/>
        <w:spacing w:after="50" w:line="247" w:lineRule="auto"/>
      </w:pPr>
      <w:r>
        <w:rPr>
          <w:rFonts w:ascii="Aptos" w:hAnsi="Aptos" w:eastAsia="Aptos"/>
          <w:color w:val="24323D"/>
          <w:sz w:val="18"/>
        </w:rPr>
        <w:t>Rapporter les échecs et sous-groupes, pas seulement les examens analysables.</w:t>
      </w:r>
    </w:p>
    <w:p>
      <w:pPr>
        <w:widowControl/>
        <w:spacing w:after="100" w:line="259" w:lineRule="auto"/>
      </w:pPr>
      <w:r>
        <w:rPr>
          <w:rFonts w:ascii="Aptos" w:hAnsi="Aptos" w:eastAsia="Aptos"/>
          <w:color w:val="24323D"/>
          <w:sz w:val="18"/>
        </w:rPr>
        <w:t>Le Core Lab n'est pas une autorité automatique. Il améliore la cohérence seulement si ses décisions sont préspécifiées, auditables et séparées des résultats qu'elles pourraient favoriser.</w:t>
      </w:r>
    </w:p>
    <w:p>
      <w:bookmarkStart w:id="92" w:name="part14"/>
      <w:pPr>
        <w:pStyle w:val="Heading1"/>
        <w:keepNext/>
        <w:keepLines/>
        <w:pageBreakBefore/>
      </w:pPr>
      <w:r>
        <w:t>PARTIE XIV — APPLICATIONS SCIENTIFIQUES ILLUSTRATIVES</w:t>
      </w:r>
      <w:bookmarkEnd w:id="92"/>
    </w:p>
    <w:p>
      <w:pPr>
        <w:spacing w:after="160"/>
      </w:pPr>
      <w:hyperlink w:anchor="TOC" w:history="1">
        <w:r>
          <w:rPr>
            <w:rStyle w:val="Hyperlink"/>
            <w:color w:val="667085"/>
          </w:rPr>
          <w:t>↑ Retour au sommaire</w:t>
        </w:r>
      </w:hyperlink>
    </w:p>
    <w:p>
      <w:bookmarkStart w:id="93" w:name="sec070"/>
      <w:pPr>
        <w:pStyle w:val="Heading2"/>
      </w:pPr>
      <w:r>
        <w:t>70. Règle de lecture des applications</w:t>
      </w:r>
      <w:bookmarkEnd w:id="93"/>
    </w:p>
    <w:p>
      <w:pPr>
        <w:widowControl/>
        <w:spacing w:after="100" w:line="259" w:lineRule="auto"/>
      </w:pPr>
      <w:r>
        <w:rPr>
          <w:rFonts w:ascii="Aptos" w:hAnsi="Aptos" w:eastAsia="Aptos"/>
          <w:color w:val="24323D"/>
          <w:sz w:val="18"/>
        </w:rPr>
        <w:t>Les sections suivantes ne constituent ni chapitres pathologiques complets ni recommandations. Elles montrent comment les construits de RB-005 peuvent soutenir une question de recherche. Chaque bénéfice est un bénéfice informationnel potentiel ou démontré dans un cadre, jamais une instruction de soin.</w:t>
      </w:r>
    </w:p>
    <w:p>
      <w:bookmarkStart w:id="94" w:name="sec071"/>
      <w:pPr>
        <w:pStyle w:val="Heading2"/>
      </w:pPr>
      <w:r>
        <w:t>71. AVC aigu</w:t>
      </w:r>
      <w:bookmarkEnd w:id="94"/>
    </w:p>
    <w:p>
      <w:pPr>
        <w:widowControl/>
        <w:spacing w:after="100" w:line="259" w:lineRule="auto"/>
      </w:pPr>
      <w:r>
        <w:rPr>
          <w:rFonts w:ascii="Aptos" w:hAnsi="Aptos" w:eastAsia="Aptos"/>
          <w:color w:val="24323D"/>
          <w:sz w:val="18"/>
        </w:rPr>
        <w:t>Intérêt scientifique : cartographier la sévérité et la temporalité de l'hypoperfusion, estimer des régions de diffusion restreinte, de CBF très abaissé ou de délai prolongé, et étudier leur évolution avec reperfusion et collatérales.</w:t>
      </w:r>
    </w:p>
    <w:p>
      <w:pPr>
        <w:widowControl/>
        <w:spacing w:after="100" w:line="259" w:lineRule="auto"/>
      </w:pPr>
      <w:r>
        <w:rPr>
          <w:rFonts w:ascii="Aptos" w:hAnsi="Aptos" w:eastAsia="Aptos"/>
          <w:color w:val="24323D"/>
          <w:sz w:val="18"/>
        </w:rPr>
        <w:t>Biomarqueurs : CBF relatif, CBV, MTT, Tmax/delay, TTP, ATT, DWI/ADC, indices collatéraux et, plus expérimentalement, OEF/CMRO₂. Niveau de preuve : élevé pour l'utilisation de profils d'imagerie dans des essais définis ; contextuel pour chaque seuil, logiciel et fenêtre [R39–R44].</w:t>
      </w:r>
    </w:p>
    <w:p>
      <w:pPr>
        <w:widowControl/>
        <w:spacing w:after="100" w:line="259" w:lineRule="auto"/>
      </w:pPr>
      <w:r>
        <w:rPr>
          <w:rFonts w:ascii="Aptos" w:hAnsi="Aptos" w:eastAsia="Aptos"/>
          <w:color w:val="24323D"/>
          <w:sz w:val="18"/>
        </w:rPr>
        <w:t>Limites et controverses : core et penumbra sont dynamiques ; les collatérales modifient le délai ; white matter et faible bolus créent des faux positifs ; le ghost core montre une surestimation possible ; aucun seuil n'établit seul l'irréversibilité.</w:t>
      </w:r>
    </w:p>
    <w:p>
      <w:bookmarkStart w:id="95" w:name="sec072"/>
      <w:pPr>
        <w:pStyle w:val="Heading2"/>
      </w:pPr>
      <w:r>
        <w:t>72. AVC chronique</w:t>
      </w:r>
      <w:bookmarkEnd w:id="95"/>
    </w:p>
    <w:p>
      <w:pPr>
        <w:widowControl/>
        <w:spacing w:after="100" w:line="259" w:lineRule="auto"/>
      </w:pPr>
      <w:r>
        <w:rPr>
          <w:rFonts w:ascii="Aptos" w:hAnsi="Aptos" w:eastAsia="Aptos"/>
          <w:color w:val="24323D"/>
          <w:sz w:val="18"/>
        </w:rPr>
        <w:t>Intérêt scientifique : décrire perfusion résiduelle, diaschisis, réserve, transit collatéral, extraction d'oxygène et réorganisation. Les mesures peuvent être longitudinales si la chaîne et l'état physiologique restent comparables.</w:t>
      </w:r>
    </w:p>
    <w:p>
      <w:pPr>
        <w:widowControl/>
        <w:spacing w:after="100" w:line="259" w:lineRule="auto"/>
      </w:pPr>
      <w:r>
        <w:rPr>
          <w:rFonts w:ascii="Aptos" w:hAnsi="Aptos" w:eastAsia="Aptos"/>
          <w:color w:val="24323D"/>
          <w:sz w:val="18"/>
        </w:rPr>
        <w:t>Biomarqueurs : CBF ASL/PET, ATT, CVR, CBV, OEF et CMRO₂. Niveau de preuve : convergent pour l'altération hémodynamique et la valeur pronostique de l'OEF dans certaines occlusions ; plus limité pour la substitution par des marqueurs MRI [R17–R20, R35–R38].</w:t>
      </w:r>
    </w:p>
    <w:p>
      <w:pPr>
        <w:widowControl/>
        <w:spacing w:after="100" w:line="259" w:lineRule="auto"/>
      </w:pPr>
      <w:r>
        <w:rPr>
          <w:rFonts w:ascii="Aptos" w:hAnsi="Aptos" w:eastAsia="Aptos"/>
          <w:color w:val="24323D"/>
          <w:sz w:val="18"/>
        </w:rPr>
        <w:t>Limites : atrophie et volume partiel, médicaments, CO₂, hémoglobine, récupération, lésions anciennes, mouvements et effets de territoire. Controverse : la réserve, le CBF basal et l'OEF n'identifient pas toujours les mêmes sujets.</w:t>
      </w:r>
    </w:p>
    <w:p>
      <w:bookmarkStart w:id="96" w:name="sec073"/>
      <w:pPr>
        <w:pStyle w:val="Heading2"/>
      </w:pPr>
      <w:r>
        <w:t>73. Thrombectomie</w:t>
      </w:r>
      <w:bookmarkEnd w:id="96"/>
    </w:p>
    <w:p>
      <w:pPr>
        <w:widowControl/>
        <w:spacing w:after="100" w:line="259" w:lineRule="auto"/>
      </w:pPr>
      <w:r>
        <w:rPr>
          <w:rFonts w:ascii="Aptos" w:hAnsi="Aptos" w:eastAsia="Aptos"/>
          <w:color w:val="24323D"/>
          <w:sz w:val="18"/>
        </w:rPr>
        <w:t>Intérêt scientifique : étudier l'interaction entre temps, tissu, collatérales, reperfusion et résultat. DEFUSE 3 et DAWN démontrent un bénéfice de thrombectomie dans des populations sélectionnées selon leurs contrats respectifs [R40, R41] ; ils ne prouvent pas l'universalité d'un logiciel ou d'un biomarqueur isolé.</w:t>
      </w:r>
    </w:p>
    <w:p>
      <w:pPr>
        <w:widowControl/>
        <w:spacing w:after="100" w:line="259" w:lineRule="auto"/>
      </w:pPr>
      <w:r>
        <w:rPr>
          <w:rFonts w:ascii="Aptos" w:hAnsi="Aptos" w:eastAsia="Aptos"/>
          <w:color w:val="24323D"/>
          <w:sz w:val="18"/>
        </w:rPr>
        <w:t>Biomarqueurs : volumes core/mismatch selon chaîne, Tmax, CBF relatif, DWI/ADC, collatérales, reperfusion et infarctus final. Niveau de preuve : élevé pour les comparaisons randomisées dans les critères étudiés ; contextuel pour l'extrapolation à d'autres populations, seuils ou versions.</w:t>
      </w:r>
    </w:p>
    <w:p>
      <w:pPr>
        <w:widowControl/>
        <w:spacing w:after="100" w:line="259" w:lineRule="auto"/>
      </w:pPr>
      <w:r>
        <w:rPr>
          <w:rFonts w:ascii="Aptos" w:hAnsi="Aptos" w:eastAsia="Aptos"/>
          <w:color w:val="24323D"/>
          <w:sz w:val="18"/>
        </w:rPr>
        <w:t>Limites et controverses : sélection versus bénéfice dans les non-matchers, core volumineux, fenêtre précoce, ghost core, qualité collatérale et changement des dispositifs. RB-005 ne convertit pas ces résultats en indication clinique.</w:t>
      </w:r>
    </w:p>
    <w:p>
      <w:bookmarkStart w:id="97" w:name="sec074"/>
      <w:pPr>
        <w:pStyle w:val="Heading2"/>
      </w:pPr>
      <w:r>
        <w:t>74. Vasospasme et ischémie retardée</w:t>
      </w:r>
      <w:bookmarkEnd w:id="97"/>
    </w:p>
    <w:p>
      <w:pPr>
        <w:widowControl/>
        <w:spacing w:after="100" w:line="259" w:lineRule="auto"/>
      </w:pPr>
      <w:r>
        <w:rPr>
          <w:rFonts w:ascii="Aptos" w:hAnsi="Aptos" w:eastAsia="Aptos"/>
          <w:color w:val="24323D"/>
          <w:sz w:val="18"/>
        </w:rPr>
        <w:t>Intérêt scientifique : distinguer rétrécissement angiographique, perturbation de perfusion, déficit clinique et ischémie retardée. Ces objets sont associés sans être synonymes.</w:t>
      </w:r>
    </w:p>
    <w:p>
      <w:pPr>
        <w:widowControl/>
        <w:spacing w:after="100" w:line="259" w:lineRule="auto"/>
      </w:pPr>
      <w:r>
        <w:rPr>
          <w:rFonts w:ascii="Aptos" w:hAnsi="Aptos" w:eastAsia="Aptos"/>
          <w:color w:val="24323D"/>
          <w:sz w:val="18"/>
        </w:rPr>
        <w:t>Biomarqueurs : CBF, MTT, TTP, TTD, Tmax, CTA/DSA et dynamique longitudinale. Niveau de preuve : études diagnostiques contextuelles ; certaines mesures présentent une forte spécificité mais une sensibilité limitée [R48, R49].</w:t>
      </w:r>
    </w:p>
    <w:p>
      <w:pPr>
        <w:widowControl/>
        <w:spacing w:after="100" w:line="259" w:lineRule="auto"/>
      </w:pPr>
      <w:r>
        <w:rPr>
          <w:rFonts w:ascii="Aptos" w:hAnsi="Aptos" w:eastAsia="Aptos"/>
          <w:color w:val="24323D"/>
          <w:sz w:val="18"/>
        </w:rPr>
        <w:t>Limites : faible effectif, changements de pression, traitements concomitants, artefacts, délai entre examens et référence composite. Controverse : le meilleur paramètre temporel dépend du logiciel et de la définition de la cible.</w:t>
      </w:r>
    </w:p>
    <w:p>
      <w:bookmarkStart w:id="98" w:name="sec075"/>
      <w:pPr>
        <w:pStyle w:val="Heading2"/>
      </w:pPr>
      <w:r>
        <w:t>75. Sténoses et occlusions chroniques</w:t>
      </w:r>
      <w:bookmarkEnd w:id="98"/>
    </w:p>
    <w:p>
      <w:pPr>
        <w:widowControl/>
        <w:spacing w:after="100" w:line="259" w:lineRule="auto"/>
      </w:pPr>
      <w:r>
        <w:rPr>
          <w:rFonts w:ascii="Aptos" w:hAnsi="Aptos" w:eastAsia="Aptos"/>
          <w:color w:val="24323D"/>
          <w:sz w:val="18"/>
        </w:rPr>
        <w:t>Intérêt scientifique : caractériser compensation vasodilatatrice, collatérales, réserve, retard artériel et extraction. Un CBF relativement préservé peut coexister avec CBV, ATT ou OEF augmentés.</w:t>
      </w:r>
    </w:p>
    <w:p>
      <w:pPr>
        <w:widowControl/>
        <w:spacing w:after="100" w:line="259" w:lineRule="auto"/>
      </w:pPr>
      <w:r>
        <w:rPr>
          <w:rFonts w:ascii="Aptos" w:hAnsi="Aptos" w:eastAsia="Aptos"/>
          <w:color w:val="24323D"/>
          <w:sz w:val="18"/>
        </w:rPr>
        <w:t>Biomarqueurs : CBF, CBV, MTT/ATT, CVR, OEF, CMRO₂ et asymétries. Niveau de preuve : convergent pour l'existence de stades hémodynamiques ; prospectif pour certains usages individualisés. L'OEF PET anormale est associée au risque dans des cohortes définies [R35–R38].</w:t>
      </w:r>
    </w:p>
    <w:p>
      <w:pPr>
        <w:widowControl/>
        <w:spacing w:after="100" w:line="259" w:lineRule="auto"/>
      </w:pPr>
      <w:r>
        <w:rPr>
          <w:rFonts w:ascii="Aptos" w:hAnsi="Aptos" w:eastAsia="Aptos"/>
          <w:color w:val="24323D"/>
          <w:sz w:val="18"/>
        </w:rPr>
        <w:t>Limites : choix de méthode OEF, asymétrie bilatérale, effet des collatérales, stimulus CVR, tissu de référence et chronicité. Une réponse réduite au stimulus et une OEF élevée ne sont pas parfaitement superposables.</w:t>
      </w:r>
    </w:p>
    <w:p>
      <w:bookmarkStart w:id="99" w:name="sec076"/>
      <w:pPr>
        <w:pStyle w:val="Heading2"/>
      </w:pPr>
      <w:r>
        <w:t>76. Neuro-oncologie</w:t>
      </w:r>
      <w:bookmarkEnd w:id="99"/>
    </w:p>
    <w:p>
      <w:pPr>
        <w:widowControl/>
        <w:spacing w:after="100" w:line="259" w:lineRule="auto"/>
      </w:pPr>
      <w:r>
        <w:rPr>
          <w:rFonts w:ascii="Aptos" w:hAnsi="Aptos" w:eastAsia="Aptos"/>
          <w:color w:val="24323D"/>
          <w:sz w:val="18"/>
        </w:rPr>
        <w:t>Intérêt scientifique : étudier vascularité, néovascularisation, débit, volume plasmatique, fuite BBB, hétérogénéité et changements sous traitement. Les construits perfusion et perméabilité doivent rester séparés.</w:t>
      </w:r>
    </w:p>
    <w:p>
      <w:pPr>
        <w:widowControl/>
        <w:spacing w:after="100" w:line="259" w:lineRule="auto"/>
      </w:pPr>
      <w:r>
        <w:rPr>
          <w:rFonts w:ascii="Aptos" w:hAnsi="Aptos" w:eastAsia="Aptos"/>
          <w:color w:val="24323D"/>
          <w:sz w:val="18"/>
        </w:rPr>
        <w:t>Biomarqueurs : rCBV/rCBF DSC, Ktrans/Ki/vp/ve DCE, CBF ASL, pourcentage de récupération et distributions intratumorales. Niveau de preuve : convergent pour l'association de rCBV à plusieurs caractéristiques tumorales ; contextuel pour classification, génotype et réponse [R21–R27, R50–R52].</w:t>
      </w:r>
    </w:p>
    <w:p>
      <w:pPr>
        <w:widowControl/>
        <w:spacing w:after="100" w:line="259" w:lineRule="auto"/>
      </w:pPr>
      <w:r>
        <w:rPr>
          <w:rFonts w:ascii="Aptos" w:hAnsi="Aptos" w:eastAsia="Aptos"/>
          <w:color w:val="24323D"/>
          <w:sz w:val="18"/>
        </w:rPr>
        <w:t>Limites : fuite, précharge, normalisation, susceptibilité, nécrose, traitement, segmentation, pseudo-progression, petites séries et thresholds locaux. Controverse : la performance moyenne ne garantit pas l'interchangeabilité multicentrique.</w:t>
      </w:r>
    </w:p>
    <w:p>
      <w:bookmarkStart w:id="100" w:name="sec077"/>
      <w:pPr>
        <w:pStyle w:val="Heading2"/>
      </w:pPr>
      <w:r>
        <w:t>77. Traumatisme crânien</w:t>
      </w:r>
      <w:bookmarkEnd w:id="100"/>
    </w:p>
    <w:p>
      <w:pPr>
        <w:widowControl/>
        <w:spacing w:after="100" w:line="259" w:lineRule="auto"/>
      </w:pPr>
      <w:r>
        <w:rPr>
          <w:rFonts w:ascii="Aptos" w:hAnsi="Aptos" w:eastAsia="Aptos"/>
          <w:color w:val="24323D"/>
          <w:sz w:val="18"/>
        </w:rPr>
        <w:t>Intérêt scientifique : décrire hypoperfusion, hyperémie, perte d'autorégulation, pression, microcirculation, oxygénation et évolution des lésions secondaires. La physiologie est dynamique et spatialement hétérogène.</w:t>
      </w:r>
    </w:p>
    <w:p>
      <w:pPr>
        <w:widowControl/>
        <w:spacing w:after="100" w:line="259" w:lineRule="auto"/>
      </w:pPr>
      <w:r>
        <w:rPr>
          <w:rFonts w:ascii="Aptos" w:hAnsi="Aptos" w:eastAsia="Aptos"/>
          <w:color w:val="24323D"/>
          <w:sz w:val="18"/>
        </w:rPr>
        <w:t>Biomarqueurs : CBF, CBV, MTT, TTP, CVR/autorégulation, oxygénation et indices périlésionnels. Niveau de preuve : principalement observationnel et monocentrique, avec associations au résultat mais validation limitée [R53–R55].</w:t>
      </w:r>
    </w:p>
    <w:p>
      <w:pPr>
        <w:widowControl/>
        <w:spacing w:after="100" w:line="259" w:lineRule="auto"/>
      </w:pPr>
      <w:r>
        <w:rPr>
          <w:rFonts w:ascii="Aptos" w:hAnsi="Aptos" w:eastAsia="Aptos"/>
          <w:color w:val="24323D"/>
          <w:sz w:val="18"/>
        </w:rPr>
        <w:t>Limites : sédation, ventilation, pression, chirurgie, lésions multiples, moment de mesure, impossibilité d'une référence stable et biais de survivant. Aucune valeur du corpus ne devient cible de prise en charge.</w:t>
      </w:r>
    </w:p>
    <w:p>
      <w:bookmarkStart w:id="101" w:name="sec078"/>
      <w:pPr>
        <w:pStyle w:val="Heading2"/>
      </w:pPr>
      <w:r>
        <w:t>78. Démences et maladies neurodégénératives</w:t>
      </w:r>
      <w:bookmarkEnd w:id="101"/>
    </w:p>
    <w:p>
      <w:pPr>
        <w:widowControl/>
        <w:spacing w:after="100" w:line="259" w:lineRule="auto"/>
      </w:pPr>
      <w:r>
        <w:rPr>
          <w:rFonts w:ascii="Aptos" w:hAnsi="Aptos" w:eastAsia="Aptos"/>
          <w:color w:val="24323D"/>
          <w:sz w:val="18"/>
        </w:rPr>
        <w:t>Intérêt scientifique : étudier des motifs régionaux de CBF, leur évolution, le couplage neurovasculaire, la BBB et l'interaction avec atrophie et pathologie vasculaire.</w:t>
      </w:r>
    </w:p>
    <w:p>
      <w:pPr>
        <w:widowControl/>
        <w:spacing w:after="100" w:line="259" w:lineRule="auto"/>
      </w:pPr>
      <w:r>
        <w:rPr>
          <w:rFonts w:ascii="Aptos" w:hAnsi="Aptos" w:eastAsia="Aptos"/>
          <w:color w:val="24323D"/>
          <w:sz w:val="18"/>
        </w:rPr>
        <w:t>Biomarqueurs : CBF ASL, ATT, CVR, DCE faible fuite, FDG/PET ou autres mesures métaboliques en comparaison. Niveau de preuve : associations transversales et certaines données longitudinales ; transportabilité multicentrique encore limitée [R56, R57].</w:t>
      </w:r>
    </w:p>
    <w:p>
      <w:pPr>
        <w:widowControl/>
        <w:spacing w:after="100" w:line="259" w:lineRule="auto"/>
      </w:pPr>
      <w:r>
        <w:rPr>
          <w:rFonts w:ascii="Aptos" w:hAnsi="Aptos" w:eastAsia="Aptos"/>
          <w:color w:val="24323D"/>
          <w:sz w:val="18"/>
        </w:rPr>
        <w:t>Limites : atrophie et volume partiel, âge, transit, médicaments, activité, sommeil, comorbidités vasculaires et causalité. Controverse : hypoperfusion comme cause, conséquence, compensation ou mélange de mécanismes.</w:t>
      </w:r>
    </w:p>
    <w:p>
      <w:bookmarkStart w:id="102" w:name="sec079"/>
      <w:pPr>
        <w:pStyle w:val="Heading2"/>
      </w:pPr>
      <w:r>
        <w:t>79. Recherche translationnelle</w:t>
      </w:r>
      <w:bookmarkEnd w:id="102"/>
    </w:p>
    <w:p>
      <w:pPr>
        <w:widowControl/>
        <w:spacing w:after="100" w:line="259" w:lineRule="auto"/>
      </w:pPr>
      <w:r>
        <w:rPr>
          <w:rFonts w:ascii="Aptos" w:hAnsi="Aptos" w:eastAsia="Aptos"/>
          <w:color w:val="24323D"/>
          <w:sz w:val="18"/>
        </w:rPr>
        <w:t>Intérêt scientifique : relier modèles animaux, phantoms, digital reference objects, volontaires, patients et endpoints. Les plateformes multimodales peuvent tester les maillons entre microcirculation, BBB, oxygène et signal.</w:t>
      </w:r>
    </w:p>
    <w:p>
      <w:pPr>
        <w:widowControl/>
        <w:spacing w:after="100" w:line="259" w:lineRule="auto"/>
      </w:pPr>
      <w:r>
        <w:rPr>
          <w:rFonts w:ascii="Aptos" w:hAnsi="Aptos" w:eastAsia="Aptos"/>
          <w:color w:val="24323D"/>
          <w:sz w:val="18"/>
        </w:rPr>
        <w:t>Biomarqueurs : paramètres bruts, modèles et composites préspecifiés. Niveau de preuve : variable, de physique établie à mécanismes précliniques. Limites : échelle, anesthésie, espèces, agents, résolution, distribution des transits et reproductibilité. Une preuve de mécanisme animal ne suffit pas à qualifier un biomarqueur humain.</w:t>
      </w:r>
    </w:p>
    <w:p>
      <w:bookmarkStart w:id="103" w:name="sec080"/>
      <w:pPr>
        <w:pStyle w:val="Heading2"/>
      </w:pPr>
      <w:r>
        <w:t>80. Synthèse comparative des applications</w:t>
      </w:r>
      <w:bookmarkEnd w:id="103"/>
    </w:p>
    <w:p>
      <w:pPr>
        <w:pStyle w:val="Caption"/>
        <w:spacing w:before="120" w:after="60"/>
        <w:jc w:val="left"/>
        <w:keepNext/>
        <w:keepLines/>
      </w:pPr>
      <w:r>
        <w:rPr>
          <w:rFonts w:ascii="Aptos" w:hAnsi="Aptos" w:eastAsia="Aptos"/>
          <w:b/>
          <w:color w:val="667085"/>
          <w:sz w:val="16"/>
        </w:rPr>
        <w:t>Tableau 7 — Applications sans recommandation</w:t>
      </w:r>
    </w:p>
    <w:tbl>
      <w:tblPr>
        <w:tblStyle w:val="TableGrid"/>
        <w:tblW w:type="dxa" w:w="9836"/>
        <w:jc w:val="center"/>
        <w:tblLayout w:type="fixed"/>
        <w:tblLook w:firstColumn="1" w:firstRow="1" w:lastColumn="0" w:lastRow="0" w:noHBand="0" w:noVBand="1" w:val="04A0"/>
        <w:tblInd w:w="90" w:type="dxa"/>
      </w:tblPr>
      <w:tblGrid>
        <w:gridCol w:w="1420"/>
        <w:gridCol w:w="2314"/>
        <w:gridCol w:w="2157"/>
        <w:gridCol w:w="1841"/>
        <w:gridCol w:w="2104"/>
      </w:tblGrid>
      <w:tr>
        <w:trPr>
          <w:tblHeader w:val="true"/>
          <w:cantSplit/>
        </w:trPr>
        <w:tc>
          <w:tcPr>
            <w:tcW w:type="dxa" w:w="142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Application</w:t>
            </w:r>
          </w:p>
        </w:tc>
        <w:tc>
          <w:tcPr>
            <w:tcW w:type="dxa" w:w="2314"/>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Bénéfice scientifique</w:t>
            </w:r>
          </w:p>
        </w:tc>
        <w:tc>
          <w:tcPr>
            <w:tcW w:type="dxa" w:w="215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Biomarqueurs centraux</w:t>
            </w:r>
          </w:p>
        </w:tc>
        <w:tc>
          <w:tcPr>
            <w:tcW w:type="dxa" w:w="184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Preuve</w:t>
            </w:r>
          </w:p>
        </w:tc>
        <w:tc>
          <w:tcPr>
            <w:tcW w:type="dxa" w:w="2104"/>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Limite / controverse dominante</w:t>
            </w:r>
          </w:p>
        </w:tc>
      </w:tr>
      <w:tr>
        <w:trPr>
          <w:cantSplit/>
        </w:trPr>
        <w:tc>
          <w:tcPr>
            <w:tcW w:type="dxa" w:w="1420"/>
            <w:vAlign w:val="top"/>
            <w:tcMar>
              <w:top w:w="70" w:type="dxa"/>
              <w:start w:w="90" w:type="dxa"/>
              <w:bottom w:w="70" w:type="dxa"/>
              <w:end w:w="90" w:type="dxa"/>
            </w:tcMar>
          </w:tcPr>
          <w:p>
            <w:pPr>
              <w:spacing w:after="0" w:line="240" w:lineRule="auto"/>
            </w:pPr>
            <w:r>
              <w:rPr>
                <w:rFonts w:ascii="Aptos" w:hAnsi="Aptos" w:eastAsia="Aptos"/>
                <w:color w:val="24323D"/>
                <w:sz w:val="14"/>
              </w:rPr>
              <w:t>AVC aigu</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Phénotype temps–tissu–collatérales</w:t>
            </w:r>
          </w:p>
        </w:tc>
        <w:tc>
          <w:tcPr>
            <w:tcW w:type="dxa" w:w="2157"/>
            <w:vAlign w:val="top"/>
            <w:tcMar>
              <w:top w:w="70" w:type="dxa"/>
              <w:start w:w="90" w:type="dxa"/>
              <w:bottom w:w="70" w:type="dxa"/>
              <w:end w:w="90" w:type="dxa"/>
            </w:tcMar>
          </w:tcPr>
          <w:p>
            <w:pPr>
              <w:spacing w:after="0" w:line="240" w:lineRule="auto"/>
            </w:pPr>
            <w:r>
              <w:rPr>
                <w:rFonts w:ascii="Aptos" w:hAnsi="Aptos" w:eastAsia="Aptos"/>
                <w:color w:val="24323D"/>
                <w:sz w:val="14"/>
              </w:rPr>
              <w:t>rCBF, Tmax, CBV, DWI</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Élevée mais contractuelle</w:t>
            </w:r>
          </w:p>
        </w:tc>
        <w:tc>
          <w:tcPr>
            <w:tcW w:type="dxa" w:w="2104"/>
            <w:vAlign w:val="top"/>
            <w:tcMar>
              <w:top w:w="70" w:type="dxa"/>
              <w:start w:w="90" w:type="dxa"/>
              <w:bottom w:w="70" w:type="dxa"/>
              <w:end w:w="90" w:type="dxa"/>
            </w:tcMar>
          </w:tcPr>
          <w:p>
            <w:pPr>
              <w:spacing w:after="0" w:line="240" w:lineRule="auto"/>
            </w:pPr>
            <w:r>
              <w:rPr>
                <w:rFonts w:ascii="Aptos" w:hAnsi="Aptos" w:eastAsia="Aptos"/>
                <w:color w:val="24323D"/>
                <w:sz w:val="14"/>
              </w:rPr>
              <w:t>Core dynamique et ghost core</w:t>
            </w:r>
          </w:p>
        </w:tc>
      </w:tr>
      <w:tr>
        <w:trPr>
          <w:cantSplit/>
        </w:trPr>
        <w:tc>
          <w:tcPr>
            <w:tcW w:type="dxa" w:w="142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AVC chronique</w:t>
            </w:r>
          </w:p>
        </w:tc>
        <w:tc>
          <w:tcPr>
            <w:tcW w:type="dxa" w:w="231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Réserve et compensation</w:t>
            </w:r>
          </w:p>
        </w:tc>
        <w:tc>
          <w:tcPr>
            <w:tcW w:type="dxa" w:w="215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CBF, ATT, CVR, OEF</w:t>
            </w:r>
          </w:p>
        </w:tc>
        <w:tc>
          <w:tcPr>
            <w:tcW w:type="dxa" w:w="184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Convergente</w:t>
            </w:r>
          </w:p>
        </w:tc>
        <w:tc>
          <w:tcPr>
            <w:tcW w:type="dxa" w:w="210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Marqueurs non superposables</w:t>
            </w:r>
          </w:p>
        </w:tc>
      </w:tr>
      <w:tr>
        <w:trPr>
          <w:cantSplit/>
        </w:trPr>
        <w:tc>
          <w:tcPr>
            <w:tcW w:type="dxa" w:w="1420"/>
            <w:vAlign w:val="top"/>
            <w:tcMar>
              <w:top w:w="70" w:type="dxa"/>
              <w:start w:w="90" w:type="dxa"/>
              <w:bottom w:w="70" w:type="dxa"/>
              <w:end w:w="90" w:type="dxa"/>
            </w:tcMar>
          </w:tcPr>
          <w:p>
            <w:pPr>
              <w:spacing w:after="0" w:line="240" w:lineRule="auto"/>
            </w:pPr>
            <w:r>
              <w:rPr>
                <w:rFonts w:ascii="Aptos" w:hAnsi="Aptos" w:eastAsia="Aptos"/>
                <w:color w:val="24323D"/>
                <w:sz w:val="14"/>
              </w:rPr>
              <w:t>Thrombectomie</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Interaction sélection–reperfusion</w:t>
            </w:r>
          </w:p>
        </w:tc>
        <w:tc>
          <w:tcPr>
            <w:tcW w:type="dxa" w:w="2157"/>
            <w:vAlign w:val="top"/>
            <w:tcMar>
              <w:top w:w="70" w:type="dxa"/>
              <w:start w:w="90" w:type="dxa"/>
              <w:bottom w:w="70" w:type="dxa"/>
              <w:end w:w="90" w:type="dxa"/>
            </w:tcMar>
          </w:tcPr>
          <w:p>
            <w:pPr>
              <w:spacing w:after="0" w:line="240" w:lineRule="auto"/>
            </w:pPr>
            <w:r>
              <w:rPr>
                <w:rFonts w:ascii="Aptos" w:hAnsi="Aptos" w:eastAsia="Aptos"/>
                <w:color w:val="24323D"/>
                <w:sz w:val="14"/>
              </w:rPr>
              <w:t>Mismatch, collatérales</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Randomisée dans critères</w:t>
            </w:r>
          </w:p>
        </w:tc>
        <w:tc>
          <w:tcPr>
            <w:tcW w:type="dxa" w:w="2104"/>
            <w:vAlign w:val="top"/>
            <w:tcMar>
              <w:top w:w="70" w:type="dxa"/>
              <w:start w:w="90" w:type="dxa"/>
              <w:bottom w:w="70" w:type="dxa"/>
              <w:end w:w="90" w:type="dxa"/>
            </w:tcMar>
          </w:tcPr>
          <w:p>
            <w:pPr>
              <w:spacing w:after="0" w:line="240" w:lineRule="auto"/>
            </w:pPr>
            <w:r>
              <w:rPr>
                <w:rFonts w:ascii="Aptos" w:hAnsi="Aptos" w:eastAsia="Aptos"/>
                <w:color w:val="24323D"/>
                <w:sz w:val="14"/>
              </w:rPr>
              <w:t>Extrapolation hors critères</w:t>
            </w:r>
          </w:p>
        </w:tc>
      </w:tr>
      <w:tr>
        <w:trPr>
          <w:cantSplit/>
        </w:trPr>
        <w:tc>
          <w:tcPr>
            <w:tcW w:type="dxa" w:w="142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Vasospasme</w:t>
            </w:r>
          </w:p>
        </w:tc>
        <w:tc>
          <w:tcPr>
            <w:tcW w:type="dxa" w:w="231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Perfusion versus sténose</w:t>
            </w:r>
          </w:p>
        </w:tc>
        <w:tc>
          <w:tcPr>
            <w:tcW w:type="dxa" w:w="215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MTT/Tmax/CBF, CTA</w:t>
            </w:r>
          </w:p>
        </w:tc>
        <w:tc>
          <w:tcPr>
            <w:tcW w:type="dxa" w:w="184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Contextuelle</w:t>
            </w:r>
          </w:p>
        </w:tc>
        <w:tc>
          <w:tcPr>
            <w:tcW w:type="dxa" w:w="210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Sensibilité et référence</w:t>
            </w:r>
          </w:p>
        </w:tc>
      </w:tr>
      <w:tr>
        <w:trPr>
          <w:cantSplit/>
        </w:trPr>
        <w:tc>
          <w:tcPr>
            <w:tcW w:type="dxa" w:w="1420"/>
            <w:vAlign w:val="top"/>
            <w:tcMar>
              <w:top w:w="70" w:type="dxa"/>
              <w:start w:w="90" w:type="dxa"/>
              <w:bottom w:w="70" w:type="dxa"/>
              <w:end w:w="90" w:type="dxa"/>
            </w:tcMar>
          </w:tcPr>
          <w:p>
            <w:pPr>
              <w:spacing w:after="0" w:line="240" w:lineRule="auto"/>
            </w:pPr>
            <w:r>
              <w:rPr>
                <w:rFonts w:ascii="Aptos" w:hAnsi="Aptos" w:eastAsia="Aptos"/>
                <w:color w:val="24323D"/>
                <w:sz w:val="14"/>
              </w:rPr>
              <w:t>Sténoses</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Stades hémodynamiques</w:t>
            </w:r>
          </w:p>
        </w:tc>
        <w:tc>
          <w:tcPr>
            <w:tcW w:type="dxa" w:w="2157"/>
            <w:vAlign w:val="top"/>
            <w:tcMar>
              <w:top w:w="70" w:type="dxa"/>
              <w:start w:w="90" w:type="dxa"/>
              <w:bottom w:w="70" w:type="dxa"/>
              <w:end w:w="90" w:type="dxa"/>
            </w:tcMar>
          </w:tcPr>
          <w:p>
            <w:pPr>
              <w:spacing w:after="0" w:line="240" w:lineRule="auto"/>
            </w:pPr>
            <w:r>
              <w:rPr>
                <w:rFonts w:ascii="Aptos" w:hAnsi="Aptos" w:eastAsia="Aptos"/>
                <w:color w:val="24323D"/>
                <w:sz w:val="14"/>
              </w:rPr>
              <w:t>CBF/CBV/CVR/OEF</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Convergente</w:t>
            </w:r>
          </w:p>
        </w:tc>
        <w:tc>
          <w:tcPr>
            <w:tcW w:type="dxa" w:w="2104"/>
            <w:vAlign w:val="top"/>
            <w:tcMar>
              <w:top w:w="70" w:type="dxa"/>
              <w:start w:w="90" w:type="dxa"/>
              <w:bottom w:w="70" w:type="dxa"/>
              <w:end w:w="90" w:type="dxa"/>
            </w:tcMar>
          </w:tcPr>
          <w:p>
            <w:pPr>
              <w:spacing w:after="0" w:line="240" w:lineRule="auto"/>
            </w:pPr>
            <w:r>
              <w:rPr>
                <w:rFonts w:ascii="Aptos" w:hAnsi="Aptos" w:eastAsia="Aptos"/>
                <w:color w:val="24323D"/>
                <w:sz w:val="14"/>
              </w:rPr>
              <w:t>Asymétrie et collatérales</w:t>
            </w:r>
          </w:p>
        </w:tc>
      </w:tr>
      <w:tr>
        <w:trPr>
          <w:cantSplit/>
        </w:trPr>
        <w:tc>
          <w:tcPr>
            <w:tcW w:type="dxa" w:w="142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Neuro-oncologie</w:t>
            </w:r>
          </w:p>
        </w:tc>
        <w:tc>
          <w:tcPr>
            <w:tcW w:type="dxa" w:w="231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Vascularité et fuite</w:t>
            </w:r>
          </w:p>
        </w:tc>
        <w:tc>
          <w:tcPr>
            <w:tcW w:type="dxa" w:w="215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rCBV, Ktrans, vp</w:t>
            </w:r>
          </w:p>
        </w:tc>
        <w:tc>
          <w:tcPr>
            <w:tcW w:type="dxa" w:w="184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Contextuelle à convergente</w:t>
            </w:r>
          </w:p>
        </w:tc>
        <w:tc>
          <w:tcPr>
            <w:tcW w:type="dxa" w:w="210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Fuite, traitement, logiciels</w:t>
            </w:r>
          </w:p>
        </w:tc>
      </w:tr>
      <w:tr>
        <w:trPr>
          <w:cantSplit/>
        </w:trPr>
        <w:tc>
          <w:tcPr>
            <w:tcW w:type="dxa" w:w="1420"/>
            <w:vAlign w:val="top"/>
            <w:tcMar>
              <w:top w:w="70" w:type="dxa"/>
              <w:start w:w="90" w:type="dxa"/>
              <w:bottom w:w="70" w:type="dxa"/>
              <w:end w:w="90" w:type="dxa"/>
            </w:tcMar>
          </w:tcPr>
          <w:p>
            <w:pPr>
              <w:spacing w:after="0" w:line="240" w:lineRule="auto"/>
            </w:pPr>
            <w:r>
              <w:rPr>
                <w:rFonts w:ascii="Aptos" w:hAnsi="Aptos" w:eastAsia="Aptos"/>
                <w:color w:val="24323D"/>
                <w:sz w:val="14"/>
              </w:rPr>
              <w:t>Traumatisme</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Lésion secondaire</w:t>
            </w:r>
          </w:p>
        </w:tc>
        <w:tc>
          <w:tcPr>
            <w:tcW w:type="dxa" w:w="2157"/>
            <w:vAlign w:val="top"/>
            <w:tcMar>
              <w:top w:w="70" w:type="dxa"/>
              <w:start w:w="90" w:type="dxa"/>
              <w:bottom w:w="70" w:type="dxa"/>
              <w:end w:w="90" w:type="dxa"/>
            </w:tcMar>
          </w:tcPr>
          <w:p>
            <w:pPr>
              <w:spacing w:after="0" w:line="240" w:lineRule="auto"/>
            </w:pPr>
            <w:r>
              <w:rPr>
                <w:rFonts w:ascii="Aptos" w:hAnsi="Aptos" w:eastAsia="Aptos"/>
                <w:color w:val="24323D"/>
                <w:sz w:val="14"/>
              </w:rPr>
              <w:t>CBF, MTT, autorégulation</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Limitée</w:t>
            </w:r>
          </w:p>
        </w:tc>
        <w:tc>
          <w:tcPr>
            <w:tcW w:type="dxa" w:w="2104"/>
            <w:vAlign w:val="top"/>
            <w:tcMar>
              <w:top w:w="70" w:type="dxa"/>
              <w:start w:w="90" w:type="dxa"/>
              <w:bottom w:w="70" w:type="dxa"/>
              <w:end w:w="90" w:type="dxa"/>
            </w:tcMar>
          </w:tcPr>
          <w:p>
            <w:pPr>
              <w:spacing w:after="0" w:line="240" w:lineRule="auto"/>
            </w:pPr>
            <w:r>
              <w:rPr>
                <w:rFonts w:ascii="Aptos" w:hAnsi="Aptos" w:eastAsia="Aptos"/>
                <w:color w:val="24323D"/>
                <w:sz w:val="14"/>
              </w:rPr>
              <w:t>Physiologie instable</w:t>
            </w:r>
          </w:p>
        </w:tc>
      </w:tr>
      <w:tr>
        <w:trPr>
          <w:cantSplit/>
        </w:trPr>
        <w:tc>
          <w:tcPr>
            <w:tcW w:type="dxa" w:w="142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Démences</w:t>
            </w:r>
          </w:p>
        </w:tc>
        <w:tc>
          <w:tcPr>
            <w:tcW w:type="dxa" w:w="231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Motifs et longitudinal</w:t>
            </w:r>
          </w:p>
        </w:tc>
        <w:tc>
          <w:tcPr>
            <w:tcW w:type="dxa" w:w="215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ASL-CBF, ATT, CVR</w:t>
            </w:r>
          </w:p>
        </w:tc>
        <w:tc>
          <w:tcPr>
            <w:tcW w:type="dxa" w:w="184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Émergente</w:t>
            </w:r>
          </w:p>
        </w:tc>
        <w:tc>
          <w:tcPr>
            <w:tcW w:type="dxa" w:w="210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Atrophie et causalité</w:t>
            </w:r>
          </w:p>
        </w:tc>
      </w:tr>
      <w:tr>
        <w:trPr>
          <w:cantSplit/>
        </w:trPr>
        <w:tc>
          <w:tcPr>
            <w:tcW w:type="dxa" w:w="1420"/>
            <w:vAlign w:val="top"/>
            <w:tcMar>
              <w:top w:w="70" w:type="dxa"/>
              <w:start w:w="90" w:type="dxa"/>
              <w:bottom w:w="70" w:type="dxa"/>
              <w:end w:w="90" w:type="dxa"/>
            </w:tcMar>
          </w:tcPr>
          <w:p>
            <w:pPr>
              <w:spacing w:after="0" w:line="240" w:lineRule="auto"/>
            </w:pPr>
            <w:r>
              <w:rPr>
                <w:rFonts w:ascii="Aptos" w:hAnsi="Aptos" w:eastAsia="Aptos"/>
                <w:color w:val="24323D"/>
                <w:sz w:val="14"/>
              </w:rPr>
              <w:t>Translationnel</w:t>
            </w:r>
          </w:p>
        </w:tc>
        <w:tc>
          <w:tcPr>
            <w:tcW w:type="dxa" w:w="2314"/>
            <w:vAlign w:val="top"/>
            <w:tcMar>
              <w:top w:w="70" w:type="dxa"/>
              <w:start w:w="90" w:type="dxa"/>
              <w:bottom w:w="70" w:type="dxa"/>
              <w:end w:w="90" w:type="dxa"/>
            </w:tcMar>
          </w:tcPr>
          <w:p>
            <w:pPr>
              <w:spacing w:after="0" w:line="240" w:lineRule="auto"/>
            </w:pPr>
            <w:r>
              <w:rPr>
                <w:rFonts w:ascii="Aptos" w:hAnsi="Aptos" w:eastAsia="Aptos"/>
                <w:color w:val="24323D"/>
                <w:sz w:val="14"/>
              </w:rPr>
              <w:t>Chaîne mécanisme–mesure</w:t>
            </w:r>
          </w:p>
        </w:tc>
        <w:tc>
          <w:tcPr>
            <w:tcW w:type="dxa" w:w="2157"/>
            <w:vAlign w:val="top"/>
            <w:tcMar>
              <w:top w:w="70" w:type="dxa"/>
              <w:start w:w="90" w:type="dxa"/>
              <w:bottom w:w="70" w:type="dxa"/>
              <w:end w:w="90" w:type="dxa"/>
            </w:tcMar>
          </w:tcPr>
          <w:p>
            <w:pPr>
              <w:spacing w:after="0" w:line="240" w:lineRule="auto"/>
            </w:pPr>
            <w:r>
              <w:rPr>
                <w:rFonts w:ascii="Aptos" w:hAnsi="Aptos" w:eastAsia="Aptos"/>
                <w:color w:val="24323D"/>
                <w:sz w:val="14"/>
              </w:rPr>
              <w:t>Multimodal</w:t>
            </w:r>
          </w:p>
        </w:tc>
        <w:tc>
          <w:tcPr>
            <w:tcW w:type="dxa" w:w="1841"/>
            <w:vAlign w:val="top"/>
            <w:tcMar>
              <w:top w:w="70" w:type="dxa"/>
              <w:start w:w="90" w:type="dxa"/>
              <w:bottom w:w="70" w:type="dxa"/>
              <w:end w:w="90" w:type="dxa"/>
            </w:tcMar>
          </w:tcPr>
          <w:p>
            <w:pPr>
              <w:spacing w:after="0" w:line="240" w:lineRule="auto"/>
            </w:pPr>
            <w:r>
              <w:rPr>
                <w:rFonts w:ascii="Aptos" w:hAnsi="Aptos" w:eastAsia="Aptos"/>
                <w:color w:val="24323D"/>
                <w:sz w:val="14"/>
              </w:rPr>
              <w:t>Variable</w:t>
            </w:r>
          </w:p>
        </w:tc>
        <w:tc>
          <w:tcPr>
            <w:tcW w:type="dxa" w:w="2104"/>
            <w:vAlign w:val="top"/>
            <w:tcMar>
              <w:top w:w="70" w:type="dxa"/>
              <w:start w:w="90" w:type="dxa"/>
              <w:bottom w:w="70" w:type="dxa"/>
              <w:end w:w="90" w:type="dxa"/>
            </w:tcMar>
          </w:tcPr>
          <w:p>
            <w:pPr>
              <w:spacing w:after="0" w:line="240" w:lineRule="auto"/>
            </w:pPr>
            <w:r>
              <w:rPr>
                <w:rFonts w:ascii="Aptos" w:hAnsi="Aptos" w:eastAsia="Aptos"/>
                <w:color w:val="24323D"/>
                <w:sz w:val="14"/>
              </w:rPr>
              <w:t>Commutabilité des modèles</w:t>
            </w:r>
          </w:p>
        </w:tc>
      </w:tr>
    </w:tbl>
    <w:p>
      <w:bookmarkStart w:id="104" w:name="part15"/>
      <w:pPr>
        <w:pStyle w:val="Heading1"/>
        <w:keepNext/>
        <w:keepLines/>
        <w:pageBreakBefore/>
      </w:pPr>
      <w:r>
        <w:t>PARTIE XV — POPULATIONS, CONTEXTES ET TRANSFÉRABILITÉ</w:t>
      </w:r>
      <w:bookmarkEnd w:id="104"/>
    </w:p>
    <w:p>
      <w:pPr>
        <w:spacing w:after="160"/>
      </w:pPr>
      <w:hyperlink w:anchor="TOC" w:history="1">
        <w:r>
          <w:rPr>
            <w:rStyle w:val="Hyperlink"/>
            <w:color w:val="667085"/>
          </w:rPr>
          <w:t>↑ Retour au sommaire</w:t>
        </w:r>
      </w:hyperlink>
    </w:p>
    <w:p>
      <w:bookmarkStart w:id="105" w:name="sec081"/>
      <w:pPr>
        <w:pStyle w:val="Heading2"/>
      </w:pPr>
      <w:r>
        <w:t>81. Âge, développement et vieillissement</w:t>
      </w:r>
      <w:bookmarkEnd w:id="105"/>
    </w:p>
    <w:p>
      <w:pPr>
        <w:widowControl/>
        <w:spacing w:after="100" w:line="259" w:lineRule="auto"/>
      </w:pPr>
      <w:r>
        <w:rPr>
          <w:rFonts w:ascii="Aptos" w:hAnsi="Aptos" w:eastAsia="Aptos"/>
          <w:color w:val="24323D"/>
          <w:sz w:val="18"/>
        </w:rPr>
        <w:t>Le CBF, l'hématocrite, le volume cérébral, les temps de transit et le couplage évoluent avec le développement et l'âge. Les enfants et personnes âgées ne sont pas de simples versions d'un adulte moyen. Les références et modèles doivent être évalués dans la population ciblée.</w:t>
      </w:r>
    </w:p>
    <w:p>
      <w:bookmarkStart w:id="106" w:name="sec082"/>
      <w:pPr>
        <w:pStyle w:val="Heading2"/>
      </w:pPr>
      <w:r>
        <w:t>82. Matière grise, matière blanche et atrophie</w:t>
      </w:r>
      <w:bookmarkEnd w:id="106"/>
    </w:p>
    <w:p>
      <w:pPr>
        <w:widowControl/>
        <w:spacing w:after="100" w:line="259" w:lineRule="auto"/>
      </w:pPr>
      <w:r>
        <w:rPr>
          <w:rFonts w:ascii="Aptos" w:hAnsi="Aptos" w:eastAsia="Aptos"/>
          <w:color w:val="24323D"/>
          <w:sz w:val="18"/>
        </w:rPr>
        <w:t>Matière grise et blanche diffèrent en débit, volume, densité vasculaire et signal. Le volume partiel avec CSF ou lésions change les valeurs. Une correction d'atrophie peut réduire un biais et introduire une dépendance à la segmentation.</w:t>
      </w:r>
    </w:p>
    <w:p>
      <w:pPr>
        <w:widowControl/>
        <w:spacing w:after="100" w:line="259" w:lineRule="auto"/>
      </w:pPr>
      <w:r>
        <w:rPr>
          <w:rFonts w:ascii="Aptos" w:hAnsi="Aptos" w:eastAsia="Aptos"/>
          <w:color w:val="24323D"/>
          <w:sz w:val="18"/>
        </w:rPr>
        <w:t>Les seuils dérivés de matière grise ne sont pas transportés silencieusement à la matière blanche. Les analyses longitudinales conservent les méthodes de segmentation et l'évolution volumétrique.</w:t>
      </w:r>
    </w:p>
    <w:p>
      <w:bookmarkStart w:id="107" w:name="sec083"/>
      <w:pPr>
        <w:pStyle w:val="Heading2"/>
      </w:pPr>
      <w:r>
        <w:t>83. Physiologie systémique et soins critiques</w:t>
      </w:r>
      <w:bookmarkEnd w:id="107"/>
    </w:p>
    <w:p>
      <w:pPr>
        <w:widowControl/>
        <w:spacing w:after="100" w:line="259" w:lineRule="auto"/>
      </w:pPr>
      <w:r>
        <w:rPr>
          <w:rFonts w:ascii="Aptos" w:hAnsi="Aptos" w:eastAsia="Aptos"/>
          <w:color w:val="24323D"/>
          <w:sz w:val="18"/>
        </w:rPr>
        <w:t>Anémie, saturation, CO₂, pression, débit cardiaque, ventilation, sédation, température et vasoactifs modifient le système étudié. Dans les soins critiques, ces variables peuvent changer entre acquisition, référence et résultat.</w:t>
      </w:r>
    </w:p>
    <w:p>
      <w:pPr>
        <w:widowControl/>
        <w:spacing w:after="100" w:line="259" w:lineRule="auto"/>
      </w:pPr>
      <w:r>
        <w:rPr>
          <w:rFonts w:ascii="Aptos" w:hAnsi="Aptos" w:eastAsia="Aptos"/>
          <w:color w:val="24323D"/>
          <w:sz w:val="18"/>
        </w:rPr>
        <w:t>Le corpus ne prescrit aucune gestion. Il exige que les variables déterminantes soient datées et que la non-simultanéité soit une limitation explicite.</w:t>
      </w:r>
    </w:p>
    <w:p>
      <w:bookmarkStart w:id="108" w:name="sec084"/>
      <w:pPr>
        <w:pStyle w:val="Heading2"/>
      </w:pPr>
      <w:r>
        <w:t>84. Non-évaluabilité et données manquantes</w:t>
      </w:r>
      <w:bookmarkEnd w:id="108"/>
    </w:p>
    <w:p>
      <w:pPr>
        <w:widowControl/>
        <w:spacing w:after="100" w:line="259" w:lineRule="auto"/>
      </w:pPr>
      <w:r>
        <w:rPr>
          <w:rFonts w:ascii="Aptos" w:hAnsi="Aptos" w:eastAsia="Aptos"/>
          <w:color w:val="24323D"/>
          <w:sz w:val="18"/>
        </w:rPr>
        <w:t>Les examens non acquis, interrompus, incomplets, techniquement invalides, rejetés par QC, analysables avec réserve et physiologiquement négatifs sont des états distincts. Les fusionner biaise les dénominateurs.</w:t>
      </w:r>
    </w:p>
    <w:p>
      <w:pPr>
        <w:widowControl/>
        <w:spacing w:after="100" w:line="259" w:lineRule="auto"/>
      </w:pPr>
      <w:r>
        <w:rPr>
          <w:rFonts w:ascii="Aptos" w:hAnsi="Aptos" w:eastAsia="Aptos"/>
          <w:color w:val="24323D"/>
          <w:sz w:val="18"/>
        </w:rPr>
        <w:t>La non-évaluabilité est souvent informative : mouvement, instabilité, occlusion sévère, faible bolus ou transit long peuvent être liés au phénotype. Un taux d'échec doit être rapporté par population, site et modalité.</w:t>
      </w:r>
    </w:p>
    <w:p>
      <w:bookmarkStart w:id="109" w:name="part16"/>
      <w:pPr>
        <w:pStyle w:val="Heading1"/>
        <w:keepNext/>
        <w:keepLines/>
        <w:pageBreakBefore/>
      </w:pPr>
      <w:r>
        <w:t>PARTIE XVI — CONSTRUITS, OBJECTIFS ET HYPOTHÈSES</w:t>
      </w:r>
      <w:bookmarkEnd w:id="109"/>
    </w:p>
    <w:p>
      <w:pPr>
        <w:spacing w:after="160"/>
      </w:pPr>
      <w:hyperlink w:anchor="TOC" w:history="1">
        <w:r>
          <w:rPr>
            <w:rStyle w:val="Hyperlink"/>
            <w:color w:val="667085"/>
          </w:rPr>
          <w:t>↑ Retour au sommaire</w:t>
        </w:r>
      </w:hyperlink>
    </w:p>
    <w:p>
      <w:bookmarkStart w:id="110" w:name="sec085"/>
      <w:pPr>
        <w:pStyle w:val="Heading2"/>
      </w:pPr>
      <w:r>
        <w:t>85. Bibliothèque de construits NPM-C01 à NPM-C20</w:t>
      </w:r>
      <w:bookmarkEnd w:id="110"/>
    </w:p>
    <w:p>
      <w:pPr>
        <w:pStyle w:val="Caption"/>
        <w:spacing w:before="120" w:after="60"/>
        <w:jc w:val="left"/>
        <w:keepNext/>
        <w:keepLines/>
      </w:pPr>
      <w:r>
        <w:rPr>
          <w:rFonts w:ascii="Aptos" w:hAnsi="Aptos" w:eastAsia="Aptos"/>
          <w:b/>
          <w:color w:val="667085"/>
          <w:sz w:val="16"/>
        </w:rPr>
        <w:t>Tableau 8 — Construits officiels</w:t>
      </w:r>
    </w:p>
    <w:tbl>
      <w:tblPr>
        <w:tblStyle w:val="TableGrid"/>
        <w:tblW w:type="dxa" w:w="9837"/>
        <w:jc w:val="center"/>
        <w:tblLayout w:type="fixed"/>
        <w:tblLook w:firstColumn="1" w:firstRow="1" w:lastColumn="0" w:lastRow="0" w:noHBand="0" w:noVBand="1" w:val="04A0"/>
        <w:tblInd w:w="90" w:type="dxa"/>
      </w:tblPr>
      <w:tblGrid>
        <w:gridCol w:w="1230"/>
        <w:gridCol w:w="2780"/>
        <w:gridCol w:w="3047"/>
        <w:gridCol w:w="2780"/>
      </w:tblGrid>
      <w:tr>
        <w:trPr>
          <w:tblHeader w:val="true"/>
          <w:cantSplit/>
        </w:trPr>
        <w:tc>
          <w:tcPr>
            <w:tcW w:type="dxa" w:w="123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ID</w:t>
            </w:r>
          </w:p>
        </w:tc>
        <w:tc>
          <w:tcPr>
            <w:tcW w:type="dxa" w:w="278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Construit</w:t>
            </w:r>
          </w:p>
        </w:tc>
        <w:tc>
          <w:tcPr>
            <w:tcW w:type="dxa" w:w="304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Observable possible</w:t>
            </w:r>
          </w:p>
        </w:tc>
        <w:tc>
          <w:tcPr>
            <w:tcW w:type="dxa" w:w="278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Confusion majeure</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NPM-C01</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Délivrance sanguine tissulaire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CBF</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Vitesse artérielle</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NPM-C02</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Volume sanguin tissulaire</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CBV/rCBV</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Volume plasmatique ou vascularité seule</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NPM-C03</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Distribution des transits</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Résidu, MTT</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Délai d'arrivée</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NPM-C04</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Arrivée du bolus</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TTP/delay</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Sévérité tissulaire</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NPM-C05</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Retard déconvolué</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Tmax</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MTT ou viabilité</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NPM-C06</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Transit du label</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ATT</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MTT capillaire</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NPM-C07</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Compensation collatérale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dMRA, CTA, delay</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Débit capillaire adéquat</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NPM-C08</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Autorégulation</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Gain, phase, indices pression–flux</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CVR</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NPM-C09</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Réactivité vasculaire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ΔCBF ou ΔBOLD par stimulus</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CBF basal</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NPM-C10</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Couplage neurovasculaire</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Réponse CBF/BOLD à activité</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Activité neuronale directe</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NPM-C11</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Hétérogénéité microcirculatoire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Distribution de transit</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CBF moyen</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NPM-C12</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Délivrance d'oxygène</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CBF × CaO₂</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OEF</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NPM-C13</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Extraction d'oxygène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OEF</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Consommation</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NPM-C14</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Consommation d'oxygène</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CMRO₂</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BOLD</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NPM-C15</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Transfert BBB</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Ki/Ktrans</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Perméabilité pure</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NPM-C16</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Volume plasmatique</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vp</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CBV total</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NPM-C17</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Espace extravasculaire accessible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ve</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Histologie directe</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NPM-C18</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Tissu sévèrement atteint</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Core estimé</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Irréversibilité</w:t>
            </w:r>
          </w:p>
        </w:tc>
      </w:tr>
      <w:tr>
        <w:trPr>
          <w:cantSplit/>
        </w:trPr>
        <w:tc>
          <w:tcPr>
            <w:tcW w:type="dxa" w:w="1230"/>
            <w:vAlign w:val="top"/>
            <w:tcMar>
              <w:top w:w="70" w:type="dxa"/>
              <w:start w:w="90" w:type="dxa"/>
              <w:bottom w:w="70" w:type="dxa"/>
              <w:end w:w="90" w:type="dxa"/>
            </w:tcMar>
          </w:tcPr>
          <w:p>
            <w:pPr>
              <w:spacing w:after="0" w:line="240" w:lineRule="auto"/>
            </w:pPr>
            <w:r>
              <w:rPr>
                <w:rFonts w:ascii="Aptos" w:hAnsi="Aptos" w:eastAsia="Aptos"/>
                <w:color w:val="24323D"/>
                <w:sz w:val="14"/>
              </w:rPr>
              <w:t>NPM-C19</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Tissu à risque</w:t>
            </w:r>
          </w:p>
        </w:tc>
        <w:tc>
          <w:tcPr>
            <w:tcW w:type="dxa" w:w="3047"/>
            <w:vAlign w:val="top"/>
            <w:tcMar>
              <w:top w:w="70" w:type="dxa"/>
              <w:start w:w="90" w:type="dxa"/>
              <w:bottom w:w="70" w:type="dxa"/>
              <w:end w:w="90" w:type="dxa"/>
            </w:tcMar>
          </w:tcPr>
          <w:p>
            <w:pPr>
              <w:spacing w:after="0" w:line="240" w:lineRule="auto"/>
            </w:pPr>
            <w:r>
              <w:rPr>
                <w:rFonts w:ascii="Aptos" w:hAnsi="Aptos" w:eastAsia="Aptos"/>
                <w:color w:val="24323D"/>
                <w:sz w:val="14"/>
              </w:rPr>
              <w:t>Mismatch estimé</w:t>
            </w:r>
          </w:p>
        </w:tc>
        <w:tc>
          <w:tcPr>
            <w:tcW w:type="dxa" w:w="2780"/>
            <w:vAlign w:val="top"/>
            <w:tcMar>
              <w:top w:w="70" w:type="dxa"/>
              <w:start w:w="90" w:type="dxa"/>
              <w:bottom w:w="70" w:type="dxa"/>
              <w:end w:w="90" w:type="dxa"/>
            </w:tcMar>
          </w:tcPr>
          <w:p>
            <w:pPr>
              <w:spacing w:after="0" w:line="240" w:lineRule="auto"/>
            </w:pPr>
            <w:r>
              <w:rPr>
                <w:rFonts w:ascii="Aptos" w:hAnsi="Aptos" w:eastAsia="Aptos"/>
                <w:color w:val="24323D"/>
                <w:sz w:val="14"/>
              </w:rPr>
              <w:t>Pénombre histologique</w:t>
            </w:r>
          </w:p>
        </w:tc>
      </w:tr>
      <w:tr>
        <w:trPr>
          <w:cantSplit/>
        </w:trPr>
        <w:tc>
          <w:tcPr>
            <w:tcW w:type="dxa" w:w="123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NPM-C20</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Fiabilité de mesure</w:t>
            </w:r>
          </w:p>
        </w:tc>
        <w:tc>
          <w:tcPr>
            <w:tcW w:type="dxa" w:w="304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Biais, variance, non-évaluabilité</w:t>
            </w:r>
          </w:p>
        </w:tc>
        <w:tc>
          <w:tcPr>
            <w:tcW w:type="dxa" w:w="278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Validité clinique</w:t>
            </w:r>
          </w:p>
        </w:tc>
      </w:tr>
    </w:tbl>
    <w:p>
      <w:bookmarkStart w:id="111" w:name="sec086"/>
      <w:pPr>
        <w:pStyle w:val="Heading2"/>
      </w:pPr>
      <w:r>
        <w:t>86. Objectifs scientifiques NPM-O01 à NPM-O20</w:t>
      </w:r>
      <w:bookmarkEnd w:id="111"/>
    </w:p>
    <w:p>
      <w:pPr>
        <w:pStyle w:val="Caption"/>
        <w:spacing w:before="120" w:after="60"/>
        <w:jc w:val="left"/>
        <w:keepNext/>
        <w:keepLines/>
      </w:pPr>
      <w:r>
        <w:rPr>
          <w:rFonts w:ascii="Aptos" w:hAnsi="Aptos" w:eastAsia="Aptos"/>
          <w:b/>
          <w:color w:val="667085"/>
          <w:sz w:val="16"/>
        </w:rPr>
        <w:t>Tableau 9 — Objectifs scientifiques</w:t>
      </w:r>
    </w:p>
    <w:tbl>
      <w:tblPr>
        <w:tblStyle w:val="TableGrid"/>
        <w:tblW w:type="dxa" w:w="9837"/>
        <w:jc w:val="center"/>
        <w:tblLayout w:type="fixed"/>
        <w:tblLook w:firstColumn="1" w:firstRow="1" w:lastColumn="0" w:lastRow="0" w:noHBand="0" w:noVBand="1" w:val="04A0"/>
        <w:tblInd w:w="90" w:type="dxa"/>
      </w:tblPr>
      <w:tblGrid>
        <w:gridCol w:w="1297"/>
        <w:gridCol w:w="5405"/>
        <w:gridCol w:w="3135"/>
      </w:tblGrid>
      <w:tr>
        <w:trPr>
          <w:tblHeader w:val="true"/>
          <w:cantSplit/>
        </w:trPr>
        <w:tc>
          <w:tcPr>
            <w:tcW w:type="dxa" w:w="129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ID</w:t>
            </w:r>
          </w:p>
        </w:tc>
        <w:tc>
          <w:tcPr>
            <w:tcW w:type="dxa" w:w="5405"/>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Objectif scientifique</w:t>
            </w:r>
          </w:p>
        </w:tc>
        <w:tc>
          <w:tcPr>
            <w:tcW w:type="dxa" w:w="3135"/>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Critère de crédibilité</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NPM-O01</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Définir CBF, CBV et MTT par compartiment et modalité.</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Définitions, unités et modèle concordants.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NPM-O02</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Distinguer TTP, Tmax, delay et ATT.</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Aucune substitution sémantique.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NPM-O03</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Valider AIF et conversion signal–concentration.</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Biais et volume partiel quantifiés.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NPM-O04</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Caractériser déconvolution et régularisation.</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Délai, bruit et troncature testés.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NPM-O05</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Établir la métrologie CTP.</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DRO, phantoms et versions comparés.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NPM-O06</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Établir la métrologie DSC.</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Fuite, normalisation et AIF contrôlées.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NPM-O07</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Établir la métrologie DCE.</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T1, AIF, modèle et régime documentés.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NPM-O08</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Établir la métrologie ASL.</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Efficacité, ATT, M0 et T1 sanguin évalués.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NPM-O09</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Valider CBF contre une référence adaptée.</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Temps, territoire et résolution appariés.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NPM-O10</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Valider OEF et CMRO₂.</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Composantes et propagation d'erreur explicites.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NPM-O11</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Séparer perfusion et BBB.</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Ktrans/Ki non assimilés au débit.</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NPM-O12</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Qualifier autorégulation, CVR et NVC.</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Stimulus et mesurande non confondus.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NPM-O13</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Mesurer répétabilité et reproductibilité.</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Dimensions de variation nommées.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NPM-O14</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Tester harmonisation multicentrique.</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Signal biologique conservé hors échantillon.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NPM-O15</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Qualifier un Core Lab.</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Aveugle, audit et séparation développement/validation.</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NPM-O16</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Cartographier la non-évaluabilité.</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Dénominateurs et causes visibles.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NPM-O17</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Tester les populations particulières.</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Âge, matière, physiologie et faisabilité stratifiés.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NPM-O18</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Évaluer l'information incrémentale multimodale.</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Comparateur et décision de recherche préspécifiés.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NPM-O19</w:t>
            </w:r>
          </w:p>
        </w:tc>
        <w:tc>
          <w:tcPr>
            <w:tcW w:type="dxa" w:w="5405"/>
            <w:vAlign w:val="top"/>
            <w:tcMar>
              <w:top w:w="70" w:type="dxa"/>
              <w:start w:w="90" w:type="dxa"/>
              <w:bottom w:w="70" w:type="dxa"/>
              <w:end w:w="90" w:type="dxa"/>
            </w:tcMar>
          </w:tcPr>
          <w:p>
            <w:pPr>
              <w:spacing w:after="0" w:line="240" w:lineRule="auto"/>
            </w:pPr>
            <w:r>
              <w:rPr>
                <w:rFonts w:ascii="Aptos" w:hAnsi="Aptos" w:eastAsia="Aptos"/>
                <w:color w:val="24323D"/>
                <w:sz w:val="14"/>
              </w:rPr>
              <w:t>Détecter les contradictions de référence.</w:t>
            </w:r>
          </w:p>
        </w:tc>
        <w:tc>
          <w:tcPr>
            <w:tcW w:type="dxa" w:w="3135"/>
            <w:vAlign w:val="top"/>
            <w:tcMar>
              <w:top w:w="70" w:type="dxa"/>
              <w:start w:w="90" w:type="dxa"/>
              <w:bottom w:w="70" w:type="dxa"/>
              <w:end w:w="90" w:type="dxa"/>
            </w:tcMar>
          </w:tcPr>
          <w:p>
            <w:pPr>
              <w:spacing w:after="0" w:line="240" w:lineRule="auto"/>
            </w:pPr>
            <w:r>
              <w:rPr>
                <w:rFonts w:ascii="Aptos" w:hAnsi="Aptos" w:eastAsia="Aptos"/>
                <w:color w:val="24323D"/>
                <w:sz w:val="14"/>
              </w:rPr>
              <w:t>Discordances conservées et expliquées.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NPM-O20</w:t>
            </w:r>
          </w:p>
        </w:tc>
        <w:tc>
          <w:tcPr>
            <w:tcW w:type="dxa" w:w="540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Assurer la non-régression scientifique.</w:t>
            </w:r>
          </w:p>
        </w:tc>
        <w:tc>
          <w:tcPr>
            <w:tcW w:type="dxa" w:w="313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Versions et sous-groupes critiques testés.</w:t>
            </w:r>
          </w:p>
        </w:tc>
      </w:tr>
    </w:tbl>
    <w:p>
      <w:bookmarkStart w:id="112" w:name="sec087"/>
      <w:pPr>
        <w:pStyle w:val="Heading2"/>
      </w:pPr>
      <w:r>
        <w:t>87. Hypothèses réfutables NPM-H01 à NPM-H20</w:t>
      </w:r>
      <w:bookmarkEnd w:id="112"/>
    </w:p>
    <w:p>
      <w:pPr>
        <w:pStyle w:val="Caption"/>
        <w:spacing w:before="120" w:after="60"/>
        <w:jc w:val="left"/>
        <w:keepNext/>
        <w:keepLines/>
      </w:pPr>
      <w:r>
        <w:rPr>
          <w:rFonts w:ascii="Aptos" w:hAnsi="Aptos" w:eastAsia="Aptos"/>
          <w:b/>
          <w:color w:val="667085"/>
          <w:sz w:val="16"/>
        </w:rPr>
        <w:t>Tableau 10 — Hypothèses réfutables</w:t>
      </w:r>
    </w:p>
    <w:tbl>
      <w:tblPr>
        <w:tblStyle w:val="TableGrid"/>
        <w:tblW w:type="dxa" w:w="9837"/>
        <w:jc w:val="center"/>
        <w:tblLayout w:type="fixed"/>
        <w:tblLook w:firstColumn="1" w:firstRow="1" w:lastColumn="0" w:lastRow="0" w:noHBand="0" w:noVBand="1" w:val="04A0"/>
        <w:tblInd w:w="90" w:type="dxa"/>
      </w:tblPr>
      <w:tblGrid>
        <w:gridCol w:w="1297"/>
        <w:gridCol w:w="5513"/>
        <w:gridCol w:w="3027"/>
      </w:tblGrid>
      <w:tr>
        <w:trPr>
          <w:tblHeader w:val="true"/>
          <w:cantSplit/>
        </w:trPr>
        <w:tc>
          <w:tcPr>
            <w:tcW w:type="dxa" w:w="129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ID</w:t>
            </w:r>
          </w:p>
        </w:tc>
        <w:tc>
          <w:tcPr>
            <w:tcW w:type="dxa" w:w="5513"/>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Hypothèse</w:t>
            </w:r>
          </w:p>
        </w:tc>
        <w:tc>
          <w:tcPr>
            <w:tcW w:type="dxa" w:w="302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Réfutation opérationnelle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NPM-H01</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MTT respecte CBV/CBF lorsque modèles et compartiments sont cohérents.</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Écart systématique au-delà de l'incertitude.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NPM-H02</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Tmax est davantage déterminé par délai/dispersion que par MTT.</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Variation dominée par MTT dans des simulations contrôlées.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NPM-H03</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Une correction de délai améliore CBF mais réduit une information collatérale.</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Aucun changement d'accord ni d'information de trajet.</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NPM-H04</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La variabilité logicielle CTP dépasse la variabilité opérateur.</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Composante opérateur supérieure sur benchmark.</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NPM-H05</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La correction de fuite réduit le biais rCBV DSC.</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Accord dégradé avec référence intravasculaire.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NPM-H06</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La normalisation rCBV échoue si le tissu de référence est atteint.</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Stabilité démontrée malgré référence pathologique.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NPM-H07</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Ktrans change de signification entre régimes flow- et permeability-limited.</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Invariance au flux et à PS démontrée.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NPM-H08</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Patlak est plus stable que les modèles riches pour les faibles fuites.</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Biais/variance supérieurs dans la plage cible.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NPM-H09</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L'ATT explique une part de l'écart ASL–PET en sténose.</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Correction ATT sans amélioration d'accord.</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NPM-H10</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Les petites différences de séquence ASL peuvent dépasser l'effet constructeur.</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Variance constructeur dominante à paramètres appariés.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NPM-H11</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L'OEF compense une baisse de CBF dans certains états chroniques.</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Aucune relation dans une cohorte définie.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NPM-H12</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CMRO₂ ne peut être inféré d'OEF ou CBF isolément.</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Prédiction fiable sans l'autre composante.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NPM-H13</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Les collatérales dissocient délai prolongé et viabilité.</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Délai prédit toujours la perte tissulaire indépendamment des collatérales.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NPM-H14</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Le ghost core est favorisé par l'imagerie précoce et la reperfusion rapide.</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Absence d'association dans validation prospective.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NPM-H15</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Une harmonisation peut supprimer un signal biologique corrélé au site.</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Conservation démontrée pour tous les effets simulés et externes.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NPM-H16</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La non-évaluabilité est associée au phénotype.</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Manquants compatibles avec un mécanisme aléatoire.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NPM-H17</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Un composite multimodal n'ajoute de valeur que si ses composantes sont complémentaires.</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Gain démontré avec redondance complète.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NPM-H18</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Un Core Lab réduit la variance intersite sans supprimer toute dérive.</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Variance inchangée ou dérive absente avant centralisation.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NPM-H19</w:t>
            </w:r>
          </w:p>
        </w:tc>
        <w:tc>
          <w:tcPr>
            <w:tcW w:type="dxa" w:w="5513"/>
            <w:vAlign w:val="top"/>
            <w:tcMar>
              <w:top w:w="70" w:type="dxa"/>
              <w:start w:w="90" w:type="dxa"/>
              <w:bottom w:w="70" w:type="dxa"/>
              <w:end w:w="90" w:type="dxa"/>
            </w:tcMar>
          </w:tcPr>
          <w:p>
            <w:pPr>
              <w:spacing w:after="0" w:line="240" w:lineRule="auto"/>
            </w:pPr>
            <w:r>
              <w:rPr>
                <w:rFonts w:ascii="Aptos" w:hAnsi="Aptos" w:eastAsia="Aptos"/>
                <w:color w:val="24323D"/>
                <w:sz w:val="14"/>
              </w:rPr>
              <w:t>Une mise à jour de reconstruction peut créer une rupture longitudinale.</w:t>
            </w:r>
          </w:p>
        </w:tc>
        <w:tc>
          <w:tcPr>
            <w:tcW w:type="dxa" w:w="3027"/>
            <w:vAlign w:val="top"/>
            <w:tcMar>
              <w:top w:w="70" w:type="dxa"/>
              <w:start w:w="90" w:type="dxa"/>
              <w:bottom w:w="70" w:type="dxa"/>
              <w:end w:w="90" w:type="dxa"/>
            </w:tcMar>
          </w:tcPr>
          <w:p>
            <w:pPr>
              <w:spacing w:after="0" w:line="240" w:lineRule="auto"/>
            </w:pPr>
            <w:r>
              <w:rPr>
                <w:rFonts w:ascii="Aptos" w:hAnsi="Aptos" w:eastAsia="Aptos"/>
                <w:color w:val="24323D"/>
                <w:sz w:val="14"/>
              </w:rPr>
              <w:t>Étude de pont démontrant invariance complète.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NPM-H20</w:t>
            </w:r>
          </w:p>
        </w:tc>
        <w:tc>
          <w:tcPr>
            <w:tcW w:type="dxa" w:w="5513"/>
            <w:vAlign w:val="top"/>
            <w:tcMar>
              <w:top w:w="70" w:type="dxa"/>
              <w:start w:w="90" w:type="dxa"/>
              <w:bottom w:w="70" w:type="dxa"/>
              <w:end w:w="90" w:type="dxa"/>
            </w:tcMar>
            <w:shd w:fill="F7FAFB"/>
          </w:tcPr>
          <w:p>
            <w:pPr>
              <w:spacing w:after="0" w:line="240" w:lineRule="auto"/>
            </w:pPr>
            <w:r>
              <w:rPr>
                <w:rFonts w:ascii="Aptos" w:hAnsi="Aptos" w:eastAsia="Aptos"/>
                <w:color w:val="24323D"/>
                <w:sz w:val="14"/>
              </w:rPr>
              <w:t>Un contrat stratifié détecte des régressions masquées par la moyenne.</w:t>
            </w:r>
          </w:p>
        </w:tc>
        <w:tc>
          <w:tcPr>
            <w:tcW w:type="dxa" w:w="302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Aucune régression locale détectable sous simulation contrôlée.</w:t>
            </w:r>
          </w:p>
        </w:tc>
      </w:tr>
    </w:tbl>
    <w:p>
      <w:bookmarkStart w:id="113" w:name="part17"/>
      <w:pPr>
        <w:pStyle w:val="Heading1"/>
        <w:keepNext/>
        <w:keepLines/>
        <w:pageBreakBefore/>
      </w:pPr>
      <w:r>
        <w:t>PARTIE XVII — DÉCISIONS SCIENTIFIQUES SUCCESSIVES</w:t>
      </w:r>
      <w:bookmarkEnd w:id="113"/>
    </w:p>
    <w:p>
      <w:pPr>
        <w:spacing w:after="160"/>
      </w:pPr>
      <w:hyperlink w:anchor="TOC" w:history="1">
        <w:r>
          <w:rPr>
            <w:rStyle w:val="Hyperlink"/>
            <w:color w:val="667085"/>
          </w:rPr>
          <w:t>↑ Retour au sommaire</w:t>
        </w:r>
      </w:hyperlink>
    </w:p>
    <w:p>
      <w:bookmarkStart w:id="114" w:name="sec088"/>
      <w:pPr>
        <w:pStyle w:val="Heading2"/>
      </w:pPr>
      <w:r>
        <w:t>88. Chaîne NPM-D00 à NPM-D20</w:t>
      </w:r>
      <w:bookmarkEnd w:id="114"/>
    </w:p>
    <w:p>
      <w:pPr>
        <w:pStyle w:val="Caption"/>
        <w:spacing w:before="120" w:after="60"/>
        <w:jc w:val="left"/>
        <w:keepNext/>
        <w:keepLines/>
      </w:pPr>
      <w:r>
        <w:rPr>
          <w:rFonts w:ascii="Aptos" w:hAnsi="Aptos" w:eastAsia="Aptos"/>
          <w:b/>
          <w:color w:val="667085"/>
          <w:sz w:val="16"/>
        </w:rPr>
        <w:t>Tableau 11 — Décisions scientifiques</w:t>
      </w:r>
    </w:p>
    <w:tbl>
      <w:tblPr>
        <w:tblStyle w:val="TableGrid"/>
        <w:tblW w:type="dxa" w:w="9836"/>
        <w:jc w:val="center"/>
        <w:tblLayout w:type="fixed"/>
        <w:tblLook w:firstColumn="1" w:firstRow="1" w:lastColumn="0" w:lastRow="0" w:noHBand="0" w:noVBand="1" w:val="04A0"/>
        <w:tblInd w:w="90" w:type="dxa"/>
      </w:tblPr>
      <w:tblGrid>
        <w:gridCol w:w="1297"/>
        <w:gridCol w:w="5188"/>
        <w:gridCol w:w="3351"/>
      </w:tblGrid>
      <w:tr>
        <w:trPr>
          <w:tblHeader w:val="true"/>
          <w:cantSplit/>
        </w:trPr>
        <w:tc>
          <w:tcPr>
            <w:tcW w:type="dxa" w:w="129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ID</w:t>
            </w:r>
          </w:p>
        </w:tc>
        <w:tc>
          <w:tcPr>
            <w:tcW w:type="dxa" w:w="5188"/>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Décision obligatoire</w:t>
            </w:r>
          </w:p>
        </w:tc>
        <w:tc>
          <w:tcPr>
            <w:tcW w:type="dxa" w:w="335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Justification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NPM-D00</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Qualifier RB-005 comme corpus, jamais comme protocole.</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Sépare connaissance et exécution.</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NPM-D01</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Reformuler l'intention en construit et contexte d'usage.</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Évite « étudier la perfusion » sans cible.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NPM-D02</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Nommer le mesurande et son compartiment.</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CBF, CBV et transfert ne sont pas des images génériques.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NPM-D03</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Classer l'observable comme mesuré, calculé, dérivé ou reconstruit.</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Rend le modèle visible.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NPM-D04</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Définir l'unité et la normalisation.</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Empêche l'équivalence implicite.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NPM-D05</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Décrire traceur, entrée et temporalité.</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La courbe dépend de la livraison.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NPM-D06</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Choisir un modèle identifiable.</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La complexité ne crée pas l'information.</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NPM-D07</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Distinguer TTP, Tmax, delay, ATT et MTT.</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Prévient la confusion temporelle.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NPM-D08</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Séparer débit, extraction et métabolisme.</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CMRO₂ dépend de plusieurs composantes.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NPM-D09</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Séparer perfusion, perméabilité et espace de distribution.</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Ktrans n'est pas univoque.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NPM-D10</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Définir la référence par construit.</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Aucun gold standard universel.</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NPM-D11</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Préspécifier QC et non-évaluabilité.</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Évite les exclusions guidées par le résultat.</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NPM-D12</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Documenter physiologie systémique.</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CO₂, hémoglobine et pression modifient la mesure.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NPM-D13</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Nommer les dimensions de répétabilité/reproductibilité.</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Un adjectif seul est non falsifiable.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NPM-D14</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Versionner logiciel, reconstruction et modèle.</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Les mises à jour créent des ruptures possibles.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NPM-D15</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Conserver données sources et transformations.</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Permet l'audit et le reprocessing.</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NPM-D16</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Tester sous-groupes et cas difficiles.</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La moyenne masque les échecs critiques.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NPM-D17</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Conserver les contradictions.</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Une discordance est une information.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NPM-D18</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Évaluer la valeur incrémentale.</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Une carte supplémentaire n'est pas automatiquement utile.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NPM-D19</w:t>
            </w:r>
          </w:p>
        </w:tc>
        <w:tc>
          <w:tcPr>
            <w:tcW w:type="dxa" w:w="51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Propager l'incertitude jusqu'à la conclusion.</w:t>
            </w:r>
          </w:p>
        </w:tc>
        <w:tc>
          <w:tcPr>
            <w:tcW w:type="dxa" w:w="335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Évite la fausse précision.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NPM-D20</w:t>
            </w:r>
          </w:p>
        </w:tc>
        <w:tc>
          <w:tcPr>
            <w:tcW w:type="dxa" w:w="5188"/>
            <w:vAlign w:val="top"/>
            <w:tcMar>
              <w:top w:w="70" w:type="dxa"/>
              <w:start w:w="90" w:type="dxa"/>
              <w:bottom w:w="70" w:type="dxa"/>
              <w:end w:w="90" w:type="dxa"/>
            </w:tcMar>
          </w:tcPr>
          <w:p>
            <w:pPr>
              <w:spacing w:after="0" w:line="240" w:lineRule="auto"/>
            </w:pPr>
            <w:r>
              <w:rPr>
                <w:rFonts w:ascii="Aptos" w:hAnsi="Aptos" w:eastAsia="Aptos"/>
                <w:color w:val="24323D"/>
                <w:sz w:val="14"/>
              </w:rPr>
              <w:t>Sortir READY_FOR_PROTOCOL_DESIGN, CLARIFICATION_REQUIRED ou NOT_JUSTIFIED.</w:t>
            </w:r>
          </w:p>
        </w:tc>
        <w:tc>
          <w:tcPr>
            <w:tcW w:type="dxa" w:w="3351"/>
            <w:vAlign w:val="top"/>
            <w:tcMar>
              <w:top w:w="70" w:type="dxa"/>
              <w:start w:w="90" w:type="dxa"/>
              <w:bottom w:w="70" w:type="dxa"/>
              <w:end w:w="90" w:type="dxa"/>
            </w:tcMar>
          </w:tcPr>
          <w:p>
            <w:pPr>
              <w:spacing w:after="0" w:line="240" w:lineRule="auto"/>
            </w:pPr>
            <w:r>
              <w:rPr>
                <w:rFonts w:ascii="Aptos" w:hAnsi="Aptos" w:eastAsia="Aptos"/>
                <w:color w:val="24323D"/>
                <w:sz w:val="14"/>
              </w:rPr>
              <w:t>RB-005 ne franchit pas lui-même la porte du protocole.</w:t>
            </w:r>
          </w:p>
        </w:tc>
      </w:tr>
    </w:tbl>
    <w:p>
      <w:bookmarkStart w:id="115" w:name="part18"/>
      <w:pPr>
        <w:pStyle w:val="Heading1"/>
        <w:keepNext/>
        <w:keepLines/>
        <w:pageBreakBefore/>
      </w:pPr>
      <w:r>
        <w:t>PARTIE XVIII — CONDITIONS DE REFUS</w:t>
      </w:r>
      <w:bookmarkEnd w:id="115"/>
    </w:p>
    <w:p>
      <w:pPr>
        <w:spacing w:after="160"/>
      </w:pPr>
      <w:hyperlink w:anchor="TOC" w:history="1">
        <w:r>
          <w:rPr>
            <w:rStyle w:val="Hyperlink"/>
            <w:color w:val="667085"/>
          </w:rPr>
          <w:t>↑ Retour au sommaire</w:t>
        </w:r>
      </w:hyperlink>
    </w:p>
    <w:p>
      <w:bookmarkStart w:id="116" w:name="sec089"/>
      <w:pPr>
        <w:pStyle w:val="Heading2"/>
      </w:pPr>
      <w:r>
        <w:t>89. Gate NPM-RF01 à NPM-RF26</w:t>
      </w:r>
      <w:bookmarkEnd w:id="116"/>
    </w:p>
    <w:p>
      <w:pPr>
        <w:widowControl/>
        <w:spacing w:after="100" w:line="259" w:lineRule="auto"/>
      </w:pPr>
      <w:r>
        <w:rPr>
          <w:rFonts w:ascii="Aptos" w:hAnsi="Aptos" w:eastAsia="Aptos"/>
          <w:color w:val="24323D"/>
          <w:sz w:val="18"/>
        </w:rPr>
        <w:t>Une condition de refus protège la frontière entre observable et inférence. Elle n'est ni une recommandation clinique ni un jugement sur le sujet.</w:t>
      </w:r>
    </w:p>
    <w:p>
      <w:pPr>
        <w:pStyle w:val="Caption"/>
        <w:spacing w:before="120" w:after="60"/>
        <w:jc w:val="left"/>
        <w:keepNext/>
        <w:keepLines/>
      </w:pPr>
      <w:r>
        <w:rPr>
          <w:rFonts w:ascii="Aptos" w:hAnsi="Aptos" w:eastAsia="Aptos"/>
          <w:b/>
          <w:color w:val="667085"/>
          <w:sz w:val="16"/>
        </w:rPr>
        <w:t>Tableau 12 — Conditions de refus</w:t>
      </w:r>
    </w:p>
    <w:tbl>
      <w:tblPr>
        <w:tblStyle w:val="TableGrid"/>
        <w:tblW w:type="dxa" w:w="9836"/>
        <w:jc w:val="center"/>
        <w:tblLayout w:type="fixed"/>
        <w:tblLook w:firstColumn="1" w:firstRow="1" w:lastColumn="0" w:lastRow="0" w:noHBand="0" w:noVBand="1" w:val="04A0"/>
        <w:tblInd w:w="90" w:type="dxa"/>
      </w:tblPr>
      <w:tblGrid>
        <w:gridCol w:w="1297"/>
        <w:gridCol w:w="5945"/>
        <w:gridCol w:w="2594"/>
      </w:tblGrid>
      <w:tr>
        <w:trPr>
          <w:tblHeader w:val="true"/>
          <w:cantSplit/>
        </w:trPr>
        <w:tc>
          <w:tcPr>
            <w:tcW w:type="dxa" w:w="129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ID</w:t>
            </w:r>
          </w:p>
        </w:tc>
        <w:tc>
          <w:tcPr>
            <w:tcW w:type="dxa" w:w="5945"/>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Condition bloquante</w:t>
            </w:r>
          </w:p>
        </w:tc>
        <w:tc>
          <w:tcPr>
            <w:tcW w:type="dxa" w:w="2594"/>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Sortie exigée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NPM-RF01</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Construit non défini</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Clarifier le phénomène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NPM-RF02</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Mesurande sans unité ou compartiment</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Compléter la définition</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NPM-RF03</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Signal appelé directement CBF/CBV</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Requalifier l'observable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NPM-RF04</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TTP, Tmax, delay, ATT ou MTT confondus</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Corriger le vocabulaire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NPM-RF05</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AIF absente ou invalide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Cas incomplet / reprocessing</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NPM-RF06</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Bolus ou dynamique tronqué</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Non quantifiable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NPM-RF07</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Déconvolution ou régularisation inconnue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Version requise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NPM-RF08</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Délai hors domaine de l'algorithme</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Hors domaine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NPM-RF09</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Principe du volume central appliqué à des paramètres incohérents</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Refus mathématique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NPM-RF10</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Seuil logiciel importé sans validation</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Validation locale/externe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NPM-RF11</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Core appelé irréversible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Reformulation dynamique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NPM-RF12</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Mismatch appelé pénombre histologique</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Limiter l'inférence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NPM-RF13</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DSC sans fuite évaluée en BBB altérée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QC/correction nécessaire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NPM-RF14</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rCBV sans référence ou standardisation</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Définir l'échelle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NPM-RF15</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Ktrans appelé perméabilité pure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Qualifier le régime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NPM-RF16</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ASL-CBF sans transit considéré</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ATT/qualité à évaluer</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NPM-RF17</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OEF ou CBF isolé appelé CMRO₂</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Compléter les composantes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NPM-RF18</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BOLD appelé activité neuronale directe</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Requalifier le proxy</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NPM-RF19</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Corrélation utilisée comme accord</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Analyse d'accord</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NPM-RF20</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Harmonisation jugée sur effet site seul</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Tester conservation biologique</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NPM-RF21</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Mise à jour non tracée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Étude de pont</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NPM-RF22</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Échec technique fusionné avec négatif</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Restaurer les états</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NPM-RF23</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Population non évaluable exclue sans dénominateur</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Analyser le biais</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NPM-RF24</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Contradiction supprimée</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Conserver et adjuder</w:t>
            </w:r>
          </w:p>
        </w:tc>
      </w:tr>
      <w:tr>
        <w:trPr>
          <w:cantSplit/>
        </w:trPr>
        <w:tc>
          <w:tcPr>
            <w:tcW w:type="dxa" w:w="1297"/>
            <w:vAlign w:val="top"/>
            <w:tcMar>
              <w:top w:w="70" w:type="dxa"/>
              <w:start w:w="90" w:type="dxa"/>
              <w:bottom w:w="70" w:type="dxa"/>
              <w:end w:w="90" w:type="dxa"/>
            </w:tcMar>
          </w:tcPr>
          <w:p>
            <w:pPr>
              <w:spacing w:after="0" w:line="240" w:lineRule="auto"/>
            </w:pPr>
            <w:r>
              <w:rPr>
                <w:rFonts w:ascii="Aptos" w:hAnsi="Aptos" w:eastAsia="Aptos"/>
                <w:color w:val="24323D"/>
                <w:sz w:val="14"/>
              </w:rPr>
              <w:t>NPM-RF25</w:t>
            </w:r>
          </w:p>
        </w:tc>
        <w:tc>
          <w:tcPr>
            <w:tcW w:type="dxa" w:w="5945"/>
            <w:vAlign w:val="top"/>
            <w:tcMar>
              <w:top w:w="70" w:type="dxa"/>
              <w:start w:w="90" w:type="dxa"/>
              <w:bottom w:w="70" w:type="dxa"/>
              <w:end w:w="90" w:type="dxa"/>
            </w:tcMar>
          </w:tcPr>
          <w:p>
            <w:pPr>
              <w:spacing w:after="0" w:line="240" w:lineRule="auto"/>
            </w:pPr>
            <w:r>
              <w:rPr>
                <w:rFonts w:ascii="Aptos" w:hAnsi="Aptos" w:eastAsia="Aptos"/>
                <w:color w:val="24323D"/>
                <w:sz w:val="14"/>
              </w:rPr>
              <w:t>Recommandation ou décision patient dérivée</w:t>
            </w:r>
          </w:p>
        </w:tc>
        <w:tc>
          <w:tcPr>
            <w:tcW w:type="dxa" w:w="2594"/>
            <w:vAlign w:val="top"/>
            <w:tcMar>
              <w:top w:w="70" w:type="dxa"/>
              <w:start w:w="90" w:type="dxa"/>
              <w:bottom w:w="70" w:type="dxa"/>
              <w:end w:w="90" w:type="dxa"/>
            </w:tcMar>
          </w:tcPr>
          <w:p>
            <w:pPr>
              <w:spacing w:after="0" w:line="240" w:lineRule="auto"/>
            </w:pPr>
            <w:r>
              <w:rPr>
                <w:rFonts w:ascii="Aptos" w:hAnsi="Aptos" w:eastAsia="Aptos"/>
                <w:color w:val="24323D"/>
                <w:sz w:val="14"/>
              </w:rPr>
              <w:t>Sortir du périmètre</w:t>
            </w:r>
          </w:p>
        </w:tc>
      </w:tr>
      <w:tr>
        <w:trPr>
          <w:cantSplit/>
        </w:trPr>
        <w:tc>
          <w:tcPr>
            <w:tcW w:type="dxa" w:w="129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NPM-RF26</w:t>
            </w:r>
          </w:p>
        </w:tc>
        <w:tc>
          <w:tcPr>
            <w:tcW w:type="dxa" w:w="5945"/>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Identifiants bibliographiques non vérifiés</w:t>
            </w:r>
          </w:p>
        </w:tc>
        <w:tc>
          <w:tcPr>
            <w:tcW w:type="dxa" w:w="2594"/>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Document non officiel</w:t>
            </w:r>
          </w:p>
        </w:tc>
      </w:tr>
    </w:tbl>
    <w:p>
      <w:bookmarkStart w:id="117" w:name="sec090"/>
      <w:pPr>
        <w:pStyle w:val="Heading2"/>
      </w:pPr>
      <w:r>
        <w:t>90. États de sortie</w:t>
      </w:r>
      <w:bookmarkEnd w:id="117"/>
    </w:p>
    <w:p>
      <w:pPr>
        <w:widowControl/>
        <w:spacing w:after="100" w:line="259" w:lineRule="auto"/>
      </w:pPr>
      <w:r>
        <w:rPr>
          <w:rFonts w:ascii="Aptos" w:hAnsi="Aptos" w:eastAsia="Aptos"/>
          <w:color w:val="24323D"/>
          <w:sz w:val="18"/>
        </w:rPr>
        <w:t>READY_FOR_PROTOCOL_DESIGN : construit, mesurande, population, chaîne, référence, QC, incertitude et hypothèse sont suffisamment définis pour un travail documentaire ultérieur.</w:t>
      </w:r>
    </w:p>
    <w:p>
      <w:pPr>
        <w:widowControl/>
        <w:spacing w:after="100" w:line="259" w:lineRule="auto"/>
      </w:pPr>
      <w:r>
        <w:rPr>
          <w:rFonts w:ascii="Aptos" w:hAnsi="Aptos" w:eastAsia="Aptos"/>
          <w:color w:val="24323D"/>
          <w:sz w:val="18"/>
        </w:rPr>
        <w:t>RESEARCH_CLARIFICATION_REQUIRED : question pertinente, mais ambiguïté scientifique, défaut d'identifiabilité, référence insuffisante ou qualité non résolue.</w:t>
      </w:r>
    </w:p>
    <w:p>
      <w:pPr>
        <w:widowControl/>
        <w:spacing w:after="100" w:line="259" w:lineRule="auto"/>
      </w:pPr>
      <w:r>
        <w:rPr>
          <w:rFonts w:ascii="Aptos" w:hAnsi="Aptos" w:eastAsia="Aptos"/>
          <w:color w:val="24323D"/>
          <w:sz w:val="18"/>
        </w:rPr>
        <w:t>NOT_JUSTIFIED : mesure sans relation crédible au construit, précision incompatible, preuve insuffisante ou franchissement d'une frontière interdite.</w:t>
      </w:r>
    </w:p>
    <w:p>
      <w:bookmarkStart w:id="118" w:name="part19"/>
      <w:pPr>
        <w:pStyle w:val="Heading1"/>
        <w:keepNext/>
        <w:keepLines/>
        <w:pageBreakBefore/>
      </w:pPr>
      <w:r>
        <w:t>PARTIE XIX — EVIDENCE MAP, CONTROVERSES ET KNOWLEDGE GAPS</w:t>
      </w:r>
      <w:bookmarkEnd w:id="118"/>
    </w:p>
    <w:p>
      <w:pPr>
        <w:spacing w:after="160"/>
      </w:pPr>
      <w:hyperlink w:anchor="TOC" w:history="1">
        <w:r>
          <w:rPr>
            <w:rStyle w:val="Hyperlink"/>
            <w:color w:val="667085"/>
          </w:rPr>
          <w:t>↑ Retour au sommaire</w:t>
        </w:r>
      </w:hyperlink>
    </w:p>
    <w:p>
      <w:bookmarkStart w:id="119" w:name="sec091"/>
      <w:pPr>
        <w:pStyle w:val="Heading2"/>
      </w:pPr>
      <w:r>
        <w:t>91. Evidence Map NPM-A01 à NPM-A22</w:t>
      </w:r>
      <w:bookmarkEnd w:id="119"/>
    </w:p>
    <w:p>
      <w:pPr>
        <w:pStyle w:val="Caption"/>
        <w:spacing w:before="120" w:after="60"/>
        <w:jc w:val="left"/>
        <w:keepNext/>
        <w:keepLines/>
      </w:pPr>
      <w:r>
        <w:rPr>
          <w:rFonts w:ascii="Aptos" w:hAnsi="Aptos" w:eastAsia="Aptos"/>
          <w:b/>
          <w:color w:val="667085"/>
          <w:sz w:val="16"/>
        </w:rPr>
        <w:t>Tableau 13 — Carte des preuves</w:t>
      </w:r>
    </w:p>
    <w:tbl>
      <w:tblPr>
        <w:tblStyle w:val="TableGrid"/>
        <w:tblW w:type="dxa" w:w="9836"/>
        <w:jc w:val="center"/>
        <w:tblLayout w:type="fixed"/>
        <w:tblLook w:firstColumn="1" w:firstRow="1" w:lastColumn="0" w:lastRow="0" w:noHBand="0" w:noVBand="1" w:val="04A0"/>
        <w:tblInd w:w="90" w:type="dxa"/>
      </w:tblPr>
      <w:tblGrid>
        <w:gridCol w:w="3207"/>
        <w:gridCol w:w="1711"/>
        <w:gridCol w:w="1711"/>
        <w:gridCol w:w="3207"/>
      </w:tblGrid>
      <w:tr>
        <w:trPr>
          <w:tblHeader w:val="true"/>
          <w:cantSplit/>
        </w:trPr>
        <w:tc>
          <w:tcPr>
            <w:tcW w:type="dxa" w:w="320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Assertion</w:t>
            </w:r>
          </w:p>
        </w:tc>
        <w:tc>
          <w:tcPr>
            <w:tcW w:type="dxa" w:w="171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Niveau</w:t>
            </w:r>
          </w:p>
        </w:tc>
        <w:tc>
          <w:tcPr>
            <w:tcW w:type="dxa" w:w="1711"/>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Sources</w:t>
            </w:r>
          </w:p>
        </w:tc>
        <w:tc>
          <w:tcPr>
            <w:tcW w:type="dxa" w:w="3207"/>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Portée / limite</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NPM-A01 — CBF, CBV et MTT sont liés sous modèle cohérent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ÉTABLI</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R01–R02</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Dépend des compartiments et conventions</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NPM-A02 — Tmax combine délai et dispersion</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ÉTABLI</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R03</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Dépend de la déconvolution</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NPM-A03 — Les logiciels de perfusion divergent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R04–R06, R27</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Amplitude propre aux versions</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NPM-A04 — L'autorégulation est dynamique et contextuelle</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R07–R08</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Mesure indirecte fréquente</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NPM-A05 — Plusieurs cellules participent au NVC</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CONVERGENT / CONTROVERSÉ</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R09–R11, R63</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Mécanismes surtout expérimentaux</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NPM-A06 — ASL-CBF dépend du modèle et du transit</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ÉTABLI</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R12–R13</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Paramètres de modèle requis</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NPM-A07 — ASL multicentrique reste sensible aux détails</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R14–R16, R57</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Variabilité de processing</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NPM-A08 — ATT corrige une part des biais en occlusion</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CONTEXTUEL</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R17–R20</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Petites cohortes et compromis</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NPM-A09 — DSC-rCBV dépend acquisition et traitement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R21–R27</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Standardisation améliore sans unifier</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NPM-A10 — La fuite BBB biaise DSC</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ÉTABLI</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R22–R23, R50</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Direction selon effets T1/T2*</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NPM-A11 — DCE estime un transfert modelé</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ÉTABLI</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R28–R30</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Ktrans non univoque</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NPM-A12 — PET O-15 quantifie OEF/CMRO₂ sous modèle</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R31–R38, R65</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Complexité et corrections</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NPM-A13 — MRI-OEF/CMRO₂ est technique-dépendante</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R33–R34, R62</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Validation régionale inégale</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NPM-A14 — rCBF CTP décrit mieux le core DWI que CBV dans une étude</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CONTEXTUEL</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R39</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Aucun seuil sans faux positifs</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NPM-A15 — L'imagerie de mismatch a soutenu des essais tardifs</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ÉTABLI DANS LES ESSAIS</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R40–R42</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Critères non universels</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NPM-A16 — Le ghost core existe</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R43–R44</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Définition et référence variables</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NPM-A17 — Les collatérales modulent délai et résultat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R45–R47</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Scores et causalité contextuels</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NPM-A18 — CTP vasospasme peut être spécifique mais peu sensible</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CONTEXTUEL</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R48–R49</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Petites cohortes</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NPM-A19 — rCBV tumoral a une information biologique</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CONTEXTUEL À CONVERGENT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R21–R27, R50–R52</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Hétérogénéité et leakage</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NPM-A20 — Perfusion TBI est associée au résultat</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INSUFFISANT / CONTEXTUEL</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R53–R55</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Observationnel</w:t>
            </w:r>
          </w:p>
        </w:tc>
      </w:tr>
      <w:tr>
        <w:trPr>
          <w:cantSplit/>
        </w:trPr>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NPM-A21 — ASL détecte des évolutions dans les démences</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ÉMERGENT</w:t>
            </w:r>
          </w:p>
        </w:tc>
        <w:tc>
          <w:tcPr>
            <w:tcW w:type="dxa" w:w="1711"/>
            <w:vAlign w:val="top"/>
            <w:tcMar>
              <w:top w:w="70" w:type="dxa"/>
              <w:start w:w="90" w:type="dxa"/>
              <w:bottom w:w="70" w:type="dxa"/>
              <w:end w:w="90" w:type="dxa"/>
            </w:tcMar>
          </w:tcPr>
          <w:p>
            <w:pPr>
              <w:spacing w:after="0" w:line="240" w:lineRule="auto"/>
            </w:pPr>
            <w:r>
              <w:rPr>
                <w:rFonts w:ascii="Aptos" w:hAnsi="Aptos" w:eastAsia="Aptos"/>
                <w:color w:val="24323D"/>
                <w:sz w:val="14"/>
              </w:rPr>
              <w:t>R56–R57</w:t>
            </w:r>
          </w:p>
        </w:tc>
        <w:tc>
          <w:tcPr>
            <w:tcW w:type="dxa" w:w="3207"/>
            <w:vAlign w:val="top"/>
            <w:tcMar>
              <w:top w:w="70" w:type="dxa"/>
              <w:start w:w="90" w:type="dxa"/>
              <w:bottom w:w="70" w:type="dxa"/>
              <w:end w:w="90" w:type="dxa"/>
            </w:tcMar>
          </w:tcPr>
          <w:p>
            <w:pPr>
              <w:spacing w:after="0" w:line="240" w:lineRule="auto"/>
            </w:pPr>
            <w:r>
              <w:rPr>
                <w:rFonts w:ascii="Aptos" w:hAnsi="Aptos" w:eastAsia="Aptos"/>
                <w:color w:val="24323D"/>
                <w:sz w:val="14"/>
              </w:rPr>
              <w:t>Site, ATT, atrophie</w:t>
            </w:r>
          </w:p>
        </w:tc>
      </w:tr>
      <w:tr>
        <w:trPr>
          <w:cantSplit/>
        </w:trPr>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NPM-A22 — CVR dépend du stimulus et du signal</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CONVERGENT</w:t>
            </w:r>
          </w:p>
        </w:tc>
        <w:tc>
          <w:tcPr>
            <w:tcW w:type="dxa" w:w="1711"/>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R58–R60</w:t>
            </w:r>
          </w:p>
        </w:tc>
        <w:tc>
          <w:tcPr>
            <w:tcW w:type="dxa" w:w="3207"/>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Comparabilité limitée</w:t>
            </w:r>
          </w:p>
        </w:tc>
      </w:tr>
    </w:tbl>
    <w:p>
      <w:bookmarkStart w:id="120" w:name="sec092"/>
      <w:pPr>
        <w:pStyle w:val="Heading2"/>
      </w:pPr>
      <w:r>
        <w:t>92. Controverses conservées</w:t>
      </w:r>
      <w:bookmarkEnd w:id="120"/>
    </w:p>
    <w:p>
      <w:pPr>
        <w:pStyle w:val="Heading3"/>
      </w:pPr>
      <w:r>
        <w:t>92.1 Quantitatif versus standardisé</w:t>
      </w:r>
    </w:p>
    <w:p>
      <w:pPr>
        <w:widowControl/>
        <w:spacing w:after="100" w:line="259" w:lineRule="auto"/>
      </w:pPr>
      <w:r>
        <w:rPr>
          <w:rFonts w:ascii="Aptos" w:hAnsi="Aptos" w:eastAsia="Aptos"/>
          <w:color w:val="24323D"/>
          <w:sz w:val="18"/>
        </w:rPr>
        <w:t>Des unités physiques peuvent coexister avec un biais intersite. Une valeur relative peut être plus robuste localement qu'une valeur absolue mal calibrée. Le statut quantitatif est multidimensionnel.</w:t>
      </w:r>
    </w:p>
    <w:p>
      <w:pPr>
        <w:pStyle w:val="Heading3"/>
      </w:pPr>
      <w:r>
        <w:t>92.2 Core et pénombre</w:t>
      </w:r>
    </w:p>
    <w:p>
      <w:pPr>
        <w:widowControl/>
        <w:spacing w:after="100" w:line="259" w:lineRule="auto"/>
      </w:pPr>
      <w:r>
        <w:rPr>
          <w:rFonts w:ascii="Aptos" w:hAnsi="Aptos" w:eastAsia="Aptos"/>
          <w:color w:val="24323D"/>
          <w:sz w:val="18"/>
        </w:rPr>
        <w:t>Des seuils opérationnels permettent des essais et comparaisons, mais ne transforment pas des états continus et temporels en histologie certaine. La controverse porte sur la transportabilité et les non-matchers, pas sur l'utilité historique des contrats d'essai.</w:t>
      </w:r>
    </w:p>
    <w:p>
      <w:pPr>
        <w:pStyle w:val="Heading3"/>
      </w:pPr>
      <w:r>
        <w:t>92.3 OEF PET et substituts MRI</w:t>
      </w:r>
    </w:p>
    <w:p>
      <w:pPr>
        <w:widowControl/>
        <w:spacing w:after="100" w:line="259" w:lineRule="auto"/>
      </w:pPr>
      <w:r>
        <w:rPr>
          <w:rFonts w:ascii="Aptos" w:hAnsi="Aptos" w:eastAsia="Aptos"/>
          <w:color w:val="24323D"/>
          <w:sz w:val="18"/>
        </w:rPr>
        <w:t>PET reste la référence la plus établie, tandis que les méthodes MRI réduisent l'invasivité et augmentent l'accessibilité. Leur équivalence régionale et multicentrique n'est pas démontrée uniformément.</w:t>
      </w:r>
    </w:p>
    <w:p>
      <w:pPr>
        <w:pStyle w:val="Heading3"/>
      </w:pPr>
      <w:r>
        <w:t>92.4 Contrôle capillaire</w:t>
      </w:r>
    </w:p>
    <w:p>
      <w:pPr>
        <w:widowControl/>
        <w:spacing w:after="100" w:line="259" w:lineRule="auto"/>
      </w:pPr>
      <w:r>
        <w:rPr>
          <w:rFonts w:ascii="Aptos" w:hAnsi="Aptos" w:eastAsia="Aptos"/>
          <w:color w:val="24323D"/>
          <w:sz w:val="18"/>
        </w:rPr>
        <w:t>Péricytes, astrocytes, endothélium et neurones participent selon les modèles. Les contributions relatives restent débattues et ne justifient pas une attribution unique dans une carte humaine.</w:t>
      </w:r>
    </w:p>
    <w:p>
      <w:pPr>
        <w:pStyle w:val="Heading3"/>
      </w:pPr>
      <w:r>
        <w:t>92.5 Harmonisation</w:t>
      </w:r>
    </w:p>
    <w:p>
      <w:pPr>
        <w:widowControl/>
        <w:spacing w:after="100" w:line="259" w:lineRule="auto"/>
      </w:pPr>
      <w:r>
        <w:rPr>
          <w:rFonts w:ascii="Aptos" w:hAnsi="Aptos" w:eastAsia="Aptos"/>
          <w:color w:val="24323D"/>
          <w:sz w:val="18"/>
        </w:rPr>
        <w:t>Une correction peut améliorer comparabilité et effacer une différence biologique corrélée au site. La validation doit tester les deux objectifs.</w:t>
      </w:r>
    </w:p>
    <w:p>
      <w:pPr>
        <w:pStyle w:val="Heading3"/>
      </w:pPr>
      <w:r>
        <w:t>92.6 Multimodalité</w:t>
      </w:r>
    </w:p>
    <w:p>
      <w:pPr>
        <w:widowControl/>
        <w:spacing w:after="100" w:line="259" w:lineRule="auto"/>
      </w:pPr>
      <w:r>
        <w:rPr>
          <w:rFonts w:ascii="Aptos" w:hAnsi="Aptos" w:eastAsia="Aptos"/>
          <w:color w:val="24323D"/>
          <w:sz w:val="18"/>
        </w:rPr>
        <w:t>Ajouter des cartes peut augmenter information ou surcharge analytique. La valeur dépend de la complémentarité et de la décision de recherche, non du nombre de modalités.</w:t>
      </w:r>
    </w:p>
    <w:p>
      <w:bookmarkStart w:id="121" w:name="sec093"/>
      <w:pPr>
        <w:pStyle w:val="Heading2"/>
      </w:pPr>
      <w:r>
        <w:t>93. Biais majeurs</w:t>
      </w:r>
      <w:bookmarkEnd w:id="121"/>
    </w:p>
    <w:p>
      <w:pPr>
        <w:pStyle w:val="ListBullet"/>
        <w:spacing w:after="50" w:line="247" w:lineRule="auto"/>
      </w:pPr>
      <w:r>
        <w:rPr>
          <w:rFonts w:ascii="Aptos" w:hAnsi="Aptos" w:eastAsia="Aptos"/>
          <w:color w:val="24323D"/>
          <w:sz w:val="18"/>
        </w:rPr>
        <w:t>biais de spectre et exclusion des examens difficiles ;</w:t>
      </w:r>
    </w:p>
    <w:p>
      <w:pPr>
        <w:pStyle w:val="ListBullet"/>
        <w:spacing w:after="50" w:line="247" w:lineRule="auto"/>
      </w:pPr>
      <w:r>
        <w:rPr>
          <w:rFonts w:ascii="Aptos" w:hAnsi="Aptos" w:eastAsia="Aptos"/>
          <w:color w:val="24323D"/>
          <w:sz w:val="18"/>
        </w:rPr>
        <w:t>effet du temps entre symptômes, acquisition, référence et résultat ;</w:t>
      </w:r>
    </w:p>
    <w:p>
      <w:pPr>
        <w:pStyle w:val="ListBullet"/>
        <w:spacing w:after="50" w:line="247" w:lineRule="auto"/>
      </w:pPr>
      <w:r>
        <w:rPr>
          <w:rFonts w:ascii="Aptos" w:hAnsi="Aptos" w:eastAsia="Aptos"/>
          <w:color w:val="24323D"/>
          <w:sz w:val="18"/>
        </w:rPr>
        <w:t>dépendance au site, logiciel, version, AIF et reconstruction ;</w:t>
      </w:r>
    </w:p>
    <w:p>
      <w:pPr>
        <w:pStyle w:val="ListBullet"/>
        <w:spacing w:after="50" w:line="247" w:lineRule="auto"/>
      </w:pPr>
      <w:r>
        <w:rPr>
          <w:rFonts w:ascii="Aptos" w:hAnsi="Aptos" w:eastAsia="Aptos"/>
          <w:color w:val="24323D"/>
          <w:sz w:val="18"/>
        </w:rPr>
        <w:t>sélection post hoc de seuils, régions, hotspots ou fenêtres ;</w:t>
      </w:r>
    </w:p>
    <w:p>
      <w:pPr>
        <w:pStyle w:val="ListBullet"/>
        <w:spacing w:after="50" w:line="247" w:lineRule="auto"/>
      </w:pPr>
      <w:r>
        <w:rPr>
          <w:rFonts w:ascii="Aptos" w:hAnsi="Aptos" w:eastAsia="Aptos"/>
          <w:color w:val="24323D"/>
          <w:sz w:val="18"/>
        </w:rPr>
        <w:t>référence imparfaite, non aveugle ou mesurant un autre construit ;</w:t>
      </w:r>
    </w:p>
    <w:p>
      <w:pPr>
        <w:pStyle w:val="ListBullet"/>
        <w:spacing w:after="50" w:line="247" w:lineRule="auto"/>
      </w:pPr>
      <w:r>
        <w:rPr>
          <w:rFonts w:ascii="Aptos" w:hAnsi="Aptos" w:eastAsia="Aptos"/>
          <w:color w:val="24323D"/>
          <w:sz w:val="18"/>
        </w:rPr>
        <w:t>volume partiel, atrophie et contamination vasculaire ;</w:t>
      </w:r>
    </w:p>
    <w:p>
      <w:pPr>
        <w:pStyle w:val="ListBullet"/>
        <w:spacing w:after="50" w:line="247" w:lineRule="auto"/>
      </w:pPr>
      <w:r>
        <w:rPr>
          <w:rFonts w:ascii="Aptos" w:hAnsi="Aptos" w:eastAsia="Aptos"/>
          <w:color w:val="24323D"/>
          <w:sz w:val="18"/>
        </w:rPr>
        <w:t>variables systémiques non enregistrées ;</w:t>
      </w:r>
    </w:p>
    <w:p>
      <w:pPr>
        <w:pStyle w:val="ListBullet"/>
        <w:spacing w:after="50" w:line="247" w:lineRule="auto"/>
      </w:pPr>
      <w:r>
        <w:rPr>
          <w:rFonts w:ascii="Aptos" w:hAnsi="Aptos" w:eastAsia="Aptos"/>
          <w:color w:val="24323D"/>
          <w:sz w:val="18"/>
        </w:rPr>
        <w:t>pseudoréplication des voxels ou lésions ;</w:t>
      </w:r>
    </w:p>
    <w:p>
      <w:pPr>
        <w:pStyle w:val="ListBullet"/>
        <w:spacing w:after="50" w:line="247" w:lineRule="auto"/>
      </w:pPr>
      <w:r>
        <w:rPr>
          <w:rFonts w:ascii="Aptos" w:hAnsi="Aptos" w:eastAsia="Aptos"/>
          <w:color w:val="24323D"/>
          <w:sz w:val="18"/>
        </w:rPr>
        <w:t>fuite entre développement et validation ;</w:t>
      </w:r>
    </w:p>
    <w:p>
      <w:pPr>
        <w:pStyle w:val="ListBullet"/>
        <w:spacing w:after="50" w:line="247" w:lineRule="auto"/>
      </w:pPr>
      <w:r>
        <w:rPr>
          <w:rFonts w:ascii="Aptos" w:hAnsi="Aptos" w:eastAsia="Aptos"/>
          <w:color w:val="24323D"/>
          <w:sz w:val="18"/>
        </w:rPr>
        <w:t>publication préférentielle des cartes et résultats positifs.</w:t>
      </w:r>
    </w:p>
    <w:p>
      <w:bookmarkStart w:id="122" w:name="sec094"/>
      <w:pPr>
        <w:pStyle w:val="Heading2"/>
      </w:pPr>
      <w:r>
        <w:t>94. Knowledge Gaps KG-NPM-01 à KG-NPM-24</w:t>
      </w:r>
      <w:bookmarkEnd w:id="122"/>
    </w:p>
    <w:p>
      <w:pPr>
        <w:pStyle w:val="Caption"/>
        <w:spacing w:before="120" w:after="60"/>
        <w:jc w:val="left"/>
        <w:keepNext/>
        <w:keepLines/>
      </w:pPr>
      <w:r>
        <w:rPr>
          <w:rFonts w:ascii="Aptos" w:hAnsi="Aptos" w:eastAsia="Aptos"/>
          <w:b/>
          <w:color w:val="667085"/>
          <w:sz w:val="16"/>
        </w:rPr>
        <w:t>Tableau 14 — Knowledge Gaps</w:t>
      </w:r>
    </w:p>
    <w:tbl>
      <w:tblPr>
        <w:tblStyle w:val="TableGrid"/>
        <w:tblW w:type="dxa" w:w="9836"/>
        <w:jc w:val="center"/>
        <w:tblLayout w:type="fixed"/>
        <w:tblLook w:firstColumn="1" w:firstRow="1" w:lastColumn="0" w:lastRow="0" w:noHBand="0" w:noVBand="1" w:val="04A0"/>
        <w:tblInd w:w="90" w:type="dxa"/>
      </w:tblPr>
      <w:tblGrid>
        <w:gridCol w:w="1366"/>
        <w:gridCol w:w="5082"/>
        <w:gridCol w:w="3388"/>
      </w:tblGrid>
      <w:tr>
        <w:trPr>
          <w:tblHeader w:val="true"/>
          <w:cantSplit/>
        </w:trPr>
        <w:tc>
          <w:tcPr>
            <w:tcW w:type="dxa" w:w="136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ID</w:t>
            </w:r>
          </w:p>
        </w:tc>
        <w:tc>
          <w:tcPr>
            <w:tcW w:type="dxa" w:w="5082"/>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Lacune</w:t>
            </w:r>
          </w:p>
        </w:tc>
        <w:tc>
          <w:tcPr>
            <w:tcW w:type="dxa" w:w="3388"/>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Preuve nécessaire</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KG-NPM-01</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Commutabilité des phantoms CTP/DSC</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Objets physiques et données humaines appariés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KG-NPM-02</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Vérité de référence pour délai/dispersion</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DRO physiologiques validés</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KG-NPM-03</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Harmonisation CTP interlogicielle</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Benchmarks ouverts et versions suivies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KG-NPM-04</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Standardisation de rCBV DSC</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Données multisites et tissus de référence robustes</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KG-NPM-05</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Correction de fuite généralisable</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Comparaison in vivo multi-régime</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KG-NPM-06</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Faible perméabilité BBB</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Références indépendantes et répétabilité</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KG-NPM-07</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Choix de modèle DCE</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Études de sélection de modèle externes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KG-NPM-08</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ASL en transit très prolongé</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PET/MR et multi-delay multicentriques</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KG-NPM-09</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Efficacité de marquage individuelle</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Mesure robuste et traçable</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KG-NPM-10</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OEF MRI régionale</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Validation PET simultanée et multi-site</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KG-NPM-11</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CMRO₂ MRI absolu</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Propagation d'incertitude complète</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KG-NPM-12</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Hétérogénéité capillaire in vivo</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Mesurande indépendant et modèle identifié</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KG-NPM-13</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NVC humain causal</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Mesures neuronales et vasculaires simultanées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KG-NPM-14</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Références pédiatriques</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Cohortes longitudinales adaptées</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KG-NPM-15</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Effet de l'anémie et du CO₂</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Plans factoriels et états physiologiques mesurés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KG-NPM-16</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Ghost core prospectif</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Références temporelles standardisées</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KG-NPM-17</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Perfusion des non-matchers</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Essais et cohortes sans exclusion circulaire</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KG-NPM-18</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Collatérales et métabolisme</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Imagerie vasculaire–OEF–CMRO₂ simultanée</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KG-NPM-19</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Vasospasme versus DCI</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Cohortes longitudinales avec références distinctes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KG-NPM-20</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Biomarqueurs tumoraux après traitement</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Validation avec histologie et suivi</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KG-NPM-21</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Perfusion TBI multicentrique</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Acquisitions harmonisées et physiologie complète</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KG-NPM-22</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ASL comme endpoint neurodégénératif</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Changement minimal et validation externe</w:t>
            </w:r>
          </w:p>
        </w:tc>
      </w:tr>
      <w:tr>
        <w:trPr>
          <w:cantSplit/>
        </w:trPr>
        <w:tc>
          <w:tcPr>
            <w:tcW w:type="dxa" w:w="1366"/>
            <w:vAlign w:val="top"/>
            <w:tcMar>
              <w:top w:w="70" w:type="dxa"/>
              <w:start w:w="90" w:type="dxa"/>
              <w:bottom w:w="70" w:type="dxa"/>
              <w:end w:w="90" w:type="dxa"/>
            </w:tcMar>
          </w:tcPr>
          <w:p>
            <w:pPr>
              <w:spacing w:after="0" w:line="240" w:lineRule="auto"/>
            </w:pPr>
            <w:r>
              <w:rPr>
                <w:rFonts w:ascii="Aptos" w:hAnsi="Aptos" w:eastAsia="Aptos"/>
                <w:color w:val="24323D"/>
                <w:sz w:val="14"/>
              </w:rPr>
              <w:t>KG-NPM-23</w:t>
            </w:r>
          </w:p>
        </w:tc>
        <w:tc>
          <w:tcPr>
            <w:tcW w:type="dxa" w:w="5082"/>
            <w:vAlign w:val="top"/>
            <w:tcMar>
              <w:top w:w="70" w:type="dxa"/>
              <w:start w:w="90" w:type="dxa"/>
              <w:bottom w:w="70" w:type="dxa"/>
              <w:end w:w="90" w:type="dxa"/>
            </w:tcMar>
          </w:tcPr>
          <w:p>
            <w:pPr>
              <w:spacing w:after="0" w:line="240" w:lineRule="auto"/>
            </w:pPr>
            <w:r>
              <w:rPr>
                <w:rFonts w:ascii="Aptos" w:hAnsi="Aptos" w:eastAsia="Aptos"/>
                <w:color w:val="24323D"/>
                <w:sz w:val="14"/>
              </w:rPr>
              <w:t>Non-évaluabilité</w:t>
            </w:r>
          </w:p>
        </w:tc>
        <w:tc>
          <w:tcPr>
            <w:tcW w:type="dxa" w:w="3388"/>
            <w:vAlign w:val="top"/>
            <w:tcMar>
              <w:top w:w="70" w:type="dxa"/>
              <w:start w:w="90" w:type="dxa"/>
              <w:bottom w:w="70" w:type="dxa"/>
              <w:end w:w="90" w:type="dxa"/>
            </w:tcMar>
          </w:tcPr>
          <w:p>
            <w:pPr>
              <w:spacing w:after="0" w:line="240" w:lineRule="auto"/>
            </w:pPr>
            <w:r>
              <w:rPr>
                <w:rFonts w:ascii="Aptos" w:hAnsi="Aptos" w:eastAsia="Aptos"/>
                <w:color w:val="24323D"/>
                <w:sz w:val="14"/>
              </w:rPr>
              <w:t>Registres d'échec et modèles de manquants</w:t>
            </w:r>
          </w:p>
        </w:tc>
      </w:tr>
      <w:tr>
        <w:trPr>
          <w:cantSplit/>
        </w:trPr>
        <w:tc>
          <w:tcPr>
            <w:tcW w:type="dxa" w:w="136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KG-NPM-24</w:t>
            </w:r>
          </w:p>
        </w:tc>
        <w:tc>
          <w:tcPr>
            <w:tcW w:type="dxa" w:w="5082"/>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Non-régression des reconstructions apprises</w:t>
            </w:r>
          </w:p>
        </w:tc>
        <w:tc>
          <w:tcPr>
            <w:tcW w:type="dxa" w:w="338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Tests physiques, adversariaux et hors distribution</w:t>
            </w:r>
          </w:p>
        </w:tc>
      </w:tr>
    </w:tbl>
    <w:p>
      <w:bookmarkStart w:id="123" w:name="sec095"/>
      <w:pPr>
        <w:pStyle w:val="Heading2"/>
      </w:pPr>
      <w:r>
        <w:t>95. Questions ouvertes</w:t>
      </w:r>
      <w:bookmarkEnd w:id="123"/>
    </w:p>
    <w:p>
      <w:pPr>
        <w:pStyle w:val="ListBullet"/>
        <w:spacing w:after="50" w:line="247" w:lineRule="auto"/>
      </w:pPr>
      <w:r>
        <w:rPr>
          <w:rFonts w:ascii="Aptos" w:hAnsi="Aptos" w:eastAsia="Aptos"/>
          <w:color w:val="24323D"/>
          <w:sz w:val="18"/>
        </w:rPr>
        <w:t>Quelle représentation minimale de l'AIF permet une quantification transportable ?</w:t>
      </w:r>
    </w:p>
    <w:p>
      <w:pPr>
        <w:pStyle w:val="ListBullet"/>
        <w:spacing w:after="50" w:line="247" w:lineRule="auto"/>
      </w:pPr>
      <w:r>
        <w:rPr>
          <w:rFonts w:ascii="Aptos" w:hAnsi="Aptos" w:eastAsia="Aptos"/>
          <w:color w:val="24323D"/>
          <w:sz w:val="18"/>
        </w:rPr>
        <w:t>Comment séparer délai macrovasculaire, dispersion collatérale et transit capillaire ?</w:t>
      </w:r>
    </w:p>
    <w:p>
      <w:pPr>
        <w:pStyle w:val="ListBullet"/>
        <w:spacing w:after="50" w:line="247" w:lineRule="auto"/>
      </w:pPr>
      <w:r>
        <w:rPr>
          <w:rFonts w:ascii="Aptos" w:hAnsi="Aptos" w:eastAsia="Aptos"/>
          <w:color w:val="24323D"/>
          <w:sz w:val="18"/>
        </w:rPr>
        <w:t>Quelle incertitude voxel-wise reste calibrée sous reconstruction non linéaire ?</w:t>
      </w:r>
    </w:p>
    <w:p>
      <w:pPr>
        <w:pStyle w:val="ListBullet"/>
        <w:spacing w:after="50" w:line="247" w:lineRule="auto"/>
      </w:pPr>
      <w:r>
        <w:rPr>
          <w:rFonts w:ascii="Aptos" w:hAnsi="Aptos" w:eastAsia="Aptos"/>
          <w:color w:val="24323D"/>
          <w:sz w:val="18"/>
        </w:rPr>
        <w:t>Quand une correction de délai détruit-elle une information utile ?</w:t>
      </w:r>
    </w:p>
    <w:p>
      <w:pPr>
        <w:pStyle w:val="ListBullet"/>
        <w:spacing w:after="50" w:line="247" w:lineRule="auto"/>
      </w:pPr>
      <w:r>
        <w:rPr>
          <w:rFonts w:ascii="Aptos" w:hAnsi="Aptos" w:eastAsia="Aptos"/>
          <w:color w:val="24323D"/>
          <w:sz w:val="18"/>
        </w:rPr>
        <w:t>Quel benchmark commun peut comparer CTP et DSC sans imposer un logiciel ?</w:t>
      </w:r>
    </w:p>
    <w:p>
      <w:pPr>
        <w:pStyle w:val="ListBullet"/>
        <w:spacing w:after="50" w:line="247" w:lineRule="auto"/>
      </w:pPr>
      <w:r>
        <w:rPr>
          <w:rFonts w:ascii="Aptos" w:hAnsi="Aptos" w:eastAsia="Aptos"/>
          <w:color w:val="24323D"/>
          <w:sz w:val="18"/>
        </w:rPr>
        <w:t>Comment qualifier un tissu de référence rCBV dans une maladie diffuse ?</w:t>
      </w:r>
    </w:p>
    <w:p>
      <w:pPr>
        <w:pStyle w:val="ListBullet"/>
        <w:spacing w:after="50" w:line="247" w:lineRule="auto"/>
      </w:pPr>
      <w:r>
        <w:rPr>
          <w:rFonts w:ascii="Aptos" w:hAnsi="Aptos" w:eastAsia="Aptos"/>
          <w:color w:val="24323D"/>
          <w:sz w:val="18"/>
        </w:rPr>
        <w:t>Quel modèle DCE est identifiable aux limites de faible fuite ?</w:t>
      </w:r>
    </w:p>
    <w:p>
      <w:pPr>
        <w:pStyle w:val="ListBullet"/>
        <w:spacing w:after="50" w:line="247" w:lineRule="auto"/>
      </w:pPr>
      <w:r>
        <w:rPr>
          <w:rFonts w:ascii="Aptos" w:hAnsi="Aptos" w:eastAsia="Aptos"/>
          <w:color w:val="24323D"/>
          <w:sz w:val="18"/>
        </w:rPr>
        <w:t>Comment mesurer une efficacité de marquage ASL individuelle ?</w:t>
      </w:r>
    </w:p>
    <w:p>
      <w:pPr>
        <w:pStyle w:val="ListBullet"/>
        <w:spacing w:after="50" w:line="247" w:lineRule="auto"/>
      </w:pPr>
      <w:r>
        <w:rPr>
          <w:rFonts w:ascii="Aptos" w:hAnsi="Aptos" w:eastAsia="Aptos"/>
          <w:color w:val="24323D"/>
          <w:sz w:val="18"/>
        </w:rPr>
        <w:t>Quel compromis single- versus multi-delay est robuste hors volontaires sains ?</w:t>
      </w:r>
    </w:p>
    <w:p>
      <w:pPr>
        <w:pStyle w:val="ListBullet"/>
        <w:spacing w:after="50" w:line="247" w:lineRule="auto"/>
      </w:pPr>
      <w:r>
        <w:rPr>
          <w:rFonts w:ascii="Aptos" w:hAnsi="Aptos" w:eastAsia="Aptos"/>
          <w:color w:val="24323D"/>
          <w:sz w:val="18"/>
        </w:rPr>
        <w:t>Quelles méthodes MRI d'OEF sont commutables avec PET régional ?</w:t>
      </w:r>
    </w:p>
    <w:p>
      <w:pPr>
        <w:pStyle w:val="ListBullet"/>
        <w:spacing w:after="50" w:line="247" w:lineRule="auto"/>
      </w:pPr>
      <w:r>
        <w:rPr>
          <w:rFonts w:ascii="Aptos" w:hAnsi="Aptos" w:eastAsia="Aptos"/>
          <w:color w:val="24323D"/>
          <w:sz w:val="18"/>
        </w:rPr>
        <w:t>Comment estimer CMRO₂ avec une incertitude utile au niveau individuel ?</w:t>
      </w:r>
    </w:p>
    <w:p>
      <w:pPr>
        <w:pStyle w:val="ListBullet"/>
        <w:spacing w:after="50" w:line="247" w:lineRule="auto"/>
      </w:pPr>
      <w:r>
        <w:rPr>
          <w:rFonts w:ascii="Aptos" w:hAnsi="Aptos" w:eastAsia="Aptos"/>
          <w:color w:val="24323D"/>
          <w:sz w:val="18"/>
        </w:rPr>
        <w:t>Peut-on observer l'hétérogénéité capillaire sans confondre résolution et modèle ?</w:t>
      </w:r>
    </w:p>
    <w:p>
      <w:pPr>
        <w:pStyle w:val="ListBullet"/>
        <w:spacing w:after="50" w:line="247" w:lineRule="auto"/>
      </w:pPr>
      <w:r>
        <w:rPr>
          <w:rFonts w:ascii="Aptos" w:hAnsi="Aptos" w:eastAsia="Aptos"/>
          <w:color w:val="24323D"/>
          <w:sz w:val="18"/>
        </w:rPr>
        <w:t>Comment distinguer déficit neuronal et découplage vasculaire en fMRI ?</w:t>
      </w:r>
    </w:p>
    <w:p>
      <w:pPr>
        <w:pStyle w:val="ListBullet"/>
        <w:spacing w:after="50" w:line="247" w:lineRule="auto"/>
      </w:pPr>
      <w:r>
        <w:rPr>
          <w:rFonts w:ascii="Aptos" w:hAnsi="Aptos" w:eastAsia="Aptos"/>
          <w:color w:val="24323D"/>
          <w:sz w:val="18"/>
        </w:rPr>
        <w:t>Quels états systémiques doivent être minimaux dans toute étude de perfusion ?</w:t>
      </w:r>
    </w:p>
    <w:p>
      <w:pPr>
        <w:pStyle w:val="ListBullet"/>
        <w:spacing w:after="50" w:line="247" w:lineRule="auto"/>
      </w:pPr>
      <w:r>
        <w:rPr>
          <w:rFonts w:ascii="Aptos" w:hAnsi="Aptos" w:eastAsia="Aptos"/>
          <w:color w:val="24323D"/>
          <w:sz w:val="18"/>
        </w:rPr>
        <w:t>Quel core estimé reste stable entre logiciels et fenêtres ?</w:t>
      </w:r>
    </w:p>
    <w:p>
      <w:pPr>
        <w:pStyle w:val="ListBullet"/>
        <w:spacing w:after="50" w:line="247" w:lineRule="auto"/>
      </w:pPr>
      <w:r>
        <w:rPr>
          <w:rFonts w:ascii="Aptos" w:hAnsi="Aptos" w:eastAsia="Aptos"/>
          <w:color w:val="24323D"/>
          <w:sz w:val="18"/>
        </w:rPr>
        <w:t>Comment étudier les sujets exclus par les critères de mismatch sans biais circulaire ?</w:t>
      </w:r>
    </w:p>
    <w:p>
      <w:pPr>
        <w:pStyle w:val="ListBullet"/>
        <w:spacing w:after="50" w:line="247" w:lineRule="auto"/>
      </w:pPr>
      <w:r>
        <w:rPr>
          <w:rFonts w:ascii="Aptos" w:hAnsi="Aptos" w:eastAsia="Aptos"/>
          <w:color w:val="24323D"/>
          <w:sz w:val="18"/>
        </w:rPr>
        <w:t>Quels composites collatérales–perfusion–OEF apportent une valeur incrémentale ?</w:t>
      </w:r>
    </w:p>
    <w:p>
      <w:pPr>
        <w:pStyle w:val="ListBullet"/>
        <w:spacing w:after="50" w:line="247" w:lineRule="auto"/>
      </w:pPr>
      <w:r>
        <w:rPr>
          <w:rFonts w:ascii="Aptos" w:hAnsi="Aptos" w:eastAsia="Aptos"/>
          <w:color w:val="24323D"/>
          <w:sz w:val="18"/>
        </w:rPr>
        <w:t>Comment un Core Lab doit-il versionner une mise à jour en cours d'étude ?</w:t>
      </w:r>
    </w:p>
    <w:p>
      <w:pPr>
        <w:pStyle w:val="ListBullet"/>
        <w:spacing w:after="50" w:line="247" w:lineRule="auto"/>
      </w:pPr>
      <w:r>
        <w:rPr>
          <w:rFonts w:ascii="Aptos" w:hAnsi="Aptos" w:eastAsia="Aptos"/>
          <w:color w:val="24323D"/>
          <w:sz w:val="18"/>
        </w:rPr>
        <w:t>Quel changement minimal détectable convient à chaque application ?</w:t>
      </w:r>
    </w:p>
    <w:p>
      <w:pPr>
        <w:pStyle w:val="ListBullet"/>
        <w:spacing w:after="50" w:line="247" w:lineRule="auto"/>
      </w:pPr>
      <w:r>
        <w:rPr>
          <w:rFonts w:ascii="Aptos" w:hAnsi="Aptos" w:eastAsia="Aptos"/>
          <w:color w:val="24323D"/>
          <w:sz w:val="18"/>
        </w:rPr>
        <w:t>Quel contrat de non-régression protège les sous-groupes rares mais critiques ?</w:t>
      </w:r>
    </w:p>
    <w:p>
      <w:bookmarkStart w:id="124" w:name="part20"/>
      <w:pPr>
        <w:pStyle w:val="Heading1"/>
        <w:keepNext/>
        <w:keepLines/>
        <w:pageBreakBefore/>
      </w:pPr>
      <w:r>
        <w:t>PARTIE XX — LANGAGE, ÉVOLUTION ET CONCLUSION</w:t>
      </w:r>
      <w:bookmarkEnd w:id="124"/>
    </w:p>
    <w:p>
      <w:pPr>
        <w:spacing w:after="160"/>
      </w:pPr>
      <w:hyperlink w:anchor="TOC" w:history="1">
        <w:r>
          <w:rPr>
            <w:rStyle w:val="Hyperlink"/>
            <w:color w:val="667085"/>
          </w:rPr>
          <w:t>↑ Retour au sommaire</w:t>
        </w:r>
      </w:hyperlink>
    </w:p>
    <w:p>
      <w:bookmarkStart w:id="125" w:name="sec096"/>
      <w:pPr>
        <w:pStyle w:val="Heading2"/>
      </w:pPr>
      <w:r>
        <w:t>96. Glossaire contrôlé</w:t>
      </w:r>
      <w:bookmarkEnd w:id="125"/>
    </w:p>
    <w:p>
      <w:pPr>
        <w:pStyle w:val="Caption"/>
        <w:spacing w:before="120" w:after="60"/>
        <w:jc w:val="left"/>
        <w:keepNext/>
        <w:keepLines/>
      </w:pPr>
      <w:r>
        <w:rPr>
          <w:rFonts w:ascii="Aptos" w:hAnsi="Aptos" w:eastAsia="Aptos"/>
          <w:b/>
          <w:color w:val="667085"/>
          <w:sz w:val="16"/>
        </w:rPr>
        <w:t>Tableau 15 — Glossaire</w:t>
      </w:r>
    </w:p>
    <w:tbl>
      <w:tblPr>
        <w:tblStyle w:val="TableGrid"/>
        <w:tblW w:type="dxa" w:w="9836"/>
        <w:jc w:val="center"/>
        <w:tblLayout w:type="fixed"/>
        <w:tblLook w:firstColumn="1" w:firstRow="1" w:lastColumn="0" w:lastRow="0" w:noHBand="0" w:noVBand="1" w:val="04A0"/>
        <w:tblInd w:w="90" w:type="dxa"/>
      </w:tblPr>
      <w:tblGrid>
        <w:gridCol w:w="2186"/>
        <w:gridCol w:w="7650"/>
      </w:tblGrid>
      <w:tr>
        <w:trPr>
          <w:tblHeader w:val="true"/>
          <w:cantSplit/>
        </w:trPr>
        <w:tc>
          <w:tcPr>
            <w:tcW w:type="dxa" w:w="2186"/>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Terme</w:t>
            </w:r>
          </w:p>
        </w:tc>
        <w:tc>
          <w:tcPr>
            <w:tcW w:type="dxa" w:w="7650"/>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Définition opérationnelle</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AIF</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Courbe de concentration artérielle utilisée comme entrée d'un modèle.</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ASL</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Famille IRM utilisant l'eau artérielle marquée comme traceur endogène.</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ATT</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Temps estimé entre marquage et arrivée du label au territoire.</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BBB</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Interface cellulaire et moléculaire régulant les échanges sang–cerveau.</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CBF</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Débit sanguin délivré à une masse ou un volume de tissu par unité de temps.</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CBV</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Volume sanguin contenu dans une quantité de tissu selon le compartiment observé.</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CMRO₂</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Consommation cérébrale d'oxygène par unité de tissu et de temps.</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Core estimé</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Classe d'imagerie représentant un tissu sévèrement atteint dans un contrat donné.</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CVR</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Réponse vasculaire à un stimulus vasoactif défini.</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Delay</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Décalage temporel relativement à une entrée ou référence.</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DRO</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Objet numérique de référence avec paramètres générateurs connus.</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Ktrans</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Coefficient de transfert entre plasma et espace extravasculaire selon un modèle.</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MTT</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Moyenne de la distribution de transit définie par le modèle.</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NVC</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Réponse vasculaire locale à l'activité neuronale.</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OEF</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Fraction de l'oxygène artériel extraite par le tissu.</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Pénombre estimée</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Tissu à risque déduit d'un mismatch opérationnel et temporel.</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Résidu</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Fraction idéale de traceur restant dans le tissu après entrée impulsionnelle.</w:t>
            </w:r>
          </w:p>
        </w:tc>
      </w:tr>
      <w:tr>
        <w:trPr>
          <w:cantSplit/>
        </w:trPr>
        <w:tc>
          <w:tcPr>
            <w:tcW w:type="dxa" w:w="2186"/>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Tmax</w:t>
            </w:r>
          </w:p>
        </w:tc>
        <w:tc>
          <w:tcPr>
            <w:tcW w:type="dxa" w:w="7650"/>
            <w:vAlign w:val="top"/>
            <w:tcMar>
              <w:top w:w="70" w:type="dxa"/>
              <w:start w:w="90" w:type="dxa"/>
              <w:bottom w:w="70" w:type="dxa"/>
              <w:end w:w="90" w:type="dxa"/>
            </w:tcMar>
            <w:shd w:fill="F7FAFB"/>
          </w:tcPr>
          <w:p>
            <w:pPr>
              <w:spacing w:after="0" w:line="240" w:lineRule="auto"/>
            </w:pPr>
            <w:r>
              <w:rPr>
                <w:rFonts w:ascii="Aptos" w:hAnsi="Aptos" w:eastAsia="Aptos"/>
                <w:color w:val="24323D"/>
                <w:sz w:val="14"/>
              </w:rPr>
              <w:t>Temps du maximum du résidu déconvolué.</w:t>
            </w:r>
          </w:p>
        </w:tc>
      </w:tr>
      <w:tr>
        <w:trPr>
          <w:cantSplit/>
        </w:trPr>
        <w:tc>
          <w:tcPr>
            <w:tcW w:type="dxa" w:w="2186"/>
            <w:vAlign w:val="top"/>
            <w:tcMar>
              <w:top w:w="70" w:type="dxa"/>
              <w:start w:w="90" w:type="dxa"/>
              <w:bottom w:w="70" w:type="dxa"/>
              <w:end w:w="90" w:type="dxa"/>
            </w:tcMar>
          </w:tcPr>
          <w:p>
            <w:pPr>
              <w:spacing w:after="0" w:line="240" w:lineRule="auto"/>
            </w:pPr>
            <w:r>
              <w:rPr>
                <w:rFonts w:ascii="Aptos" w:hAnsi="Aptos" w:eastAsia="Aptos"/>
                <w:color w:val="24323D"/>
                <w:sz w:val="14"/>
              </w:rPr>
              <w:t>TTP</w:t>
            </w:r>
          </w:p>
        </w:tc>
        <w:tc>
          <w:tcPr>
            <w:tcW w:type="dxa" w:w="7650"/>
            <w:vAlign w:val="top"/>
            <w:tcMar>
              <w:top w:w="70" w:type="dxa"/>
              <w:start w:w="90" w:type="dxa"/>
              <w:bottom w:w="70" w:type="dxa"/>
              <w:end w:w="90" w:type="dxa"/>
            </w:tcMar>
          </w:tcPr>
          <w:p>
            <w:pPr>
              <w:spacing w:after="0" w:line="240" w:lineRule="auto"/>
            </w:pPr>
            <w:r>
              <w:rPr>
                <w:rFonts w:ascii="Aptos" w:hAnsi="Aptos" w:eastAsia="Aptos"/>
                <w:color w:val="24323D"/>
                <w:sz w:val="14"/>
              </w:rPr>
              <w:t>Temps du maximum de la courbe tissulaire ou du signal transformé.</w:t>
            </w:r>
          </w:p>
        </w:tc>
      </w:tr>
    </w:tbl>
    <w:p>
      <w:bookmarkStart w:id="126" w:name="sec097"/>
      <w:pPr>
        <w:pStyle w:val="Heading2"/>
      </w:pPr>
      <w:r>
        <w:t>97. Formulations autorisées et prohibées</w:t>
      </w:r>
      <w:bookmarkEnd w:id="126"/>
    </w:p>
    <w:p>
      <w:pPr>
        <w:pStyle w:val="Caption"/>
        <w:spacing w:before="120" w:after="60"/>
        <w:jc w:val="left"/>
        <w:keepNext/>
        <w:keepLines/>
      </w:pPr>
      <w:r>
        <w:rPr>
          <w:rFonts w:ascii="Aptos" w:hAnsi="Aptos" w:eastAsia="Aptos"/>
          <w:b/>
          <w:color w:val="667085"/>
          <w:sz w:val="16"/>
        </w:rPr>
        <w:t>Tableau 16 — Langage normatif</w:t>
      </w:r>
    </w:p>
    <w:tbl>
      <w:tblPr>
        <w:tblStyle w:val="TableGrid"/>
        <w:tblW w:type="dxa" w:w="9836"/>
        <w:jc w:val="center"/>
        <w:tblLayout w:type="fixed"/>
        <w:tblLook w:firstColumn="1" w:firstRow="1" w:lastColumn="0" w:lastRow="0" w:noHBand="0" w:noVBand="1" w:val="04A0"/>
        <w:tblInd w:w="90" w:type="dxa"/>
      </w:tblPr>
      <w:tblGrid>
        <w:gridCol w:w="4918"/>
        <w:gridCol w:w="4918"/>
      </w:tblGrid>
      <w:tr>
        <w:trPr>
          <w:tblHeader w:val="true"/>
          <w:cantSplit/>
        </w:trPr>
        <w:tc>
          <w:tcPr>
            <w:tcW w:type="dxa" w:w="4918"/>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Autorisé</w:t>
            </w:r>
          </w:p>
        </w:tc>
        <w:tc>
          <w:tcPr>
            <w:tcW w:type="dxa" w:w="4918"/>
            <w:vAlign w:val="center"/>
            <w:shd w:fill="12344D"/>
            <w:tcMar>
              <w:top w:w="70" w:type="dxa"/>
              <w:start w:w="90" w:type="dxa"/>
              <w:bottom w:w="70" w:type="dxa"/>
              <w:end w:w="90" w:type="dxa"/>
            </w:tcMar>
          </w:tcPr>
          <w:p>
            <w:pPr>
              <w:spacing w:after="0" w:line="240" w:lineRule="auto"/>
            </w:pPr>
            <w:r>
              <w:rPr>
                <w:rFonts w:ascii="Aptos" w:hAnsi="Aptos" w:eastAsia="Aptos"/>
                <w:b/>
                <w:color w:val="FFFFFF"/>
                <w:sz w:val="15"/>
              </w:rPr>
              <w:t>Prohibé sans preuve additionnelle</w:t>
            </w:r>
          </w:p>
        </w:tc>
      </w:tr>
      <w:tr>
        <w:trPr>
          <w:cantSplit/>
        </w:trPr>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CBF estimé par telle chaîne »</w:t>
            </w:r>
          </w:p>
        </w:tc>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débit vrai »</w:t>
            </w:r>
          </w:p>
        </w:tc>
      </w:tr>
      <w:tr>
        <w:trPr>
          <w:cantSplit/>
        </w:trPr>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retard Tmax selon cette déconvolution »</w:t>
            </w:r>
          </w:p>
        </w:tc>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temps de transit Tmax »</w:t>
            </w:r>
          </w:p>
        </w:tc>
      </w:tr>
      <w:tr>
        <w:trPr>
          <w:cantSplit/>
        </w:trPr>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core estimé dans ce contrat »</w:t>
            </w:r>
          </w:p>
        </w:tc>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tissu irréversible »</w:t>
            </w:r>
          </w:p>
        </w:tc>
      </w:tr>
      <w:tr>
        <w:trPr>
          <w:cantSplit/>
        </w:trPr>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transfert Ktrans selon modèle »</w:t>
            </w:r>
          </w:p>
        </w:tc>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perméabilité pure »</w:t>
            </w:r>
          </w:p>
        </w:tc>
      </w:tr>
      <w:tr>
        <w:trPr>
          <w:cantSplit/>
        </w:trPr>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OEF estimée par telle méthode »</w:t>
            </w:r>
          </w:p>
        </w:tc>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métabolisme mesuré »</w:t>
            </w:r>
          </w:p>
        </w:tc>
      </w:tr>
      <w:tr>
        <w:trPr>
          <w:cantSplit/>
        </w:trPr>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mesure non évaluable »</w:t>
            </w:r>
          </w:p>
        </w:tc>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absence de perfusion »</w:t>
            </w:r>
          </w:p>
        </w:tc>
      </w:tr>
      <w:tr>
        <w:trPr>
          <w:cantSplit/>
        </w:trPr>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bonne répétabilité intra-chaîne »</w:t>
            </w:r>
          </w:p>
        </w:tc>
        <w:tc>
          <w:tcPr>
            <w:tcW w:type="dxa" w:w="4918"/>
            <w:vAlign w:val="top"/>
            <w:tcMar>
              <w:top w:w="70" w:type="dxa"/>
              <w:start w:w="90" w:type="dxa"/>
              <w:bottom w:w="70" w:type="dxa"/>
              <w:end w:w="90" w:type="dxa"/>
            </w:tcMar>
          </w:tcPr>
          <w:p>
            <w:pPr>
              <w:spacing w:after="0" w:line="240" w:lineRule="auto"/>
            </w:pPr>
            <w:r>
              <w:rPr>
                <w:rFonts w:ascii="Aptos" w:hAnsi="Aptos" w:eastAsia="Aptos"/>
                <w:color w:val="24323D"/>
                <w:sz w:val="14"/>
              </w:rPr>
              <w:t>« reproductible partout »</w:t>
            </w:r>
          </w:p>
        </w:tc>
      </w:tr>
      <w:tr>
        <w:trPr>
          <w:cantSplit/>
        </w:trPr>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association observée »</w:t>
            </w:r>
          </w:p>
        </w:tc>
        <w:tc>
          <w:tcPr>
            <w:tcW w:type="dxa" w:w="4918"/>
            <w:vAlign w:val="top"/>
            <w:tcMar>
              <w:top w:w="70" w:type="dxa"/>
              <w:start w:w="90" w:type="dxa"/>
              <w:bottom w:w="70" w:type="dxa"/>
              <w:end w:w="90" w:type="dxa"/>
            </w:tcMar>
            <w:shd w:fill="F7FAFB"/>
          </w:tcPr>
          <w:p>
            <w:pPr>
              <w:spacing w:after="0" w:line="240" w:lineRule="auto"/>
            </w:pPr>
            <w:r>
              <w:rPr>
                <w:rFonts w:ascii="Aptos" w:hAnsi="Aptos" w:eastAsia="Aptos"/>
                <w:color w:val="24323D"/>
                <w:sz w:val="14"/>
              </w:rPr>
              <w:t>« mécanisme causal prouvé »</w:t>
            </w:r>
          </w:p>
        </w:tc>
      </w:tr>
    </w:tbl>
    <w:p>
      <w:bookmarkStart w:id="127" w:name="sec098"/>
      <w:pPr>
        <w:pStyle w:val="Heading2"/>
      </w:pPr>
      <w:r>
        <w:t>98. Cycle de vie</w:t>
      </w:r>
      <w:bookmarkEnd w:id="127"/>
    </w:p>
    <w:p>
      <w:pPr>
        <w:widowControl/>
        <w:spacing w:after="100" w:line="259" w:lineRule="auto"/>
      </w:pPr>
      <w:r>
        <w:rPr>
          <w:rFonts w:ascii="Aptos" w:hAnsi="Aptos" w:eastAsia="Aptos"/>
          <w:color w:val="24323D"/>
          <w:sz w:val="18"/>
        </w:rPr>
        <w:t>RB-005 version 1.0 est la source scientifique de référence au 3 août 2026. Une révision mineure peut corriger une référence ou clarifier un passage sans modifier construits, décisions ou refus. Une révision majeure est requise si le périmètre, un construit, un statut de preuve, une décision NPM-D ou une condition NPM-RF change.</w:t>
      </w:r>
    </w:p>
    <w:p>
      <w:pPr>
        <w:widowControl/>
        <w:spacing w:after="100" w:line="259" w:lineRule="auto"/>
      </w:pPr>
      <w:r>
        <w:rPr>
          <w:rFonts w:ascii="Aptos" w:hAnsi="Aptos" w:eastAsia="Aptos"/>
          <w:color w:val="24323D"/>
          <w:sz w:val="18"/>
        </w:rPr>
        <w:t>Toute évolution conserve le motif, la date de connaissance, les sources ajoutées ou retirées, les contradictions, les identifiants, la validation DOCX, la régénération PDF, l'accessibilité et la trace de registre. L'ancienne version reste historique.</w:t>
      </w:r>
    </w:p>
    <w:p>
      <w:bookmarkStart w:id="128" w:name="sec099"/>
      <w:pPr>
        <w:pStyle w:val="Heading2"/>
      </w:pPr>
      <w:r>
        <w:t>99. Conclusion</w:t>
      </w:r>
      <w:bookmarkEnd w:id="128"/>
    </w:p>
    <w:p>
      <w:pPr>
        <w:widowControl/>
        <w:spacing w:after="100" w:line="259" w:lineRule="auto"/>
      </w:pPr>
      <w:r>
        <w:rPr>
          <w:rFonts w:ascii="Aptos" w:hAnsi="Aptos" w:eastAsia="Aptos"/>
          <w:color w:val="24323D"/>
          <w:sz w:val="18"/>
        </w:rPr>
        <w:t>La neuro-perfusion n'est pas une carte unique. Elle est une chaîne qui relie pression, transport, délai, débit, volume, microcirculation, extraction, métabolisme, barrière et contexte physiologique. Chaque modalité observe une projection de cette chaîne.</w:t>
      </w:r>
    </w:p>
    <w:p>
      <w:pPr>
        <w:widowControl/>
        <w:spacing w:after="100" w:line="259" w:lineRule="auto"/>
      </w:pPr>
      <w:r>
        <w:rPr>
          <w:rFonts w:ascii="Aptos" w:hAnsi="Aptos" w:eastAsia="Aptos"/>
          <w:color w:val="24323D"/>
          <w:sz w:val="18"/>
        </w:rPr>
        <w:t>La règle officielle de RB-005 est donc : définir le construit avant la carte ; distinguer arrivée, transit et débit ; séparer perfusion, oxygénation, métabolisme et perméabilité ; mesurer la qualité avant d'interpréter la valeur ; conserver les contradictions ; refuser ce qui n'est pas identifiable ; et ne transformer aucune preuve scientifique en protocole ou recommandation.</w:t>
      </w:r>
    </w:p>
    <w:p>
      <w:bookmarkStart w:id="129" w:name="part21"/>
      <w:pPr>
        <w:pStyle w:val="Heading1"/>
        <w:keepNext/>
        <w:keepLines/>
        <w:pageBreakBefore/>
      </w:pPr>
      <w:r>
        <w:t>PARTIE XXI — RÉFÉRENCES SCIENTIFIQUES</w:t>
      </w:r>
      <w:bookmarkEnd w:id="129"/>
    </w:p>
    <w:p>
      <w:pPr>
        <w:spacing w:after="160"/>
      </w:pPr>
      <w:hyperlink w:anchor="TOC" w:history="1">
        <w:r>
          <w:rPr>
            <w:rStyle w:val="Hyperlink"/>
            <w:color w:val="667085"/>
          </w:rPr>
          <w:t>↑ Retour au sommaire</w:t>
        </w:r>
      </w:hyperlink>
    </w:p>
    <w:p>
      <w:bookmarkStart w:id="130" w:name="sec100"/>
      <w:pPr>
        <w:pStyle w:val="Heading2"/>
      </w:pPr>
      <w:r>
        <w:t>100. Politique de traçabilité et références R01–R65</w:t>
      </w:r>
      <w:bookmarkEnd w:id="130"/>
    </w:p>
    <w:p>
      <w:pPr>
        <w:widowControl/>
        <w:spacing w:after="100" w:line="259" w:lineRule="auto"/>
      </w:pPr>
      <w:r>
        <w:rPr>
          <w:rFonts w:ascii="Aptos" w:hAnsi="Aptos" w:eastAsia="Aptos"/>
          <w:color w:val="24323D"/>
          <w:sz w:val="18"/>
        </w:rPr>
        <w:t>Les métadonnées ci-dessous ont été vérifiées dans PubMed/PMC le 3 août 2026. Un identifiant absent est indiqué explicitement ; aucun DOI, PMID ou PMCID n'est inféré. Les catégories « Type », « Usage » et « Limite » décrivent le rôle de la source dans RB-005, non une évaluation clinique individuelle.</w:t>
      </w:r>
    </w:p>
    <w:p>
      <w:pPr>
        <w:pStyle w:val="Reference"/>
        <w:keepLines/>
        <w:spacing w:after="90" w:line="240" w:lineRule="auto"/>
      </w:pPr>
      <w:r>
        <w:rPr>
          <w:rFonts w:ascii="Aptos" w:hAnsi="Aptos" w:eastAsia="Aptos"/>
          <w:color w:val="24323D"/>
          <w:sz w:val="15"/>
        </w:rPr>
        <w:t xml:space="preserve">[R01] Ostergaard L. High resolution measurement of cerebral blood flow using intravascular tracer bolus passages. Part I: Mathematical approach and statistical analysis. Magn Reson Med. 1996;36(5):715-25. </w:t>
      </w:r>
      <w:r>
        <w:rPr>
          <w:rFonts w:ascii="Aptos" w:hAnsi="Aptos" w:eastAsia="Aptos"/>
          <w:b/>
          <w:color w:val="24323D"/>
          <w:sz w:val="15"/>
        </w:rPr>
        <w:t xml:space="preserve">DOI : </w:t>
      </w:r>
      <w:hyperlink r:id="rId9">
        <w:r>
          <w:rPr>
            <w:rStyle w:val="Hyperlink"/>
          </w:rPr>
          <w:t>10.1002/mrm.1910360510</w:t>
        </w:r>
      </w:hyperlink>
      <w:r>
        <w:rPr>
          <w:rFonts w:ascii="Aptos" w:hAnsi="Aptos" w:eastAsia="Aptos"/>
          <w:color w:val="24323D"/>
          <w:sz w:val="15"/>
        </w:rPr>
        <w:t xml:space="preserve">. </w:t>
      </w:r>
      <w:r>
        <w:rPr>
          <w:rFonts w:ascii="Aptos" w:hAnsi="Aptos" w:eastAsia="Aptos"/>
          <w:color w:val="24323D"/>
          <w:sz w:val="15"/>
        </w:rPr>
        <w:t xml:space="preserve">PMID : 8916022.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article méthodologique fondateur. Usage : déconvolution et principe de dilution. Limite : modèle et moyens historiques. </w:t>
      </w:r>
      <w:hyperlink r:id="rId10">
        <w:r>
          <w:rPr>
            <w:rStyle w:val="Hyperlink"/>
          </w:rPr>
          <w:t>Notice PubMed 8916022</w:t>
        </w:r>
      </w:hyperlink>
    </w:p>
    <w:p>
      <w:pPr>
        <w:pStyle w:val="Reference"/>
        <w:keepLines/>
        <w:spacing w:after="90" w:line="240" w:lineRule="auto"/>
      </w:pPr>
      <w:r>
        <w:rPr>
          <w:rFonts w:ascii="Aptos" w:hAnsi="Aptos" w:eastAsia="Aptos"/>
          <w:color w:val="24323D"/>
          <w:sz w:val="15"/>
        </w:rPr>
        <w:t xml:space="preserve">[R02] Ostergaard L. High resolution measurement of cerebral blood flow using intravascular tracer bolus passages. Part II: Experimental comparison and preliminary results. Magn Reson Med. 1996;36(5):726-36. </w:t>
      </w:r>
      <w:r>
        <w:rPr>
          <w:rFonts w:ascii="Aptos" w:hAnsi="Aptos" w:eastAsia="Aptos"/>
          <w:b/>
          <w:color w:val="24323D"/>
          <w:sz w:val="15"/>
        </w:rPr>
        <w:t xml:space="preserve">DOI : </w:t>
      </w:r>
      <w:hyperlink r:id="rId11">
        <w:r>
          <w:rPr>
            <w:rStyle w:val="Hyperlink"/>
          </w:rPr>
          <w:t>10.1002/mrm.1910360511</w:t>
        </w:r>
      </w:hyperlink>
      <w:r>
        <w:rPr>
          <w:rFonts w:ascii="Aptos" w:hAnsi="Aptos" w:eastAsia="Aptos"/>
          <w:color w:val="24323D"/>
          <w:sz w:val="15"/>
        </w:rPr>
        <w:t xml:space="preserve">. </w:t>
      </w:r>
      <w:r>
        <w:rPr>
          <w:rFonts w:ascii="Aptos" w:hAnsi="Aptos" w:eastAsia="Aptos"/>
          <w:color w:val="24323D"/>
          <w:sz w:val="15"/>
        </w:rPr>
        <w:t xml:space="preserve">PMID : 8916023.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validation expérimentale fondatrice. Usage : CBF DSC et comparaison de méthodes. Limite : petite série et technologie historique. </w:t>
      </w:r>
      <w:hyperlink r:id="rId12">
        <w:r>
          <w:rPr>
            <w:rStyle w:val="Hyperlink"/>
          </w:rPr>
          <w:t>Notice PubMed 8916023</w:t>
        </w:r>
      </w:hyperlink>
    </w:p>
    <w:p>
      <w:pPr>
        <w:pStyle w:val="Reference"/>
        <w:keepLines/>
        <w:spacing w:after="90" w:line="240" w:lineRule="auto"/>
      </w:pPr>
      <w:r>
        <w:rPr>
          <w:rFonts w:ascii="Aptos" w:hAnsi="Aptos" w:eastAsia="Aptos"/>
          <w:color w:val="24323D"/>
          <w:sz w:val="15"/>
        </w:rPr>
        <w:t xml:space="preserve">[R03] Calamante F. The physiological significance of the time-to-maximum (Tmax) parameter in perfusion MRI. Stroke. 2010;41(6):1169-74. </w:t>
      </w:r>
      <w:r>
        <w:rPr>
          <w:rFonts w:ascii="Aptos" w:hAnsi="Aptos" w:eastAsia="Aptos"/>
          <w:b/>
          <w:color w:val="24323D"/>
          <w:sz w:val="15"/>
        </w:rPr>
        <w:t xml:space="preserve">DOI : </w:t>
      </w:r>
      <w:hyperlink r:id="rId13">
        <w:r>
          <w:rPr>
            <w:rStyle w:val="Hyperlink"/>
          </w:rPr>
          <w:t>10.1161/STROKEAHA.110.580670</w:t>
        </w:r>
      </w:hyperlink>
      <w:r>
        <w:rPr>
          <w:rFonts w:ascii="Aptos" w:hAnsi="Aptos" w:eastAsia="Aptos"/>
          <w:color w:val="24323D"/>
          <w:sz w:val="15"/>
        </w:rPr>
        <w:t xml:space="preserve">. </w:t>
      </w:r>
      <w:r>
        <w:rPr>
          <w:rFonts w:ascii="Aptos" w:hAnsi="Aptos" w:eastAsia="Aptos"/>
          <w:color w:val="24323D"/>
          <w:sz w:val="15"/>
        </w:rPr>
        <w:t xml:space="preserve">PMID : 20413735.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simulation et analyse physiologique. Usage : signification de Tmax. Limite : dépendance au protocole et à l'interpolation. </w:t>
      </w:r>
      <w:hyperlink r:id="rId14">
        <w:r>
          <w:rPr>
            <w:rStyle w:val="Hyperlink"/>
          </w:rPr>
          <w:t>Notice PubMed 20413735</w:t>
        </w:r>
      </w:hyperlink>
    </w:p>
    <w:p>
      <w:pPr>
        <w:pStyle w:val="Reference"/>
        <w:keepLines/>
        <w:spacing w:after="90" w:line="240" w:lineRule="auto"/>
      </w:pPr>
      <w:r>
        <w:rPr>
          <w:rFonts w:ascii="Aptos" w:hAnsi="Aptos" w:eastAsia="Aptos"/>
          <w:color w:val="24323D"/>
          <w:sz w:val="15"/>
        </w:rPr>
        <w:t xml:space="preserve">[R04] Kudo K. Accuracy and reliability assessment of CT and MR perfusion analysis software using a digital phantom. Radiology. 2013;267(1):201-11. </w:t>
      </w:r>
      <w:r>
        <w:rPr>
          <w:rFonts w:ascii="Aptos" w:hAnsi="Aptos" w:eastAsia="Aptos"/>
          <w:b/>
          <w:color w:val="24323D"/>
          <w:sz w:val="15"/>
        </w:rPr>
        <w:t xml:space="preserve">DOI : </w:t>
      </w:r>
      <w:hyperlink r:id="rId15">
        <w:r>
          <w:rPr>
            <w:rStyle w:val="Hyperlink"/>
          </w:rPr>
          <w:t>10.1148/radiol.12112618</w:t>
        </w:r>
      </w:hyperlink>
      <w:r>
        <w:rPr>
          <w:rFonts w:ascii="Aptos" w:hAnsi="Aptos" w:eastAsia="Aptos"/>
          <w:color w:val="24323D"/>
          <w:sz w:val="15"/>
        </w:rPr>
        <w:t xml:space="preserve">. </w:t>
      </w:r>
      <w:r>
        <w:rPr>
          <w:rFonts w:ascii="Aptos" w:hAnsi="Aptos" w:eastAsia="Aptos"/>
          <w:color w:val="24323D"/>
          <w:sz w:val="15"/>
        </w:rPr>
        <w:t xml:space="preserve">PMID : 23220899. </w:t>
      </w:r>
      <w:r>
        <w:rPr>
          <w:rFonts w:ascii="Aptos" w:hAnsi="Aptos" w:eastAsia="Aptos"/>
          <w:color w:val="24323D"/>
          <w:sz w:val="15"/>
        </w:rPr>
        <w:t xml:space="preserve">PMCID : PMC3606546. </w:t>
      </w:r>
      <w:r>
        <w:rPr>
          <w:rFonts w:ascii="Aptos" w:hAnsi="Aptos" w:eastAsia="Aptos"/>
          <w:color w:val="24323D"/>
          <w:sz w:val="15"/>
        </w:rPr>
        <w:t xml:space="preserve">Type : digital phantom multicritère. Usage : exactitude des logiciels CT/MR. Limite : vérité simulée, non physiologie complète. </w:t>
      </w:r>
      <w:hyperlink r:id="rId16">
        <w:r>
          <w:rPr>
            <w:rStyle w:val="Hyperlink"/>
          </w:rPr>
          <w:t>Notice PubMed 23220899</w:t>
        </w:r>
      </w:hyperlink>
    </w:p>
    <w:p>
      <w:pPr>
        <w:pStyle w:val="Reference"/>
        <w:keepLines/>
        <w:spacing w:after="90" w:line="240" w:lineRule="auto"/>
      </w:pPr>
      <w:r>
        <w:rPr>
          <w:rFonts w:ascii="Aptos" w:hAnsi="Aptos" w:eastAsia="Aptos"/>
          <w:color w:val="24323D"/>
          <w:sz w:val="15"/>
        </w:rPr>
        <w:t xml:space="preserve">[R05] Zussman BM. The relative effect of vendor variability in CT perfusion results: a method comparison study. AJR Am J Roentgenol. 2011;197(2):468-73. </w:t>
      </w:r>
      <w:r>
        <w:rPr>
          <w:rFonts w:ascii="Aptos" w:hAnsi="Aptos" w:eastAsia="Aptos"/>
          <w:b/>
          <w:color w:val="24323D"/>
          <w:sz w:val="15"/>
        </w:rPr>
        <w:t xml:space="preserve">DOI : </w:t>
      </w:r>
      <w:hyperlink r:id="rId17">
        <w:r>
          <w:rPr>
            <w:rStyle w:val="Hyperlink"/>
          </w:rPr>
          <w:t>10.2214/AJR.10.6058</w:t>
        </w:r>
      </w:hyperlink>
      <w:r>
        <w:rPr>
          <w:rFonts w:ascii="Aptos" w:hAnsi="Aptos" w:eastAsia="Aptos"/>
          <w:color w:val="24323D"/>
          <w:sz w:val="15"/>
        </w:rPr>
        <w:t xml:space="preserve">. </w:t>
      </w:r>
      <w:r>
        <w:rPr>
          <w:rFonts w:ascii="Aptos" w:hAnsi="Aptos" w:eastAsia="Aptos"/>
          <w:color w:val="24323D"/>
          <w:sz w:val="15"/>
        </w:rPr>
        <w:t xml:space="preserve">PMID : 21785096.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comparaison de méthodes. Usage : variabilité interlogicielle CTP. Limite : petit échantillon et versions datées. </w:t>
      </w:r>
      <w:hyperlink r:id="rId18">
        <w:r>
          <w:rPr>
            <w:rStyle w:val="Hyperlink"/>
          </w:rPr>
          <w:t>Notice PubMed 21785096</w:t>
        </w:r>
      </w:hyperlink>
    </w:p>
    <w:p>
      <w:pPr>
        <w:pStyle w:val="Reference"/>
        <w:keepLines/>
        <w:spacing w:after="90" w:line="240" w:lineRule="auto"/>
      </w:pPr>
      <w:r>
        <w:rPr>
          <w:rFonts w:ascii="Aptos" w:hAnsi="Aptos" w:eastAsia="Aptos"/>
          <w:color w:val="24323D"/>
          <w:sz w:val="15"/>
        </w:rPr>
        <w:t xml:space="preserve">[R06] Peerlings D. Standardizing the estimation of ischemic regions can harmonize CT perfusion stroke imaging. Eur Radiol. 2024;34(2):797-807. </w:t>
      </w:r>
      <w:r>
        <w:rPr>
          <w:rFonts w:ascii="Aptos" w:hAnsi="Aptos" w:eastAsia="Aptos"/>
          <w:b/>
          <w:color w:val="24323D"/>
          <w:sz w:val="15"/>
        </w:rPr>
        <w:t xml:space="preserve">DOI : </w:t>
      </w:r>
      <w:hyperlink r:id="rId19">
        <w:r>
          <w:rPr>
            <w:rStyle w:val="Hyperlink"/>
          </w:rPr>
          <w:t>10.1007/s00330-023-10035-1</w:t>
        </w:r>
      </w:hyperlink>
      <w:r>
        <w:rPr>
          <w:rFonts w:ascii="Aptos" w:hAnsi="Aptos" w:eastAsia="Aptos"/>
          <w:color w:val="24323D"/>
          <w:sz w:val="15"/>
        </w:rPr>
        <w:t xml:space="preserve">. </w:t>
      </w:r>
      <w:r>
        <w:rPr>
          <w:rFonts w:ascii="Aptos" w:hAnsi="Aptos" w:eastAsia="Aptos"/>
          <w:color w:val="24323D"/>
          <w:sz w:val="15"/>
        </w:rPr>
        <w:t xml:space="preserve">PMID : 37572189. </w:t>
      </w:r>
      <w:r>
        <w:rPr>
          <w:rFonts w:ascii="Aptos" w:hAnsi="Aptos" w:eastAsia="Aptos"/>
          <w:color w:val="24323D"/>
          <w:sz w:val="15"/>
        </w:rPr>
        <w:t xml:space="preserve">PMCID : PMC10853359. </w:t>
      </w:r>
      <w:r>
        <w:rPr>
          <w:rFonts w:ascii="Aptos" w:hAnsi="Aptos" w:eastAsia="Aptos"/>
          <w:color w:val="24323D"/>
          <w:sz w:val="15"/>
        </w:rPr>
        <w:t xml:space="preserve">Type : phantom multicentrique. Usage : harmonisation des volumes CTP. Limite : trois logiciels et contexte national. </w:t>
      </w:r>
      <w:hyperlink r:id="rId20">
        <w:r>
          <w:rPr>
            <w:rStyle w:val="Hyperlink"/>
          </w:rPr>
          <w:t>Notice PubMed 37572189</w:t>
        </w:r>
      </w:hyperlink>
    </w:p>
    <w:p>
      <w:pPr>
        <w:pStyle w:val="Reference"/>
        <w:keepLines/>
        <w:spacing w:after="90" w:line="240" w:lineRule="auto"/>
      </w:pPr>
      <w:r>
        <w:rPr>
          <w:rFonts w:ascii="Aptos" w:hAnsi="Aptos" w:eastAsia="Aptos"/>
          <w:color w:val="24323D"/>
          <w:sz w:val="15"/>
        </w:rPr>
        <w:t xml:space="preserve">[R07] Claassen JAHR. Regulation of cerebral blood flow in humans: physiology and clinical implications of autoregulation. Physiol Rev. 2021;101(4):1487-1559. </w:t>
      </w:r>
      <w:r>
        <w:rPr>
          <w:rFonts w:ascii="Aptos" w:hAnsi="Aptos" w:eastAsia="Aptos"/>
          <w:b/>
          <w:color w:val="24323D"/>
          <w:sz w:val="15"/>
        </w:rPr>
        <w:t xml:space="preserve">DOI : </w:t>
      </w:r>
      <w:hyperlink r:id="rId21">
        <w:r>
          <w:rPr>
            <w:rStyle w:val="Hyperlink"/>
          </w:rPr>
          <w:t>10.1152/physrev.00022.2020</w:t>
        </w:r>
      </w:hyperlink>
      <w:r>
        <w:rPr>
          <w:rFonts w:ascii="Aptos" w:hAnsi="Aptos" w:eastAsia="Aptos"/>
          <w:color w:val="24323D"/>
          <w:sz w:val="15"/>
        </w:rPr>
        <w:t xml:space="preserve">. </w:t>
      </w:r>
      <w:r>
        <w:rPr>
          <w:rFonts w:ascii="Aptos" w:hAnsi="Aptos" w:eastAsia="Aptos"/>
          <w:color w:val="24323D"/>
          <w:sz w:val="15"/>
        </w:rPr>
        <w:t xml:space="preserve">PMID : 33769101. </w:t>
      </w:r>
      <w:r>
        <w:rPr>
          <w:rFonts w:ascii="Aptos" w:hAnsi="Aptos" w:eastAsia="Aptos"/>
          <w:color w:val="24323D"/>
          <w:sz w:val="15"/>
        </w:rPr>
        <w:t xml:space="preserve">PMCID : PMC8576366. </w:t>
      </w:r>
      <w:r>
        <w:rPr>
          <w:rFonts w:ascii="Aptos" w:hAnsi="Aptos" w:eastAsia="Aptos"/>
          <w:color w:val="24323D"/>
          <w:sz w:val="15"/>
        </w:rPr>
        <w:t xml:space="preserve">Type : revue physiologique de référence. Usage : autorégulation et régulation du CBF. Limite : synthèse, non benchmark de biomarqueur. </w:t>
      </w:r>
      <w:hyperlink r:id="rId22">
        <w:r>
          <w:rPr>
            <w:rStyle w:val="Hyperlink"/>
          </w:rPr>
          <w:t>Notice PubMed 33769101</w:t>
        </w:r>
      </w:hyperlink>
    </w:p>
    <w:p>
      <w:pPr>
        <w:pStyle w:val="Reference"/>
        <w:keepLines/>
        <w:spacing w:after="90" w:line="240" w:lineRule="auto"/>
      </w:pPr>
      <w:r>
        <w:rPr>
          <w:rFonts w:ascii="Aptos" w:hAnsi="Aptos" w:eastAsia="Aptos"/>
          <w:color w:val="24323D"/>
          <w:sz w:val="15"/>
        </w:rPr>
        <w:t xml:space="preserve">[R08] Panerai RB. Transfer function analysis of dynamic cerebral autoregulation: A CARNet white paper 2022 update. J Cereb Blood Flow Metab. 2023;43(1):3-25. </w:t>
      </w:r>
      <w:r>
        <w:rPr>
          <w:rFonts w:ascii="Aptos" w:hAnsi="Aptos" w:eastAsia="Aptos"/>
          <w:b/>
          <w:color w:val="24323D"/>
          <w:sz w:val="15"/>
        </w:rPr>
        <w:t xml:space="preserve">DOI : </w:t>
      </w:r>
      <w:hyperlink r:id="rId23">
        <w:r>
          <w:rPr>
            <w:rStyle w:val="Hyperlink"/>
          </w:rPr>
          <w:t>10.1177/0271678X221119760</w:t>
        </w:r>
      </w:hyperlink>
      <w:r>
        <w:rPr>
          <w:rFonts w:ascii="Aptos" w:hAnsi="Aptos" w:eastAsia="Aptos"/>
          <w:color w:val="24323D"/>
          <w:sz w:val="15"/>
        </w:rPr>
        <w:t xml:space="preserve">. </w:t>
      </w:r>
      <w:r>
        <w:rPr>
          <w:rFonts w:ascii="Aptos" w:hAnsi="Aptos" w:eastAsia="Aptos"/>
          <w:color w:val="24323D"/>
          <w:sz w:val="15"/>
        </w:rPr>
        <w:t xml:space="preserve">PMID : 35962478. </w:t>
      </w:r>
      <w:r>
        <w:rPr>
          <w:rFonts w:ascii="Aptos" w:hAnsi="Aptos" w:eastAsia="Aptos"/>
          <w:color w:val="24323D"/>
          <w:sz w:val="15"/>
        </w:rPr>
        <w:t xml:space="preserve">PMCID : PMC9875346. </w:t>
      </w:r>
      <w:r>
        <w:rPr>
          <w:rFonts w:ascii="Aptos" w:hAnsi="Aptos" w:eastAsia="Aptos"/>
          <w:color w:val="24323D"/>
          <w:sz w:val="15"/>
        </w:rPr>
        <w:t xml:space="preserve">Type : white paper de consensus. Usage : analyse de transfert de l'autorégulation. Limite : recommandations méthodologiques, non seuil universel. </w:t>
      </w:r>
      <w:hyperlink r:id="rId24">
        <w:r>
          <w:rPr>
            <w:rStyle w:val="Hyperlink"/>
          </w:rPr>
          <w:t>Notice PubMed 35962478</w:t>
        </w:r>
      </w:hyperlink>
    </w:p>
    <w:p>
      <w:pPr>
        <w:pStyle w:val="Reference"/>
        <w:keepLines/>
        <w:spacing w:after="90" w:line="240" w:lineRule="auto"/>
      </w:pPr>
      <w:r>
        <w:rPr>
          <w:rFonts w:ascii="Aptos" w:hAnsi="Aptos" w:eastAsia="Aptos"/>
          <w:color w:val="24323D"/>
          <w:sz w:val="15"/>
        </w:rPr>
        <w:t xml:space="preserve">[R09] Mishra A. Astrocytes mediate neurovascular signaling to capillary pericytes but not to arterioles. Nat Neurosci. 2016;19(12):1619-1627. </w:t>
      </w:r>
      <w:r>
        <w:rPr>
          <w:rFonts w:ascii="Aptos" w:hAnsi="Aptos" w:eastAsia="Aptos"/>
          <w:b/>
          <w:color w:val="24323D"/>
          <w:sz w:val="15"/>
        </w:rPr>
        <w:t xml:space="preserve">DOI : </w:t>
      </w:r>
      <w:hyperlink r:id="rId25">
        <w:r>
          <w:rPr>
            <w:rStyle w:val="Hyperlink"/>
          </w:rPr>
          <w:t>10.1038/nn.4428</w:t>
        </w:r>
      </w:hyperlink>
      <w:r>
        <w:rPr>
          <w:rFonts w:ascii="Aptos" w:hAnsi="Aptos" w:eastAsia="Aptos"/>
          <w:color w:val="24323D"/>
          <w:sz w:val="15"/>
        </w:rPr>
        <w:t xml:space="preserve">. </w:t>
      </w:r>
      <w:r>
        <w:rPr>
          <w:rFonts w:ascii="Aptos" w:hAnsi="Aptos" w:eastAsia="Aptos"/>
          <w:color w:val="24323D"/>
          <w:sz w:val="15"/>
        </w:rPr>
        <w:t xml:space="preserve">PMID : 27775719. </w:t>
      </w:r>
      <w:r>
        <w:rPr>
          <w:rFonts w:ascii="Aptos" w:hAnsi="Aptos" w:eastAsia="Aptos"/>
          <w:color w:val="24323D"/>
          <w:sz w:val="15"/>
        </w:rPr>
        <w:t xml:space="preserve">PMCID : PMC5131849. </w:t>
      </w:r>
      <w:r>
        <w:rPr>
          <w:rFonts w:ascii="Aptos" w:hAnsi="Aptos" w:eastAsia="Aptos"/>
          <w:color w:val="24323D"/>
          <w:sz w:val="15"/>
        </w:rPr>
        <w:t xml:space="preserve">Type : expérience préclinique mécanistique. Usage : astrocytes, péricytes et NVC. Limite : modèle animal. </w:t>
      </w:r>
      <w:hyperlink r:id="rId26">
        <w:r>
          <w:rPr>
            <w:rStyle w:val="Hyperlink"/>
          </w:rPr>
          <w:t>Notice PubMed 27775719</w:t>
        </w:r>
      </w:hyperlink>
    </w:p>
    <w:p>
      <w:pPr>
        <w:pStyle w:val="Reference"/>
        <w:keepLines/>
        <w:spacing w:after="90" w:line="240" w:lineRule="auto"/>
      </w:pPr>
      <w:r>
        <w:rPr>
          <w:rFonts w:ascii="Aptos" w:hAnsi="Aptos" w:eastAsia="Aptos"/>
          <w:color w:val="24323D"/>
          <w:sz w:val="15"/>
        </w:rPr>
        <w:t xml:space="preserve">[R10] Kisler K. Pericyte degeneration leads to neurovascular uncoupling and limits oxygen supply to brain. Nat Neurosci. 2017;20(3):406-416. </w:t>
      </w:r>
      <w:r>
        <w:rPr>
          <w:rFonts w:ascii="Aptos" w:hAnsi="Aptos" w:eastAsia="Aptos"/>
          <w:b/>
          <w:color w:val="24323D"/>
          <w:sz w:val="15"/>
        </w:rPr>
        <w:t xml:space="preserve">DOI : </w:t>
      </w:r>
      <w:hyperlink r:id="rId27">
        <w:r>
          <w:rPr>
            <w:rStyle w:val="Hyperlink"/>
          </w:rPr>
          <w:t>10.1038/nn.4489</w:t>
        </w:r>
      </w:hyperlink>
      <w:r>
        <w:rPr>
          <w:rFonts w:ascii="Aptos" w:hAnsi="Aptos" w:eastAsia="Aptos"/>
          <w:color w:val="24323D"/>
          <w:sz w:val="15"/>
        </w:rPr>
        <w:t xml:space="preserve">. </w:t>
      </w:r>
      <w:r>
        <w:rPr>
          <w:rFonts w:ascii="Aptos" w:hAnsi="Aptos" w:eastAsia="Aptos"/>
          <w:color w:val="24323D"/>
          <w:sz w:val="15"/>
        </w:rPr>
        <w:t xml:space="preserve">PMID : 28135240. </w:t>
      </w:r>
      <w:r>
        <w:rPr>
          <w:rFonts w:ascii="Aptos" w:hAnsi="Aptos" w:eastAsia="Aptos"/>
          <w:color w:val="24323D"/>
          <w:sz w:val="15"/>
        </w:rPr>
        <w:t xml:space="preserve">PMCID : PMC5323291. </w:t>
      </w:r>
      <w:r>
        <w:rPr>
          <w:rFonts w:ascii="Aptos" w:hAnsi="Aptos" w:eastAsia="Aptos"/>
          <w:color w:val="24323D"/>
          <w:sz w:val="15"/>
        </w:rPr>
        <w:t xml:space="preserve">Type : expérience préclinique. Usage : dégénérescence des péricytes et oxygène. Limite : translation humaine non directe. </w:t>
      </w:r>
      <w:hyperlink r:id="rId28">
        <w:r>
          <w:rPr>
            <w:rStyle w:val="Hyperlink"/>
          </w:rPr>
          <w:t>Notice PubMed 28135240</w:t>
        </w:r>
      </w:hyperlink>
    </w:p>
    <w:p>
      <w:pPr>
        <w:pStyle w:val="Reference"/>
        <w:keepLines/>
        <w:spacing w:after="90" w:line="240" w:lineRule="auto"/>
      </w:pPr>
      <w:r>
        <w:rPr>
          <w:rFonts w:ascii="Aptos" w:hAnsi="Aptos" w:eastAsia="Aptos"/>
          <w:color w:val="24323D"/>
          <w:sz w:val="15"/>
        </w:rPr>
        <w:t xml:space="preserve">[R11] Chow BW. Caveolae in CNS arterioles mediate neurovascular coupling. Nature. 2020;579(7797):106-110. </w:t>
      </w:r>
      <w:r>
        <w:rPr>
          <w:rFonts w:ascii="Aptos" w:hAnsi="Aptos" w:eastAsia="Aptos"/>
          <w:b/>
          <w:color w:val="24323D"/>
          <w:sz w:val="15"/>
        </w:rPr>
        <w:t xml:space="preserve">DOI : </w:t>
      </w:r>
      <w:hyperlink r:id="rId29">
        <w:r>
          <w:rPr>
            <w:rStyle w:val="Hyperlink"/>
          </w:rPr>
          <w:t>10.1038/s41586-020-2026-1</w:t>
        </w:r>
      </w:hyperlink>
      <w:r>
        <w:rPr>
          <w:rFonts w:ascii="Aptos" w:hAnsi="Aptos" w:eastAsia="Aptos"/>
          <w:color w:val="24323D"/>
          <w:sz w:val="15"/>
        </w:rPr>
        <w:t xml:space="preserve">. </w:t>
      </w:r>
      <w:r>
        <w:rPr>
          <w:rFonts w:ascii="Aptos" w:hAnsi="Aptos" w:eastAsia="Aptos"/>
          <w:color w:val="24323D"/>
          <w:sz w:val="15"/>
        </w:rPr>
        <w:t xml:space="preserve">PMID : 32076269. </w:t>
      </w:r>
      <w:r>
        <w:rPr>
          <w:rFonts w:ascii="Aptos" w:hAnsi="Aptos" w:eastAsia="Aptos"/>
          <w:color w:val="24323D"/>
          <w:sz w:val="15"/>
        </w:rPr>
        <w:t xml:space="preserve">PMCID : PMC7060132. </w:t>
      </w:r>
      <w:r>
        <w:rPr>
          <w:rFonts w:ascii="Aptos" w:hAnsi="Aptos" w:eastAsia="Aptos"/>
          <w:color w:val="24323D"/>
          <w:sz w:val="15"/>
        </w:rPr>
        <w:t xml:space="preserve">Type : expérience préclinique. Usage : endothélium artériolaire et NVC. Limite : modèle murin. </w:t>
      </w:r>
      <w:hyperlink r:id="rId30">
        <w:r>
          <w:rPr>
            <w:rStyle w:val="Hyperlink"/>
          </w:rPr>
          <w:t>Notice PubMed 32076269</w:t>
        </w:r>
      </w:hyperlink>
    </w:p>
    <w:p>
      <w:pPr>
        <w:pStyle w:val="Reference"/>
        <w:keepLines/>
        <w:spacing w:after="90" w:line="240" w:lineRule="auto"/>
      </w:pPr>
      <w:r>
        <w:rPr>
          <w:rFonts w:ascii="Aptos" w:hAnsi="Aptos" w:eastAsia="Aptos"/>
          <w:color w:val="24323D"/>
          <w:sz w:val="15"/>
        </w:rPr>
        <w:t xml:space="preserve">[R12] Buxton RB. A general kinetic model for quantitative perfusion imaging with arterial spin labeling. Magn Reson Med. 1998;40(3):383-96. </w:t>
      </w:r>
      <w:r>
        <w:rPr>
          <w:rFonts w:ascii="Aptos" w:hAnsi="Aptos" w:eastAsia="Aptos"/>
          <w:b/>
          <w:color w:val="24323D"/>
          <w:sz w:val="15"/>
        </w:rPr>
        <w:t xml:space="preserve">DOI : </w:t>
      </w:r>
      <w:hyperlink r:id="rId31">
        <w:r>
          <w:rPr>
            <w:rStyle w:val="Hyperlink"/>
          </w:rPr>
          <w:t>10.1002/mrm.1910400308</w:t>
        </w:r>
      </w:hyperlink>
      <w:r>
        <w:rPr>
          <w:rFonts w:ascii="Aptos" w:hAnsi="Aptos" w:eastAsia="Aptos"/>
          <w:color w:val="24323D"/>
          <w:sz w:val="15"/>
        </w:rPr>
        <w:t xml:space="preserve">. </w:t>
      </w:r>
      <w:r>
        <w:rPr>
          <w:rFonts w:ascii="Aptos" w:hAnsi="Aptos" w:eastAsia="Aptos"/>
          <w:color w:val="24323D"/>
          <w:sz w:val="15"/>
        </w:rPr>
        <w:t xml:space="preserve">PMID : 9727941.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modèle cinétique fondateur. Usage : quantification ASL. Limite : hypothèses d'échange et de transit. </w:t>
      </w:r>
      <w:hyperlink r:id="rId32">
        <w:r>
          <w:rPr>
            <w:rStyle w:val="Hyperlink"/>
          </w:rPr>
          <w:t>Notice PubMed 9727941</w:t>
        </w:r>
      </w:hyperlink>
    </w:p>
    <w:p>
      <w:pPr>
        <w:pStyle w:val="Reference"/>
        <w:keepLines/>
        <w:spacing w:after="90" w:line="240" w:lineRule="auto"/>
      </w:pPr>
      <w:r>
        <w:rPr>
          <w:rFonts w:ascii="Aptos" w:hAnsi="Aptos" w:eastAsia="Aptos"/>
          <w:color w:val="24323D"/>
          <w:sz w:val="15"/>
        </w:rPr>
        <w:t xml:space="preserve">[R13] Alsop DC. Recommended implementation of arterial spin-labeled perfusion MRI for clinical applications: A consensus of the ISMRM perfusion study group and the European consortium for ASL in dementia. Magn Reson Med. 2015;73(1):102-16. </w:t>
      </w:r>
      <w:r>
        <w:rPr>
          <w:rFonts w:ascii="Aptos" w:hAnsi="Aptos" w:eastAsia="Aptos"/>
          <w:b/>
          <w:color w:val="24323D"/>
          <w:sz w:val="15"/>
        </w:rPr>
        <w:t xml:space="preserve">DOI : </w:t>
      </w:r>
      <w:hyperlink r:id="rId33">
        <w:r>
          <w:rPr>
            <w:rStyle w:val="Hyperlink"/>
          </w:rPr>
          <w:t>10.1002/mrm.25197</w:t>
        </w:r>
      </w:hyperlink>
      <w:r>
        <w:rPr>
          <w:rFonts w:ascii="Aptos" w:hAnsi="Aptos" w:eastAsia="Aptos"/>
          <w:color w:val="24323D"/>
          <w:sz w:val="15"/>
        </w:rPr>
        <w:t xml:space="preserve">. </w:t>
      </w:r>
      <w:r>
        <w:rPr>
          <w:rFonts w:ascii="Aptos" w:hAnsi="Aptos" w:eastAsia="Aptos"/>
          <w:color w:val="24323D"/>
          <w:sz w:val="15"/>
        </w:rPr>
        <w:t xml:space="preserve">PMID : 24715426. </w:t>
      </w:r>
      <w:r>
        <w:rPr>
          <w:rFonts w:ascii="Aptos" w:hAnsi="Aptos" w:eastAsia="Aptos"/>
          <w:color w:val="24323D"/>
          <w:sz w:val="15"/>
        </w:rPr>
        <w:t xml:space="preserve">PMCID : PMC4190138. </w:t>
      </w:r>
      <w:r>
        <w:rPr>
          <w:rFonts w:ascii="Aptos" w:hAnsi="Aptos" w:eastAsia="Aptos"/>
          <w:color w:val="24323D"/>
          <w:sz w:val="15"/>
        </w:rPr>
        <w:t xml:space="preserve">Type : consensus international. Usage : implémentation ASL et vocabulaire. Limite : consensus daté, pas validation de chaque usage. </w:t>
      </w:r>
      <w:hyperlink r:id="rId34">
        <w:r>
          <w:rPr>
            <w:rStyle w:val="Hyperlink"/>
          </w:rPr>
          <w:t>Notice PubMed 24715426</w:t>
        </w:r>
      </w:hyperlink>
    </w:p>
    <w:p>
      <w:pPr>
        <w:pStyle w:val="Reference"/>
        <w:keepLines/>
        <w:spacing w:after="90" w:line="240" w:lineRule="auto"/>
      </w:pPr>
      <w:r>
        <w:rPr>
          <w:rFonts w:ascii="Aptos" w:hAnsi="Aptos" w:eastAsia="Aptos"/>
          <w:color w:val="24323D"/>
          <w:sz w:val="15"/>
        </w:rPr>
        <w:t xml:space="preserve">[R14] Gevers S. Intra- and multicenter reproducibility of pulsed, continuous and pseudo-continuous arterial spin labeling methods for measuring cerebral perfusion. J Cereb Blood Flow Metab. 2011;31(8):1706-15. </w:t>
      </w:r>
      <w:r>
        <w:rPr>
          <w:rFonts w:ascii="Aptos" w:hAnsi="Aptos" w:eastAsia="Aptos"/>
          <w:b/>
          <w:color w:val="24323D"/>
          <w:sz w:val="15"/>
        </w:rPr>
        <w:t xml:space="preserve">DOI : </w:t>
      </w:r>
      <w:hyperlink r:id="rId35">
        <w:r>
          <w:rPr>
            <w:rStyle w:val="Hyperlink"/>
          </w:rPr>
          <w:t>10.1038/jcbfm.2011.10</w:t>
        </w:r>
      </w:hyperlink>
      <w:r>
        <w:rPr>
          <w:rFonts w:ascii="Aptos" w:hAnsi="Aptos" w:eastAsia="Aptos"/>
          <w:color w:val="24323D"/>
          <w:sz w:val="15"/>
        </w:rPr>
        <w:t xml:space="preserve">. </w:t>
      </w:r>
      <w:r>
        <w:rPr>
          <w:rFonts w:ascii="Aptos" w:hAnsi="Aptos" w:eastAsia="Aptos"/>
          <w:color w:val="24323D"/>
          <w:sz w:val="15"/>
        </w:rPr>
        <w:t xml:space="preserve">PMID : 21304555. </w:t>
      </w:r>
      <w:r>
        <w:rPr>
          <w:rFonts w:ascii="Aptos" w:hAnsi="Aptos" w:eastAsia="Aptos"/>
          <w:color w:val="24323D"/>
          <w:sz w:val="15"/>
        </w:rPr>
        <w:t xml:space="preserve">PMCID : PMC3170937. </w:t>
      </w:r>
      <w:r>
        <w:rPr>
          <w:rFonts w:ascii="Aptos" w:hAnsi="Aptos" w:eastAsia="Aptos"/>
          <w:color w:val="24323D"/>
          <w:sz w:val="15"/>
        </w:rPr>
        <w:t xml:space="preserve">Type : étude de reproductibilité. Usage : ASL intra- et multicentrique. Limite : six volontaires et systèmes proches. </w:t>
      </w:r>
      <w:hyperlink r:id="rId36">
        <w:r>
          <w:rPr>
            <w:rStyle w:val="Hyperlink"/>
          </w:rPr>
          <w:t>Notice PubMed 21304555</w:t>
        </w:r>
      </w:hyperlink>
    </w:p>
    <w:p>
      <w:pPr>
        <w:pStyle w:val="Reference"/>
        <w:keepLines/>
        <w:spacing w:after="90" w:line="240" w:lineRule="auto"/>
      </w:pPr>
      <w:r>
        <w:rPr>
          <w:rFonts w:ascii="Aptos" w:hAnsi="Aptos" w:eastAsia="Aptos"/>
          <w:color w:val="24323D"/>
          <w:sz w:val="15"/>
        </w:rPr>
        <w:t xml:space="preserve">[R15] Mutsaerts HJ. Multi-vendor reliability of arterial spin labeling perfusion MRI using a near-identical sequence: implications for multi-center studies. Neuroimage. 2015;113:143-52. </w:t>
      </w:r>
      <w:r>
        <w:rPr>
          <w:rFonts w:ascii="Aptos" w:hAnsi="Aptos" w:eastAsia="Aptos"/>
          <w:b/>
          <w:color w:val="24323D"/>
          <w:sz w:val="15"/>
        </w:rPr>
        <w:t xml:space="preserve">DOI : </w:t>
      </w:r>
      <w:hyperlink r:id="rId37">
        <w:r>
          <w:rPr>
            <w:rStyle w:val="Hyperlink"/>
          </w:rPr>
          <w:t>10.1016/j.neuroimage.2015.03.043</w:t>
        </w:r>
      </w:hyperlink>
      <w:r>
        <w:rPr>
          <w:rFonts w:ascii="Aptos" w:hAnsi="Aptos" w:eastAsia="Aptos"/>
          <w:color w:val="24323D"/>
          <w:sz w:val="15"/>
        </w:rPr>
        <w:t xml:space="preserve">. </w:t>
      </w:r>
      <w:r>
        <w:rPr>
          <w:rFonts w:ascii="Aptos" w:hAnsi="Aptos" w:eastAsia="Aptos"/>
          <w:color w:val="24323D"/>
          <w:sz w:val="15"/>
        </w:rPr>
        <w:t xml:space="preserve">PMID : 25818685.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étude multi-constructeur. Usage : fiabilité ASL. Limite : différences de séquence confondues avec site. </w:t>
      </w:r>
      <w:hyperlink r:id="rId38">
        <w:r>
          <w:rPr>
            <w:rStyle w:val="Hyperlink"/>
          </w:rPr>
          <w:t>Notice PubMed 25818685</w:t>
        </w:r>
      </w:hyperlink>
    </w:p>
    <w:p>
      <w:pPr>
        <w:pStyle w:val="Reference"/>
        <w:keepLines/>
        <w:spacing w:after="90" w:line="240" w:lineRule="auto"/>
      </w:pPr>
      <w:r>
        <w:rPr>
          <w:rFonts w:ascii="Aptos" w:hAnsi="Aptos" w:eastAsia="Aptos"/>
          <w:color w:val="24323D"/>
          <w:sz w:val="15"/>
        </w:rPr>
        <w:t xml:space="preserve">[R16] Paschoal AM. Reproducibility of arterial spin labeling cerebral blood flow image processing: A report of the ISMRM open science initiative for perfusion imaging (OSIPI) and the ASL MRI challenge. Magn Reson Med. 2024;92(2):836-852. </w:t>
      </w:r>
      <w:r>
        <w:rPr>
          <w:rFonts w:ascii="Aptos" w:hAnsi="Aptos" w:eastAsia="Aptos"/>
          <w:b/>
          <w:color w:val="24323D"/>
          <w:sz w:val="15"/>
        </w:rPr>
        <w:t xml:space="preserve">DOI : </w:t>
      </w:r>
      <w:hyperlink r:id="rId39">
        <w:r>
          <w:rPr>
            <w:rStyle w:val="Hyperlink"/>
          </w:rPr>
          <w:t>10.1002/mrm.30081</w:t>
        </w:r>
      </w:hyperlink>
      <w:r>
        <w:rPr>
          <w:rFonts w:ascii="Aptos" w:hAnsi="Aptos" w:eastAsia="Aptos"/>
          <w:color w:val="24323D"/>
          <w:sz w:val="15"/>
        </w:rPr>
        <w:t xml:space="preserve">. </w:t>
      </w:r>
      <w:r>
        <w:rPr>
          <w:rFonts w:ascii="Aptos" w:hAnsi="Aptos" w:eastAsia="Aptos"/>
          <w:color w:val="24323D"/>
          <w:sz w:val="15"/>
        </w:rPr>
        <w:t xml:space="preserve">PMID : 38502108. </w:t>
      </w:r>
      <w:r>
        <w:rPr>
          <w:rFonts w:ascii="Aptos" w:hAnsi="Aptos" w:eastAsia="Aptos"/>
          <w:color w:val="24323D"/>
          <w:sz w:val="15"/>
        </w:rPr>
        <w:t xml:space="preserve">PMCID : PMC11497242. </w:t>
      </w:r>
      <w:r>
        <w:rPr>
          <w:rFonts w:ascii="Aptos" w:hAnsi="Aptos" w:eastAsia="Aptos"/>
          <w:color w:val="24323D"/>
          <w:sz w:val="15"/>
        </w:rPr>
        <w:t xml:space="preserve">Type : challenge ouvert de reproductibilité. Usage : processing ASL. Limite : ground truth partiellement synthétique. </w:t>
      </w:r>
      <w:hyperlink r:id="rId40">
        <w:r>
          <w:rPr>
            <w:rStyle w:val="Hyperlink"/>
          </w:rPr>
          <w:t>Notice PubMed 38502108</w:t>
        </w:r>
      </w:hyperlink>
    </w:p>
    <w:p>
      <w:pPr>
        <w:pStyle w:val="Reference"/>
        <w:keepLines/>
        <w:spacing w:after="90" w:line="240" w:lineRule="auto"/>
      </w:pPr>
      <w:r>
        <w:rPr>
          <w:rFonts w:ascii="Aptos" w:hAnsi="Aptos" w:eastAsia="Aptos"/>
          <w:color w:val="24323D"/>
          <w:sz w:val="15"/>
        </w:rPr>
        <w:t xml:space="preserve">[R17] Schmid S. Comparison of velocity- and acceleration-selective arterial spin labeling with [15O]H2O positron emission tomography. J Cereb Blood Flow Metab. 2015;35(8):1296-303. </w:t>
      </w:r>
      <w:r>
        <w:rPr>
          <w:rFonts w:ascii="Aptos" w:hAnsi="Aptos" w:eastAsia="Aptos"/>
          <w:b/>
          <w:color w:val="24323D"/>
          <w:sz w:val="15"/>
        </w:rPr>
        <w:t xml:space="preserve">DOI : </w:t>
      </w:r>
      <w:hyperlink r:id="rId41">
        <w:r>
          <w:rPr>
            <w:rStyle w:val="Hyperlink"/>
          </w:rPr>
          <w:t>10.1038/jcbfm.2015.42</w:t>
        </w:r>
      </w:hyperlink>
      <w:r>
        <w:rPr>
          <w:rFonts w:ascii="Aptos" w:hAnsi="Aptos" w:eastAsia="Aptos"/>
          <w:color w:val="24323D"/>
          <w:sz w:val="15"/>
        </w:rPr>
        <w:t xml:space="preserve">. </w:t>
      </w:r>
      <w:r>
        <w:rPr>
          <w:rFonts w:ascii="Aptos" w:hAnsi="Aptos" w:eastAsia="Aptos"/>
          <w:color w:val="24323D"/>
          <w:sz w:val="15"/>
        </w:rPr>
        <w:t xml:space="preserve">PMID : 25785831. </w:t>
      </w:r>
      <w:r>
        <w:rPr>
          <w:rFonts w:ascii="Aptos" w:hAnsi="Aptos" w:eastAsia="Aptos"/>
          <w:color w:val="24323D"/>
          <w:sz w:val="15"/>
        </w:rPr>
        <w:t xml:space="preserve">PMCID : PMC4528003. </w:t>
      </w:r>
      <w:r>
        <w:rPr>
          <w:rFonts w:ascii="Aptos" w:hAnsi="Aptos" w:eastAsia="Aptos"/>
          <w:color w:val="24323D"/>
          <w:sz w:val="15"/>
        </w:rPr>
        <w:t xml:space="preserve">Type : comparaison PET/ASL. Usage : ASL sélectif en vitesse/accélération. Limite : cohorte saine et méthodes émergentes. </w:t>
      </w:r>
      <w:hyperlink r:id="rId42">
        <w:r>
          <w:rPr>
            <w:rStyle w:val="Hyperlink"/>
          </w:rPr>
          <w:t>Notice PubMed 25785831</w:t>
        </w:r>
      </w:hyperlink>
    </w:p>
    <w:p>
      <w:pPr>
        <w:pStyle w:val="Reference"/>
        <w:keepLines/>
        <w:spacing w:after="90" w:line="240" w:lineRule="auto"/>
      </w:pPr>
      <w:r>
        <w:rPr>
          <w:rFonts w:ascii="Aptos" w:hAnsi="Aptos" w:eastAsia="Aptos"/>
          <w:color w:val="24323D"/>
          <w:sz w:val="15"/>
        </w:rPr>
        <w:t xml:space="preserve">[R18] Tsujikawa T. Arterial Transit Time Mapping Obtained by Pulsed Continuous 3D ASL Imaging with Multiple Post-Label Delay Acquisitions: Comparative Study with PET-CBF in Patients with Chronic Occlusive Cerebrovascular Disease. PLoS One. 2016;11(6):e0156005. </w:t>
      </w:r>
      <w:r>
        <w:rPr>
          <w:rFonts w:ascii="Aptos" w:hAnsi="Aptos" w:eastAsia="Aptos"/>
          <w:b/>
          <w:color w:val="24323D"/>
          <w:sz w:val="15"/>
        </w:rPr>
        <w:t xml:space="preserve">DOI : </w:t>
      </w:r>
      <w:hyperlink r:id="rId43">
        <w:r>
          <w:rPr>
            <w:rStyle w:val="Hyperlink"/>
          </w:rPr>
          <w:t>10.1371/journal.pone.0156005</w:t>
        </w:r>
      </w:hyperlink>
      <w:r>
        <w:rPr>
          <w:rFonts w:ascii="Aptos" w:hAnsi="Aptos" w:eastAsia="Aptos"/>
          <w:color w:val="24323D"/>
          <w:sz w:val="15"/>
        </w:rPr>
        <w:t xml:space="preserve">. </w:t>
      </w:r>
      <w:r>
        <w:rPr>
          <w:rFonts w:ascii="Aptos" w:hAnsi="Aptos" w:eastAsia="Aptos"/>
          <w:color w:val="24323D"/>
          <w:sz w:val="15"/>
        </w:rPr>
        <w:t xml:space="preserve">PMID : 27275779. </w:t>
      </w:r>
      <w:r>
        <w:rPr>
          <w:rFonts w:ascii="Aptos" w:hAnsi="Aptos" w:eastAsia="Aptos"/>
          <w:color w:val="24323D"/>
          <w:sz w:val="15"/>
        </w:rPr>
        <w:t xml:space="preserve">PMCID : PMC4898726. </w:t>
      </w:r>
      <w:r>
        <w:rPr>
          <w:rFonts w:ascii="Aptos" w:hAnsi="Aptos" w:eastAsia="Aptos"/>
          <w:color w:val="24323D"/>
          <w:sz w:val="15"/>
        </w:rPr>
        <w:t xml:space="preserve">Type : comparaison ASL/PET. Usage : ATT et CBF en maladie occlusive. Limite : quinze patients et correction publiée. </w:t>
      </w:r>
      <w:hyperlink r:id="rId44">
        <w:r>
          <w:rPr>
            <w:rStyle w:val="Hyperlink"/>
          </w:rPr>
          <w:t>Notice PubMed 27275779</w:t>
        </w:r>
      </w:hyperlink>
    </w:p>
    <w:p>
      <w:pPr>
        <w:pStyle w:val="Reference"/>
        <w:keepLines/>
        <w:spacing w:after="90" w:line="240" w:lineRule="auto"/>
      </w:pPr>
      <w:r>
        <w:rPr>
          <w:rFonts w:ascii="Aptos" w:hAnsi="Aptos" w:eastAsia="Aptos"/>
          <w:color w:val="24323D"/>
          <w:sz w:val="15"/>
        </w:rPr>
        <w:t xml:space="preserve">[R19] Takeuchi K. The Utility of Arterial Transit Time Measurement for Evaluating the Hemodynamic Perfusion State of Patients with Chronic Cerebrovascular Stenosis or Occlusive Disease: Correlative Study between MR Imaging and 15O-labeled H2O Positron Emission Tomography. Magn Reson Med Sci. 2023;22(3):289-300. </w:t>
      </w:r>
      <w:r>
        <w:rPr>
          <w:rFonts w:ascii="Aptos" w:hAnsi="Aptos" w:eastAsia="Aptos"/>
          <w:b/>
          <w:color w:val="24323D"/>
          <w:sz w:val="15"/>
        </w:rPr>
        <w:t xml:space="preserve">DOI : </w:t>
      </w:r>
      <w:hyperlink r:id="rId45">
        <w:r>
          <w:rPr>
            <w:rStyle w:val="Hyperlink"/>
          </w:rPr>
          <w:t>10.2463/mrms.mp.2020-0123</w:t>
        </w:r>
      </w:hyperlink>
      <w:r>
        <w:rPr>
          <w:rFonts w:ascii="Aptos" w:hAnsi="Aptos" w:eastAsia="Aptos"/>
          <w:color w:val="24323D"/>
          <w:sz w:val="15"/>
        </w:rPr>
        <w:t xml:space="preserve">. </w:t>
      </w:r>
      <w:r>
        <w:rPr>
          <w:rFonts w:ascii="Aptos" w:hAnsi="Aptos" w:eastAsia="Aptos"/>
          <w:color w:val="24323D"/>
          <w:sz w:val="15"/>
        </w:rPr>
        <w:t xml:space="preserve">PMID : 35545508. </w:t>
      </w:r>
      <w:r>
        <w:rPr>
          <w:rFonts w:ascii="Aptos" w:hAnsi="Aptos" w:eastAsia="Aptos"/>
          <w:color w:val="24323D"/>
          <w:sz w:val="15"/>
        </w:rPr>
        <w:t xml:space="preserve">PMCID : PMC10449557. </w:t>
      </w:r>
      <w:r>
        <w:rPr>
          <w:rFonts w:ascii="Aptos" w:hAnsi="Aptos" w:eastAsia="Aptos"/>
          <w:color w:val="24323D"/>
          <w:sz w:val="15"/>
        </w:rPr>
        <w:t xml:space="preserve">Type : comparaison ASL/PET. Usage : ATT, OEF et sténose chronique. Limite : onze patients. </w:t>
      </w:r>
      <w:hyperlink r:id="rId46">
        <w:r>
          <w:rPr>
            <w:rStyle w:val="Hyperlink"/>
          </w:rPr>
          <w:t>Notice PubMed 35545508</w:t>
        </w:r>
      </w:hyperlink>
    </w:p>
    <w:p>
      <w:pPr>
        <w:pStyle w:val="Reference"/>
        <w:keepLines/>
        <w:spacing w:after="90" w:line="240" w:lineRule="auto"/>
      </w:pPr>
      <w:r>
        <w:rPr>
          <w:rFonts w:ascii="Aptos" w:hAnsi="Aptos" w:eastAsia="Aptos"/>
          <w:color w:val="24323D"/>
          <w:sz w:val="15"/>
        </w:rPr>
        <w:t xml:space="preserve">[R20] Fu JF. Impact of Postlabeling Delay on Arterial Spin-Labeling MRI-Based Measures of Cerebral Blood Flow in a Simultaneous PET/MRI Study of Aging. AJNR Am J Neuroradiol. 2026;47(5):1358-1366. </w:t>
      </w:r>
      <w:r>
        <w:rPr>
          <w:rFonts w:ascii="Aptos" w:hAnsi="Aptos" w:eastAsia="Aptos"/>
          <w:b/>
          <w:color w:val="24323D"/>
          <w:sz w:val="15"/>
        </w:rPr>
        <w:t xml:space="preserve">DOI : </w:t>
      </w:r>
      <w:hyperlink r:id="rId47">
        <w:r>
          <w:rPr>
            <w:rStyle w:val="Hyperlink"/>
          </w:rPr>
          <w:t>10.3174/ajnr.A9130</w:t>
        </w:r>
      </w:hyperlink>
      <w:r>
        <w:rPr>
          <w:rFonts w:ascii="Aptos" w:hAnsi="Aptos" w:eastAsia="Aptos"/>
          <w:color w:val="24323D"/>
          <w:sz w:val="15"/>
        </w:rPr>
        <w:t xml:space="preserve">. </w:t>
      </w:r>
      <w:r>
        <w:rPr>
          <w:rFonts w:ascii="Aptos" w:hAnsi="Aptos" w:eastAsia="Aptos"/>
          <w:color w:val="24323D"/>
          <w:sz w:val="15"/>
        </w:rPr>
        <w:t xml:space="preserve">PMID : 42025299. </w:t>
      </w:r>
      <w:r>
        <w:rPr>
          <w:rFonts w:ascii="Aptos" w:hAnsi="Aptos" w:eastAsia="Aptos"/>
          <w:color w:val="24323D"/>
          <w:sz w:val="15"/>
        </w:rPr>
        <w:t xml:space="preserve">PMCID : PMC13138563. </w:t>
      </w:r>
      <w:r>
        <w:rPr>
          <w:rFonts w:ascii="Aptos" w:hAnsi="Aptos" w:eastAsia="Aptos"/>
          <w:color w:val="24323D"/>
          <w:sz w:val="15"/>
        </w:rPr>
        <w:t xml:space="preserve">Type : étude PET/MR test-retest. Usage : PLD et vieillissement. Limite : très faible effectif. </w:t>
      </w:r>
      <w:hyperlink r:id="rId48">
        <w:r>
          <w:rPr>
            <w:rStyle w:val="Hyperlink"/>
          </w:rPr>
          <w:t>Notice PubMed 42025299</w:t>
        </w:r>
      </w:hyperlink>
    </w:p>
    <w:p>
      <w:pPr>
        <w:pStyle w:val="Reference"/>
        <w:keepLines/>
        <w:spacing w:after="90" w:line="240" w:lineRule="auto"/>
      </w:pPr>
      <w:r>
        <w:rPr>
          <w:rFonts w:ascii="Aptos" w:hAnsi="Aptos" w:eastAsia="Aptos"/>
          <w:color w:val="24323D"/>
          <w:sz w:val="15"/>
        </w:rPr>
        <w:t xml:space="preserve">[R21] Paulson ES. Comparison of dynamic susceptibility-weighted contrast-enhanced MR methods: recommendations for measuring relative cerebral blood volume in brain tumors. Radiology. 2008;249(2):601-13. </w:t>
      </w:r>
      <w:r>
        <w:rPr>
          <w:rFonts w:ascii="Aptos" w:hAnsi="Aptos" w:eastAsia="Aptos"/>
          <w:b/>
          <w:color w:val="24323D"/>
          <w:sz w:val="15"/>
        </w:rPr>
        <w:t xml:space="preserve">DOI : </w:t>
      </w:r>
      <w:hyperlink r:id="rId49">
        <w:r>
          <w:rPr>
            <w:rStyle w:val="Hyperlink"/>
          </w:rPr>
          <w:t>10.1148/radiol.2492071659</w:t>
        </w:r>
      </w:hyperlink>
      <w:r>
        <w:rPr>
          <w:rFonts w:ascii="Aptos" w:hAnsi="Aptos" w:eastAsia="Aptos"/>
          <w:color w:val="24323D"/>
          <w:sz w:val="15"/>
        </w:rPr>
        <w:t xml:space="preserve">. </w:t>
      </w:r>
      <w:r>
        <w:rPr>
          <w:rFonts w:ascii="Aptos" w:hAnsi="Aptos" w:eastAsia="Aptos"/>
          <w:color w:val="24323D"/>
          <w:sz w:val="15"/>
        </w:rPr>
        <w:t xml:space="preserve">PMID : 18780827. </w:t>
      </w:r>
      <w:r>
        <w:rPr>
          <w:rFonts w:ascii="Aptos" w:hAnsi="Aptos" w:eastAsia="Aptos"/>
          <w:color w:val="24323D"/>
          <w:sz w:val="15"/>
        </w:rPr>
        <w:t xml:space="preserve">PMCID : PMC2657863. </w:t>
      </w:r>
      <w:r>
        <w:rPr>
          <w:rFonts w:ascii="Aptos" w:hAnsi="Aptos" w:eastAsia="Aptos"/>
          <w:color w:val="24323D"/>
          <w:sz w:val="15"/>
        </w:rPr>
        <w:t xml:space="preserve">Type : comparaison acquisition/traitement. Usage : rCBV DSC tumoral. Limite : technologies et cohorte limitées. </w:t>
      </w:r>
      <w:hyperlink r:id="rId50">
        <w:r>
          <w:rPr>
            <w:rStyle w:val="Hyperlink"/>
          </w:rPr>
          <w:t>Notice PubMed 18780827</w:t>
        </w:r>
      </w:hyperlink>
    </w:p>
    <w:p>
      <w:pPr>
        <w:pStyle w:val="Reference"/>
        <w:keepLines/>
        <w:spacing w:after="90" w:line="240" w:lineRule="auto"/>
      </w:pPr>
      <w:r>
        <w:rPr>
          <w:rFonts w:ascii="Aptos" w:hAnsi="Aptos" w:eastAsia="Aptos"/>
          <w:color w:val="24323D"/>
          <w:sz w:val="15"/>
        </w:rPr>
        <w:t xml:space="preserve">[R22] Boxerman JL. The Role of preload and leakage correction in gadolinium-based cerebral blood volume estimation determined by comparison with MION as a criterion standard. AJNR Am J Neuroradiol. 2012;33(6):1081-7. </w:t>
      </w:r>
      <w:r>
        <w:rPr>
          <w:rFonts w:ascii="Aptos" w:hAnsi="Aptos" w:eastAsia="Aptos"/>
          <w:b/>
          <w:color w:val="24323D"/>
          <w:sz w:val="15"/>
        </w:rPr>
        <w:t xml:space="preserve">DOI : </w:t>
      </w:r>
      <w:hyperlink r:id="rId51">
        <w:r>
          <w:rPr>
            <w:rStyle w:val="Hyperlink"/>
          </w:rPr>
          <w:t>10.3174/ajnr.A2934</w:t>
        </w:r>
      </w:hyperlink>
      <w:r>
        <w:rPr>
          <w:rFonts w:ascii="Aptos" w:hAnsi="Aptos" w:eastAsia="Aptos"/>
          <w:color w:val="24323D"/>
          <w:sz w:val="15"/>
        </w:rPr>
        <w:t xml:space="preserve">. </w:t>
      </w:r>
      <w:r>
        <w:rPr>
          <w:rFonts w:ascii="Aptos" w:hAnsi="Aptos" w:eastAsia="Aptos"/>
          <w:color w:val="24323D"/>
          <w:sz w:val="15"/>
        </w:rPr>
        <w:t xml:space="preserve">PMID : 22322605. </w:t>
      </w:r>
      <w:r>
        <w:rPr>
          <w:rFonts w:ascii="Aptos" w:hAnsi="Aptos" w:eastAsia="Aptos"/>
          <w:color w:val="24323D"/>
          <w:sz w:val="15"/>
        </w:rPr>
        <w:t xml:space="preserve">PMCID : PMC4331024. </w:t>
      </w:r>
      <w:r>
        <w:rPr>
          <w:rFonts w:ascii="Aptos" w:hAnsi="Aptos" w:eastAsia="Aptos"/>
          <w:color w:val="24323D"/>
          <w:sz w:val="15"/>
        </w:rPr>
        <w:t xml:space="preserve">Type : validation contre agent intravasculaire. Usage : précharge et correction de fuite. Limite : modèle animal tumoral. </w:t>
      </w:r>
      <w:hyperlink r:id="rId52">
        <w:r>
          <w:rPr>
            <w:rStyle w:val="Hyperlink"/>
          </w:rPr>
          <w:t>Notice PubMed 22322605</w:t>
        </w:r>
      </w:hyperlink>
    </w:p>
    <w:p>
      <w:pPr>
        <w:pStyle w:val="Reference"/>
        <w:keepLines/>
        <w:spacing w:after="90" w:line="240" w:lineRule="auto"/>
      </w:pPr>
      <w:r>
        <w:rPr>
          <w:rFonts w:ascii="Aptos" w:hAnsi="Aptos" w:eastAsia="Aptos"/>
          <w:color w:val="24323D"/>
          <w:sz w:val="15"/>
        </w:rPr>
        <w:t xml:space="preserve">[R23] Schmainda KM. Moving Toward a Consensus DSC-MRI Protocol: Validation of a Low-Flip Angle Single-Dose Option as a Reference Standard for Brain Tumors. AJNR Am J Neuroradiol. 2019;40(4):626-633. </w:t>
      </w:r>
      <w:r>
        <w:rPr>
          <w:rFonts w:ascii="Aptos" w:hAnsi="Aptos" w:eastAsia="Aptos"/>
          <w:b/>
          <w:color w:val="24323D"/>
          <w:sz w:val="15"/>
        </w:rPr>
        <w:t xml:space="preserve">DOI : </w:t>
      </w:r>
      <w:hyperlink r:id="rId53">
        <w:r>
          <w:rPr>
            <w:rStyle w:val="Hyperlink"/>
          </w:rPr>
          <w:t>10.3174/ajnr.A6015</w:t>
        </w:r>
      </w:hyperlink>
      <w:r>
        <w:rPr>
          <w:rFonts w:ascii="Aptos" w:hAnsi="Aptos" w:eastAsia="Aptos"/>
          <w:color w:val="24323D"/>
          <w:sz w:val="15"/>
        </w:rPr>
        <w:t xml:space="preserve">. </w:t>
      </w:r>
      <w:r>
        <w:rPr>
          <w:rFonts w:ascii="Aptos" w:hAnsi="Aptos" w:eastAsia="Aptos"/>
          <w:color w:val="24323D"/>
          <w:sz w:val="15"/>
        </w:rPr>
        <w:t xml:space="preserve">PMID : 30923088. </w:t>
      </w:r>
      <w:r>
        <w:rPr>
          <w:rFonts w:ascii="Aptos" w:hAnsi="Aptos" w:eastAsia="Aptos"/>
          <w:color w:val="24323D"/>
          <w:sz w:val="15"/>
        </w:rPr>
        <w:t xml:space="preserve">PMCID : PMC6461489. </w:t>
      </w:r>
      <w:r>
        <w:rPr>
          <w:rFonts w:ascii="Aptos" w:hAnsi="Aptos" w:eastAsia="Aptos"/>
          <w:color w:val="24323D"/>
          <w:sz w:val="15"/>
        </w:rPr>
        <w:t xml:space="preserve">Type : validation multicentrique. Usage : option DSC à faible angle et correction. Limite : patients sélectionnés et contexte tumoral. </w:t>
      </w:r>
      <w:hyperlink r:id="rId56">
        <w:r>
          <w:rPr>
            <w:rStyle w:val="Hyperlink"/>
          </w:rPr>
          <w:t>Notice PubMed 30923088</w:t>
        </w:r>
      </w:hyperlink>
    </w:p>
    <w:p>
      <w:pPr>
        <w:pStyle w:val="Reference"/>
        <w:keepLines/>
        <w:spacing w:after="90" w:line="240" w:lineRule="auto"/>
      </w:pPr>
      <w:r>
        <w:rPr>
          <w:rFonts w:ascii="Aptos" w:hAnsi="Aptos" w:eastAsia="Aptos"/>
          <w:color w:val="24323D"/>
          <w:sz w:val="15"/>
        </w:rPr>
        <w:t xml:space="preserve">[R24] Semmineh NB. A Population-Based Digital Reference Object (DRO) for Optimizing Dynamic Susceptibility Contrast (DSC)-MRI Methods for Clinical Trials. Tomography. 2017;3(1):41-49. </w:t>
      </w:r>
      <w:r>
        <w:rPr>
          <w:rFonts w:ascii="Aptos" w:hAnsi="Aptos" w:eastAsia="Aptos"/>
          <w:b/>
          <w:color w:val="24323D"/>
          <w:sz w:val="15"/>
        </w:rPr>
        <w:t xml:space="preserve">DOI : </w:t>
      </w:r>
      <w:hyperlink r:id="rId57">
        <w:r>
          <w:rPr>
            <w:rStyle w:val="Hyperlink"/>
          </w:rPr>
          <w:t>10.18383/j.tom.2016.00286</w:t>
        </w:r>
      </w:hyperlink>
      <w:r>
        <w:rPr>
          <w:rFonts w:ascii="Aptos" w:hAnsi="Aptos" w:eastAsia="Aptos"/>
          <w:color w:val="24323D"/>
          <w:sz w:val="15"/>
        </w:rPr>
        <w:t xml:space="preserve">. </w:t>
      </w:r>
      <w:r>
        <w:rPr>
          <w:rFonts w:ascii="Aptos" w:hAnsi="Aptos" w:eastAsia="Aptos"/>
          <w:color w:val="24323D"/>
          <w:sz w:val="15"/>
        </w:rPr>
        <w:t xml:space="preserve">PMID : 28584878. </w:t>
      </w:r>
      <w:r>
        <w:rPr>
          <w:rFonts w:ascii="Aptos" w:hAnsi="Aptos" w:eastAsia="Aptos"/>
          <w:color w:val="24323D"/>
          <w:sz w:val="15"/>
        </w:rPr>
        <w:t xml:space="preserve">PMCID : PMC5454781. </w:t>
      </w:r>
      <w:r>
        <w:rPr>
          <w:rFonts w:ascii="Aptos" w:hAnsi="Aptos" w:eastAsia="Aptos"/>
          <w:color w:val="24323D"/>
          <w:sz w:val="15"/>
        </w:rPr>
        <w:t xml:space="preserve">Type : digital reference object. Usage : optimisation DSC pour essais. Limite : simulation physiologique. </w:t>
      </w:r>
      <w:hyperlink r:id="rId58">
        <w:r>
          <w:rPr>
            <w:rStyle w:val="Hyperlink"/>
          </w:rPr>
          <w:t>Notice PubMed 28584878</w:t>
        </w:r>
      </w:hyperlink>
    </w:p>
    <w:p>
      <w:pPr>
        <w:pStyle w:val="Reference"/>
        <w:keepLines/>
        <w:spacing w:after="90" w:line="240" w:lineRule="auto"/>
      </w:pPr>
      <w:r>
        <w:rPr>
          <w:rFonts w:ascii="Aptos" w:hAnsi="Aptos" w:eastAsia="Aptos"/>
          <w:color w:val="24323D"/>
          <w:sz w:val="15"/>
        </w:rPr>
        <w:t xml:space="preserve">[R25] Schmainda KM. Multisite Concordance of DSC-MRI Analysis for Brain Tumors: Results of a National Cancer Institute Quantitative Imaging Network Collaborative Project. AJNR Am J Neuroradiol. 2018;39(6):1008-1016. </w:t>
      </w:r>
      <w:r>
        <w:rPr>
          <w:rFonts w:ascii="Aptos" w:hAnsi="Aptos" w:eastAsia="Aptos"/>
          <w:b/>
          <w:color w:val="24323D"/>
          <w:sz w:val="15"/>
        </w:rPr>
        <w:t xml:space="preserve">DOI : </w:t>
      </w:r>
      <w:hyperlink r:id="rId59">
        <w:r>
          <w:rPr>
            <w:rStyle w:val="Hyperlink"/>
          </w:rPr>
          <w:t>10.3174/ajnr.A5675</w:t>
        </w:r>
      </w:hyperlink>
      <w:r>
        <w:rPr>
          <w:rFonts w:ascii="Aptos" w:hAnsi="Aptos" w:eastAsia="Aptos"/>
          <w:color w:val="24323D"/>
          <w:sz w:val="15"/>
        </w:rPr>
        <w:t xml:space="preserve">. </w:t>
      </w:r>
      <w:r>
        <w:rPr>
          <w:rFonts w:ascii="Aptos" w:hAnsi="Aptos" w:eastAsia="Aptos"/>
          <w:color w:val="24323D"/>
          <w:sz w:val="15"/>
        </w:rPr>
        <w:t xml:space="preserve">PMID : 29794239. </w:t>
      </w:r>
      <w:r>
        <w:rPr>
          <w:rFonts w:ascii="Aptos" w:hAnsi="Aptos" w:eastAsia="Aptos"/>
          <w:color w:val="24323D"/>
          <w:sz w:val="15"/>
        </w:rPr>
        <w:t xml:space="preserve">PMCID : PMC6002911. </w:t>
      </w:r>
      <w:r>
        <w:rPr>
          <w:rFonts w:ascii="Aptos" w:hAnsi="Aptos" w:eastAsia="Aptos"/>
          <w:color w:val="24323D"/>
          <w:sz w:val="15"/>
        </w:rPr>
        <w:t xml:space="preserve">Type : projet collaboratif multisite. Usage : concordance rCBV/rCBF. Limite : données et AIF imposées. </w:t>
      </w:r>
      <w:hyperlink r:id="rId60">
        <w:r>
          <w:rPr>
            <w:rStyle w:val="Hyperlink"/>
          </w:rPr>
          <w:t>Notice PubMed 29794239</w:t>
        </w:r>
      </w:hyperlink>
    </w:p>
    <w:p>
      <w:pPr>
        <w:pStyle w:val="Reference"/>
        <w:keepLines/>
        <w:spacing w:after="90" w:line="240" w:lineRule="auto"/>
      </w:pPr>
      <w:r>
        <w:rPr>
          <w:rFonts w:ascii="Aptos" w:hAnsi="Aptos" w:eastAsia="Aptos"/>
          <w:color w:val="24323D"/>
          <w:sz w:val="15"/>
        </w:rPr>
        <w:t xml:space="preserve">[R26] Bell LC. Evaluating the Use of rCBV as a Tumor Grade and Treatment Response Classifier Across NCI Quantitative Imaging Network Sites: Part II of the DSC-MRI Digital Reference Object (DRO) Challenge. Tomography. 2020;6(2):203-208. </w:t>
      </w:r>
      <w:r>
        <w:rPr>
          <w:rFonts w:ascii="Aptos" w:hAnsi="Aptos" w:eastAsia="Aptos"/>
          <w:b/>
          <w:color w:val="24323D"/>
          <w:sz w:val="15"/>
        </w:rPr>
        <w:t xml:space="preserve">DOI : </w:t>
      </w:r>
      <w:hyperlink r:id="rId61">
        <w:r>
          <w:rPr>
            <w:rStyle w:val="Hyperlink"/>
          </w:rPr>
          <w:t>10.18383/j.tom.2020.00012</w:t>
        </w:r>
      </w:hyperlink>
      <w:r>
        <w:rPr>
          <w:rFonts w:ascii="Aptos" w:hAnsi="Aptos" w:eastAsia="Aptos"/>
          <w:color w:val="24323D"/>
          <w:sz w:val="15"/>
        </w:rPr>
        <w:t xml:space="preserve">. </w:t>
      </w:r>
      <w:r>
        <w:rPr>
          <w:rFonts w:ascii="Aptos" w:hAnsi="Aptos" w:eastAsia="Aptos"/>
          <w:color w:val="24323D"/>
          <w:sz w:val="15"/>
        </w:rPr>
        <w:t xml:space="preserve">PMID : 32548297. </w:t>
      </w:r>
      <w:r>
        <w:rPr>
          <w:rFonts w:ascii="Aptos" w:hAnsi="Aptos" w:eastAsia="Aptos"/>
          <w:color w:val="24323D"/>
          <w:sz w:val="15"/>
        </w:rPr>
        <w:t xml:space="preserve">PMCID : PMC7289259. </w:t>
      </w:r>
      <w:r>
        <w:rPr>
          <w:rFonts w:ascii="Aptos" w:hAnsi="Aptos" w:eastAsia="Aptos"/>
          <w:color w:val="24323D"/>
          <w:sz w:val="15"/>
        </w:rPr>
        <w:t xml:space="preserve">Type : challenge multicentrique. Usage : impact de la reproductibilité rCBV. Limite : classification simulée à partir d'un DRO. </w:t>
      </w:r>
      <w:hyperlink r:id="rId62">
        <w:r>
          <w:rPr>
            <w:rStyle w:val="Hyperlink"/>
          </w:rPr>
          <w:t>Notice PubMed 32548297</w:t>
        </w:r>
      </w:hyperlink>
    </w:p>
    <w:p>
      <w:pPr>
        <w:pStyle w:val="Reference"/>
        <w:keepLines/>
        <w:spacing w:after="90" w:line="240" w:lineRule="auto"/>
      </w:pPr>
      <w:r>
        <w:rPr>
          <w:rFonts w:ascii="Aptos" w:hAnsi="Aptos" w:eastAsia="Aptos"/>
          <w:color w:val="24323D"/>
          <w:sz w:val="15"/>
        </w:rPr>
        <w:t xml:space="preserve">[R27] Schmidt MA. Standardized acquisition and post-processing of dynamic susceptibility contrast perfusion in patients with brain tumors, cerebrovascular disease and dementia: comparability of post-processing software. Br J Radiol. 2020;93(1105):20190543. </w:t>
      </w:r>
      <w:r>
        <w:rPr>
          <w:rFonts w:ascii="Aptos" w:hAnsi="Aptos" w:eastAsia="Aptos"/>
          <w:b/>
          <w:color w:val="24323D"/>
          <w:sz w:val="15"/>
        </w:rPr>
        <w:t xml:space="preserve">DOI : </w:t>
      </w:r>
      <w:hyperlink r:id="rId63">
        <w:r>
          <w:rPr>
            <w:rStyle w:val="Hyperlink"/>
          </w:rPr>
          <w:t>10.1259/bjr.20190543</w:t>
        </w:r>
      </w:hyperlink>
      <w:r>
        <w:rPr>
          <w:rFonts w:ascii="Aptos" w:hAnsi="Aptos" w:eastAsia="Aptos"/>
          <w:color w:val="24323D"/>
          <w:sz w:val="15"/>
        </w:rPr>
        <w:t xml:space="preserve">. </w:t>
      </w:r>
      <w:r>
        <w:rPr>
          <w:rFonts w:ascii="Aptos" w:hAnsi="Aptos" w:eastAsia="Aptos"/>
          <w:color w:val="24323D"/>
          <w:sz w:val="15"/>
        </w:rPr>
        <w:t xml:space="preserve">PMID : 31617743. </w:t>
      </w:r>
      <w:r>
        <w:rPr>
          <w:rFonts w:ascii="Aptos" w:hAnsi="Aptos" w:eastAsia="Aptos"/>
          <w:color w:val="24323D"/>
          <w:sz w:val="15"/>
        </w:rPr>
        <w:t xml:space="preserve">PMCID : PMC6948086. </w:t>
      </w:r>
      <w:r>
        <w:rPr>
          <w:rFonts w:ascii="Aptos" w:hAnsi="Aptos" w:eastAsia="Aptos"/>
          <w:color w:val="24323D"/>
          <w:sz w:val="15"/>
        </w:rPr>
        <w:t xml:space="preserve">Type : étude multicentrique de logiciels. Usage : comparabilité DSC multi-maladies. Limite : deux solutions de traitement. </w:t>
      </w:r>
      <w:hyperlink r:id="rId64">
        <w:r>
          <w:rPr>
            <w:rStyle w:val="Hyperlink"/>
          </w:rPr>
          <w:t>Notice PubMed 31617743</w:t>
        </w:r>
      </w:hyperlink>
    </w:p>
    <w:p>
      <w:pPr>
        <w:pStyle w:val="Reference"/>
        <w:keepLines/>
        <w:spacing w:after="90" w:line="240" w:lineRule="auto"/>
      </w:pPr>
      <w:r>
        <w:rPr>
          <w:rFonts w:ascii="Aptos" w:hAnsi="Aptos" w:eastAsia="Aptos"/>
          <w:color w:val="24323D"/>
          <w:sz w:val="15"/>
        </w:rPr>
        <w:t xml:space="preserve">[R28] Tofts PS. Measurement of the blood-brain barrier permeability and leakage space using dynamic MR imaging. 1. Fundamental concepts. Magn Reson Med. 1991;17(2):357-67. </w:t>
      </w:r>
      <w:r>
        <w:rPr>
          <w:rFonts w:ascii="Aptos" w:hAnsi="Aptos" w:eastAsia="Aptos"/>
          <w:b/>
          <w:color w:val="24323D"/>
          <w:sz w:val="15"/>
        </w:rPr>
        <w:t xml:space="preserve">DOI : </w:t>
      </w:r>
      <w:hyperlink r:id="rId65">
        <w:r>
          <w:rPr>
            <w:rStyle w:val="Hyperlink"/>
          </w:rPr>
          <w:t>10.1002/mrm.1910170208</w:t>
        </w:r>
      </w:hyperlink>
      <w:r>
        <w:rPr>
          <w:rFonts w:ascii="Aptos" w:hAnsi="Aptos" w:eastAsia="Aptos"/>
          <w:color w:val="24323D"/>
          <w:sz w:val="15"/>
        </w:rPr>
        <w:t xml:space="preserve">. </w:t>
      </w:r>
      <w:r>
        <w:rPr>
          <w:rFonts w:ascii="Aptos" w:hAnsi="Aptos" w:eastAsia="Aptos"/>
          <w:color w:val="24323D"/>
          <w:sz w:val="15"/>
        </w:rPr>
        <w:t xml:space="preserve">PMID : 2062210.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article fondateur. Usage : modélisation DCE de la BBB. Limite : méthodes historiques et lésions focales. </w:t>
      </w:r>
      <w:hyperlink r:id="rId66">
        <w:r>
          <w:rPr>
            <w:rStyle w:val="Hyperlink"/>
          </w:rPr>
          <w:t>Notice PubMed 2062210</w:t>
        </w:r>
      </w:hyperlink>
    </w:p>
    <w:p>
      <w:pPr>
        <w:pStyle w:val="Reference"/>
        <w:keepLines/>
        <w:spacing w:after="90" w:line="240" w:lineRule="auto"/>
      </w:pPr>
      <w:r>
        <w:rPr>
          <w:rFonts w:ascii="Aptos" w:hAnsi="Aptos" w:eastAsia="Aptos"/>
          <w:color w:val="24323D"/>
          <w:sz w:val="15"/>
        </w:rPr>
        <w:t xml:space="preserve">[R29] Taheri S. Quantitative measurement of blood-brain barrier permeability in human using dynamic contrast-enhanced MRI with fast T1 mapping. Magn Reson Med. 2011;65(4):1036-42. </w:t>
      </w:r>
      <w:r>
        <w:rPr>
          <w:rFonts w:ascii="Aptos" w:hAnsi="Aptos" w:eastAsia="Aptos"/>
          <w:b/>
          <w:color w:val="24323D"/>
          <w:sz w:val="15"/>
        </w:rPr>
        <w:t xml:space="preserve">DOI : </w:t>
      </w:r>
      <w:hyperlink r:id="rId67">
        <w:r>
          <w:rPr>
            <w:rStyle w:val="Hyperlink"/>
          </w:rPr>
          <w:t>10.1002/mrm.22686</w:t>
        </w:r>
      </w:hyperlink>
      <w:r>
        <w:rPr>
          <w:rFonts w:ascii="Aptos" w:hAnsi="Aptos" w:eastAsia="Aptos"/>
          <w:color w:val="24323D"/>
          <w:sz w:val="15"/>
        </w:rPr>
        <w:t xml:space="preserve">. </w:t>
      </w:r>
      <w:r>
        <w:rPr>
          <w:rFonts w:ascii="Aptos" w:hAnsi="Aptos" w:eastAsia="Aptos"/>
          <w:color w:val="24323D"/>
          <w:sz w:val="15"/>
        </w:rPr>
        <w:t xml:space="preserve">PMID : 21413067. </w:t>
      </w:r>
      <w:r>
        <w:rPr>
          <w:rFonts w:ascii="Aptos" w:hAnsi="Aptos" w:eastAsia="Aptos"/>
          <w:color w:val="24323D"/>
          <w:sz w:val="15"/>
        </w:rPr>
        <w:t xml:space="preserve">PMCID : PMC4950947. </w:t>
      </w:r>
      <w:r>
        <w:rPr>
          <w:rFonts w:ascii="Aptos" w:hAnsi="Aptos" w:eastAsia="Aptos"/>
          <w:color w:val="24323D"/>
          <w:sz w:val="15"/>
        </w:rPr>
        <w:t xml:space="preserve">Type : étude méthodologique humaine. Usage : faible fuite BBB par DCE. Limite : cohorte restreinte et référence imparfaite. </w:t>
      </w:r>
      <w:hyperlink r:id="rId68">
        <w:r>
          <w:rPr>
            <w:rStyle w:val="Hyperlink"/>
          </w:rPr>
          <w:t>Notice PubMed 21413067</w:t>
        </w:r>
      </w:hyperlink>
    </w:p>
    <w:p>
      <w:pPr>
        <w:pStyle w:val="Reference"/>
        <w:keepLines/>
        <w:spacing w:after="90" w:line="240" w:lineRule="auto"/>
      </w:pPr>
      <w:r>
        <w:rPr>
          <w:rFonts w:ascii="Aptos" w:hAnsi="Aptos" w:eastAsia="Aptos"/>
          <w:color w:val="24323D"/>
          <w:sz w:val="15"/>
        </w:rPr>
        <w:t xml:space="preserve">[R30] Varatharaj A. Blood-brain barrier permeability measured using dynamic contrast-enhanced magnetic resonance imaging: a validation study. J Physiol. 2019;597(3):699-709. </w:t>
      </w:r>
      <w:r>
        <w:rPr>
          <w:rFonts w:ascii="Aptos" w:hAnsi="Aptos" w:eastAsia="Aptos"/>
          <w:b/>
          <w:color w:val="24323D"/>
          <w:sz w:val="15"/>
        </w:rPr>
        <w:t xml:space="preserve">DOI : </w:t>
      </w:r>
      <w:hyperlink r:id="rId69">
        <w:r>
          <w:rPr>
            <w:rStyle w:val="Hyperlink"/>
          </w:rPr>
          <w:t>10.1113/JP276887</w:t>
        </w:r>
      </w:hyperlink>
      <w:r>
        <w:rPr>
          <w:rFonts w:ascii="Aptos" w:hAnsi="Aptos" w:eastAsia="Aptos"/>
          <w:color w:val="24323D"/>
          <w:sz w:val="15"/>
        </w:rPr>
        <w:t xml:space="preserve">. </w:t>
      </w:r>
      <w:r>
        <w:rPr>
          <w:rFonts w:ascii="Aptos" w:hAnsi="Aptos" w:eastAsia="Aptos"/>
          <w:color w:val="24323D"/>
          <w:sz w:val="15"/>
        </w:rPr>
        <w:t xml:space="preserve">PMID : 30417928. </w:t>
      </w:r>
      <w:r>
        <w:rPr>
          <w:rFonts w:ascii="Aptos" w:hAnsi="Aptos" w:eastAsia="Aptos"/>
          <w:color w:val="24323D"/>
          <w:sz w:val="15"/>
        </w:rPr>
        <w:t xml:space="preserve">PMCID : PMC6355631. </w:t>
      </w:r>
      <w:r>
        <w:rPr>
          <w:rFonts w:ascii="Aptos" w:hAnsi="Aptos" w:eastAsia="Aptos"/>
          <w:color w:val="24323D"/>
          <w:sz w:val="15"/>
        </w:rPr>
        <w:t xml:space="preserve">Type : étude de validation biologique. Usage : Ki DCE comme marqueur de fuite. Limite : petites cohortes et marqueur composite. </w:t>
      </w:r>
      <w:hyperlink r:id="rId70">
        <w:r>
          <w:rPr>
            <w:rStyle w:val="Hyperlink"/>
          </w:rPr>
          <w:t>Notice PubMed 30417928</w:t>
        </w:r>
      </w:hyperlink>
    </w:p>
    <w:p>
      <w:pPr>
        <w:pStyle w:val="Reference"/>
        <w:keepLines/>
        <w:spacing w:after="90" w:line="240" w:lineRule="auto"/>
      </w:pPr>
      <w:r>
        <w:rPr>
          <w:rFonts w:ascii="Aptos" w:hAnsi="Aptos" w:eastAsia="Aptos"/>
          <w:color w:val="24323D"/>
          <w:sz w:val="15"/>
        </w:rPr>
        <w:t xml:space="preserve">[R31] Fan AP. Quantification of brain oxygen extraction and metabolism with [15O]-gas PET: A technical review in the era of PET/MRI. Neuroimage. 2020;220:117136. </w:t>
      </w:r>
      <w:r>
        <w:rPr>
          <w:rFonts w:ascii="Aptos" w:hAnsi="Aptos" w:eastAsia="Aptos"/>
          <w:b/>
          <w:color w:val="24323D"/>
          <w:sz w:val="15"/>
        </w:rPr>
        <w:t xml:space="preserve">DOI : </w:t>
      </w:r>
      <w:hyperlink r:id="rId71">
        <w:r>
          <w:rPr>
            <w:rStyle w:val="Hyperlink"/>
          </w:rPr>
          <w:t>10.1016/j.neuroimage.2020.117136</w:t>
        </w:r>
      </w:hyperlink>
      <w:r>
        <w:rPr>
          <w:rFonts w:ascii="Aptos" w:hAnsi="Aptos" w:eastAsia="Aptos"/>
          <w:color w:val="24323D"/>
          <w:sz w:val="15"/>
        </w:rPr>
        <w:t xml:space="preserve">. </w:t>
      </w:r>
      <w:r>
        <w:rPr>
          <w:rFonts w:ascii="Aptos" w:hAnsi="Aptos" w:eastAsia="Aptos"/>
          <w:color w:val="24323D"/>
          <w:sz w:val="15"/>
        </w:rPr>
        <w:t xml:space="preserve">PMID : 32634594. </w:t>
      </w:r>
      <w:r>
        <w:rPr>
          <w:rFonts w:ascii="Aptos" w:hAnsi="Aptos" w:eastAsia="Aptos"/>
          <w:color w:val="24323D"/>
          <w:sz w:val="15"/>
        </w:rPr>
        <w:t xml:space="preserve">PMCID : PMC7592419. </w:t>
      </w:r>
      <w:r>
        <w:rPr>
          <w:rFonts w:ascii="Aptos" w:hAnsi="Aptos" w:eastAsia="Aptos"/>
          <w:color w:val="24323D"/>
          <w:sz w:val="15"/>
        </w:rPr>
        <w:t xml:space="preserve">Type : revue technique et méta-analyse. Usage : PET O-15 OEF/CMRO₂. Limite : hétérogénéité des protocoles. </w:t>
      </w:r>
      <w:hyperlink r:id="rId72">
        <w:r>
          <w:rPr>
            <w:rStyle w:val="Hyperlink"/>
          </w:rPr>
          <w:t>Notice PubMed 32634594</w:t>
        </w:r>
      </w:hyperlink>
    </w:p>
    <w:p>
      <w:pPr>
        <w:pStyle w:val="Reference"/>
        <w:keepLines/>
        <w:spacing w:after="90" w:line="240" w:lineRule="auto"/>
      </w:pPr>
      <w:r>
        <w:rPr>
          <w:rFonts w:ascii="Aptos" w:hAnsi="Aptos" w:eastAsia="Aptos"/>
          <w:color w:val="24323D"/>
          <w:sz w:val="15"/>
        </w:rPr>
        <w:t xml:space="preserve">[R32] Baron JC. Oxygen metabolism, oxygen extraction and positron emission tomography: Historical perspective and impact on basic and clinical neuroscience. Neuroimage. 2012;61(2):492-504. </w:t>
      </w:r>
      <w:r>
        <w:rPr>
          <w:rFonts w:ascii="Aptos" w:hAnsi="Aptos" w:eastAsia="Aptos"/>
          <w:b/>
          <w:color w:val="24323D"/>
          <w:sz w:val="15"/>
        </w:rPr>
        <w:t xml:space="preserve">DOI : </w:t>
      </w:r>
      <w:hyperlink r:id="rId73">
        <w:r>
          <w:rPr>
            <w:rStyle w:val="Hyperlink"/>
          </w:rPr>
          <w:t>10.1016/j.neuroimage.2011.12.036</w:t>
        </w:r>
      </w:hyperlink>
      <w:r>
        <w:rPr>
          <w:rFonts w:ascii="Aptos" w:hAnsi="Aptos" w:eastAsia="Aptos"/>
          <w:color w:val="24323D"/>
          <w:sz w:val="15"/>
        </w:rPr>
        <w:t xml:space="preserve">. </w:t>
      </w:r>
      <w:r>
        <w:rPr>
          <w:rFonts w:ascii="Aptos" w:hAnsi="Aptos" w:eastAsia="Aptos"/>
          <w:color w:val="24323D"/>
          <w:sz w:val="15"/>
        </w:rPr>
        <w:t xml:space="preserve">PMID : 22227130.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revue historique. Usage : évolution de l'OEF PET. Limite : synthèse narrative. </w:t>
      </w:r>
      <w:hyperlink r:id="rId74">
        <w:r>
          <w:rPr>
            <w:rStyle w:val="Hyperlink"/>
          </w:rPr>
          <w:t>Notice PubMed 22227130</w:t>
        </w:r>
      </w:hyperlink>
    </w:p>
    <w:p>
      <w:pPr>
        <w:pStyle w:val="Reference"/>
        <w:keepLines/>
        <w:spacing w:after="90" w:line="240" w:lineRule="auto"/>
      </w:pPr>
      <w:r>
        <w:rPr>
          <w:rFonts w:ascii="Aptos" w:hAnsi="Aptos" w:eastAsia="Aptos"/>
          <w:color w:val="24323D"/>
          <w:sz w:val="15"/>
        </w:rPr>
        <w:t xml:space="preserve">[R33] Wehrli FW. Recent Advances in MR Imaging-based Quantification of Brain Oxygen Metabolism. Magn Reson Med Sci. 2024;23(3):377-403. </w:t>
      </w:r>
      <w:r>
        <w:rPr>
          <w:rFonts w:ascii="Aptos" w:hAnsi="Aptos" w:eastAsia="Aptos"/>
          <w:b/>
          <w:color w:val="24323D"/>
          <w:sz w:val="15"/>
        </w:rPr>
        <w:t xml:space="preserve">DOI : </w:t>
      </w:r>
      <w:hyperlink r:id="rId75">
        <w:r>
          <w:rPr>
            <w:rStyle w:val="Hyperlink"/>
          </w:rPr>
          <w:t>10.2463/mrms.rev.2024-0028</w:t>
        </w:r>
      </w:hyperlink>
      <w:r>
        <w:rPr>
          <w:rFonts w:ascii="Aptos" w:hAnsi="Aptos" w:eastAsia="Aptos"/>
          <w:color w:val="24323D"/>
          <w:sz w:val="15"/>
        </w:rPr>
        <w:t xml:space="preserve">. </w:t>
      </w:r>
      <w:r>
        <w:rPr>
          <w:rFonts w:ascii="Aptos" w:hAnsi="Aptos" w:eastAsia="Aptos"/>
          <w:color w:val="24323D"/>
          <w:sz w:val="15"/>
        </w:rPr>
        <w:t xml:space="preserve">PMID : 38866481. </w:t>
      </w:r>
      <w:r>
        <w:rPr>
          <w:rFonts w:ascii="Aptos" w:hAnsi="Aptos" w:eastAsia="Aptos"/>
          <w:color w:val="24323D"/>
          <w:sz w:val="15"/>
        </w:rPr>
        <w:t xml:space="preserve">PMCID : PMC11234951. </w:t>
      </w:r>
      <w:r>
        <w:rPr>
          <w:rFonts w:ascii="Aptos" w:hAnsi="Aptos" w:eastAsia="Aptos"/>
          <w:color w:val="24323D"/>
          <w:sz w:val="15"/>
        </w:rPr>
        <w:t xml:space="preserve">Type : revue technique récente. Usage : CMRO₂ par MRI. Limite : plusieurs méthodes encore émergentes. </w:t>
      </w:r>
      <w:hyperlink r:id="rId76">
        <w:r>
          <w:rPr>
            <w:rStyle w:val="Hyperlink"/>
          </w:rPr>
          <w:t>Notice PubMed 38866481</w:t>
        </w:r>
      </w:hyperlink>
    </w:p>
    <w:p>
      <w:pPr>
        <w:pStyle w:val="Reference"/>
        <w:keepLines/>
        <w:spacing w:after="90" w:line="240" w:lineRule="auto"/>
      </w:pPr>
      <w:r>
        <w:rPr>
          <w:rFonts w:ascii="Aptos" w:hAnsi="Aptos" w:eastAsia="Aptos"/>
          <w:color w:val="24323D"/>
          <w:sz w:val="15"/>
        </w:rPr>
        <w:t xml:space="preserve">[R34] Narciso L. A non-invasive reference-based method for imaging the cerebral metabolic rate of oxygen by PET/MR: theory and error analysis. Phys Med Biol. 2021;66(6):065009. </w:t>
      </w:r>
      <w:r>
        <w:rPr>
          <w:rFonts w:ascii="Aptos" w:hAnsi="Aptos" w:eastAsia="Aptos"/>
          <w:b/>
          <w:color w:val="24323D"/>
          <w:sz w:val="15"/>
        </w:rPr>
        <w:t xml:space="preserve">DOI : </w:t>
      </w:r>
      <w:hyperlink r:id="rId77">
        <w:r>
          <w:rPr>
            <w:rStyle w:val="Hyperlink"/>
          </w:rPr>
          <w:t>10.1088/1361-6560/abe737</w:t>
        </w:r>
      </w:hyperlink>
      <w:r>
        <w:rPr>
          <w:rFonts w:ascii="Aptos" w:hAnsi="Aptos" w:eastAsia="Aptos"/>
          <w:color w:val="24323D"/>
          <w:sz w:val="15"/>
        </w:rPr>
        <w:t xml:space="preserve">. </w:t>
      </w:r>
      <w:r>
        <w:rPr>
          <w:rFonts w:ascii="Aptos" w:hAnsi="Aptos" w:eastAsia="Aptos"/>
          <w:color w:val="24323D"/>
          <w:sz w:val="15"/>
        </w:rPr>
        <w:t xml:space="preserve">PMID : 33596555.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méthode PET/MR. Usage : CMRO₂ sans prélèvement artériel direct. Limite : validation initiale et hypothèses globales. </w:t>
      </w:r>
      <w:hyperlink r:id="rId78">
        <w:r>
          <w:rPr>
            <w:rStyle w:val="Hyperlink"/>
          </w:rPr>
          <w:t>Notice PubMed 33596555</w:t>
        </w:r>
      </w:hyperlink>
    </w:p>
    <w:p>
      <w:pPr>
        <w:pStyle w:val="Reference"/>
        <w:keepLines/>
        <w:spacing w:after="90" w:line="240" w:lineRule="auto"/>
      </w:pPr>
      <w:r>
        <w:rPr>
          <w:rFonts w:ascii="Aptos" w:hAnsi="Aptos" w:eastAsia="Aptos"/>
          <w:color w:val="24323D"/>
          <w:sz w:val="15"/>
        </w:rPr>
        <w:t xml:space="preserve">[R35] Derdeyn CP. Comparison of PET oxygen extraction fraction methods for the prediction of stroke risk. J Nucl Med. 2001;42(8):1195-7. </w:t>
      </w:r>
      <w:r>
        <w:rPr>
          <w:rFonts w:ascii="Aptos" w:hAnsi="Aptos" w:eastAsia="Aptos"/>
          <w:color w:val="24323D"/>
          <w:sz w:val="15"/>
        </w:rPr>
        <w:t xml:space="preserve">DOI : N/A — absence vérifiée dans PubMed et Crossref. </w:t>
      </w:r>
      <w:r>
        <w:rPr>
          <w:rFonts w:ascii="Aptos" w:hAnsi="Aptos" w:eastAsia="Aptos"/>
          <w:color w:val="24323D"/>
          <w:sz w:val="15"/>
        </w:rPr>
        <w:t xml:space="preserve">PMID : 11483680.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comparaison prospective de métriques. Usage : OEF et risque d'AVC. Limite : maladie carotidienne unilatérale. </w:t>
      </w:r>
      <w:hyperlink r:id="rId79">
        <w:r>
          <w:rPr>
            <w:rStyle w:val="Hyperlink"/>
          </w:rPr>
          <w:t>Notice PubMed 11483680</w:t>
        </w:r>
      </w:hyperlink>
    </w:p>
    <w:p>
      <w:pPr>
        <w:pStyle w:val="Reference"/>
        <w:keepLines/>
        <w:spacing w:after="90" w:line="240" w:lineRule="auto"/>
      </w:pPr>
      <w:r>
        <w:rPr>
          <w:rFonts w:ascii="Aptos" w:hAnsi="Aptos" w:eastAsia="Aptos"/>
          <w:color w:val="24323D"/>
          <w:sz w:val="15"/>
        </w:rPr>
        <w:t xml:space="preserve">[R36] Derdeyn CP. Count-based PET method for predicting ischemic stroke in patients with symptomatic carotid arterial occlusion. Radiology. 1999;212(2):499-506. </w:t>
      </w:r>
      <w:r>
        <w:rPr>
          <w:rFonts w:ascii="Aptos" w:hAnsi="Aptos" w:eastAsia="Aptos"/>
          <w:b/>
          <w:color w:val="24323D"/>
          <w:sz w:val="15"/>
        </w:rPr>
        <w:t xml:space="preserve">DOI : </w:t>
      </w:r>
      <w:hyperlink r:id="rId80">
        <w:r>
          <w:rPr>
            <w:rStyle w:val="Hyperlink"/>
          </w:rPr>
          <w:t>10.1148/radiology.212.2.r99au27499</w:t>
        </w:r>
      </w:hyperlink>
      <w:r>
        <w:rPr>
          <w:rFonts w:ascii="Aptos" w:hAnsi="Aptos" w:eastAsia="Aptos"/>
          <w:color w:val="24323D"/>
          <w:sz w:val="15"/>
        </w:rPr>
        <w:t xml:space="preserve">. </w:t>
      </w:r>
      <w:r>
        <w:rPr>
          <w:rFonts w:ascii="Aptos" w:hAnsi="Aptos" w:eastAsia="Aptos"/>
          <w:color w:val="24323D"/>
          <w:sz w:val="15"/>
        </w:rPr>
        <w:t xml:space="preserve">PMID : 10429709.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cohorte prospective. Usage : OEF count-based et risque. Limite : spécificité limitée. </w:t>
      </w:r>
      <w:hyperlink r:id="rId81">
        <w:r>
          <w:rPr>
            <w:rStyle w:val="Hyperlink"/>
          </w:rPr>
          <w:t>Notice PubMed 10429709</w:t>
        </w:r>
      </w:hyperlink>
    </w:p>
    <w:p>
      <w:pPr>
        <w:pStyle w:val="Reference"/>
        <w:keepLines/>
        <w:spacing w:after="90" w:line="240" w:lineRule="auto"/>
      </w:pPr>
      <w:r>
        <w:rPr>
          <w:rFonts w:ascii="Aptos" w:hAnsi="Aptos" w:eastAsia="Aptos"/>
          <w:color w:val="24323D"/>
          <w:sz w:val="15"/>
        </w:rPr>
        <w:t xml:space="preserve">[R37] Okazawa H. Can the detection of misery perfusion in chronic cerebrovascular disease be based on reductions in baseline CBF and vasoreactivity? Eur J Nucl Med Mol Imaging. 2007;34(1):121-9. </w:t>
      </w:r>
      <w:r>
        <w:rPr>
          <w:rFonts w:ascii="Aptos" w:hAnsi="Aptos" w:eastAsia="Aptos"/>
          <w:b/>
          <w:color w:val="24323D"/>
          <w:sz w:val="15"/>
        </w:rPr>
        <w:t xml:space="preserve">DOI : </w:t>
      </w:r>
      <w:hyperlink r:id="rId82">
        <w:r>
          <w:rPr>
            <w:rStyle w:val="Hyperlink"/>
          </w:rPr>
          <w:t>10.1007/s00259-006-0192-5</w:t>
        </w:r>
      </w:hyperlink>
      <w:r>
        <w:rPr>
          <w:rFonts w:ascii="Aptos" w:hAnsi="Aptos" w:eastAsia="Aptos"/>
          <w:color w:val="24323D"/>
          <w:sz w:val="15"/>
        </w:rPr>
        <w:t xml:space="preserve">. </w:t>
      </w:r>
      <w:r>
        <w:rPr>
          <w:rFonts w:ascii="Aptos" w:hAnsi="Aptos" w:eastAsia="Aptos"/>
          <w:color w:val="24323D"/>
          <w:sz w:val="15"/>
        </w:rPr>
        <w:t xml:space="preserve">PMID : 16896662.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comparaison PET/CVR. Usage : misery perfusion chronique. Limite : réserve et OEF non superposables. </w:t>
      </w:r>
      <w:hyperlink r:id="rId83">
        <w:r>
          <w:rPr>
            <w:rStyle w:val="Hyperlink"/>
          </w:rPr>
          <w:t>Notice PubMed 16896662</w:t>
        </w:r>
      </w:hyperlink>
    </w:p>
    <w:p>
      <w:pPr>
        <w:pStyle w:val="Reference"/>
        <w:keepLines/>
        <w:spacing w:after="90" w:line="240" w:lineRule="auto"/>
      </w:pPr>
      <w:r>
        <w:rPr>
          <w:rFonts w:ascii="Aptos" w:hAnsi="Aptos" w:eastAsia="Aptos"/>
          <w:color w:val="24323D"/>
          <w:sz w:val="15"/>
        </w:rPr>
        <w:t xml:space="preserve">[R38] Engle J. Oxygen extraction fraction (OEF) values and applications in neurological diseases. Neurol Sci. 2024;45(7):3007-3020. </w:t>
      </w:r>
      <w:r>
        <w:rPr>
          <w:rFonts w:ascii="Aptos" w:hAnsi="Aptos" w:eastAsia="Aptos"/>
          <w:b/>
          <w:color w:val="24323D"/>
          <w:sz w:val="15"/>
        </w:rPr>
        <w:t xml:space="preserve">DOI : </w:t>
      </w:r>
      <w:hyperlink r:id="rId84">
        <w:r>
          <w:rPr>
            <w:rStyle w:val="Hyperlink"/>
          </w:rPr>
          <w:t>10.1007/s10072-024-07362-6</w:t>
        </w:r>
      </w:hyperlink>
      <w:r>
        <w:rPr>
          <w:rFonts w:ascii="Aptos" w:hAnsi="Aptos" w:eastAsia="Aptos"/>
          <w:color w:val="24323D"/>
          <w:sz w:val="15"/>
        </w:rPr>
        <w:t xml:space="preserve">. </w:t>
      </w:r>
      <w:r>
        <w:rPr>
          <w:rFonts w:ascii="Aptos" w:hAnsi="Aptos" w:eastAsia="Aptos"/>
          <w:color w:val="24323D"/>
          <w:sz w:val="15"/>
        </w:rPr>
        <w:t xml:space="preserve">PMID : 38367153.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revue systématique et méta-analyse. Usage : valeurs OEF et applications. Limite : hétérogénéité des méthodes. </w:t>
      </w:r>
      <w:hyperlink r:id="rId85">
        <w:r>
          <w:rPr>
            <w:rStyle w:val="Hyperlink"/>
          </w:rPr>
          <w:t>Notice PubMed 38367153</w:t>
        </w:r>
      </w:hyperlink>
    </w:p>
    <w:p>
      <w:pPr>
        <w:pStyle w:val="Reference"/>
        <w:keepLines/>
        <w:spacing w:after="90" w:line="240" w:lineRule="auto"/>
      </w:pPr>
      <w:r>
        <w:rPr>
          <w:rFonts w:ascii="Aptos" w:hAnsi="Aptos" w:eastAsia="Aptos"/>
          <w:color w:val="24323D"/>
          <w:sz w:val="15"/>
        </w:rPr>
        <w:t xml:space="preserve">[R39] Campbell BC. Cerebral blood flow is the optimal CT perfusion parameter for assessing infarct core. Stroke. 2011;42(12):3435-40. </w:t>
      </w:r>
      <w:r>
        <w:rPr>
          <w:rFonts w:ascii="Aptos" w:hAnsi="Aptos" w:eastAsia="Aptos"/>
          <w:b/>
          <w:color w:val="24323D"/>
          <w:sz w:val="15"/>
        </w:rPr>
        <w:t xml:space="preserve">DOI : </w:t>
      </w:r>
      <w:hyperlink r:id="rId86">
        <w:r>
          <w:rPr>
            <w:rStyle w:val="Hyperlink"/>
          </w:rPr>
          <w:t>10.1161/STROKEAHA.111.618355</w:t>
        </w:r>
      </w:hyperlink>
      <w:r>
        <w:rPr>
          <w:rFonts w:ascii="Aptos" w:hAnsi="Aptos" w:eastAsia="Aptos"/>
          <w:color w:val="24323D"/>
          <w:sz w:val="15"/>
        </w:rPr>
        <w:t xml:space="preserve">. </w:t>
      </w:r>
      <w:r>
        <w:rPr>
          <w:rFonts w:ascii="Aptos" w:hAnsi="Aptos" w:eastAsia="Aptos"/>
          <w:color w:val="24323D"/>
          <w:sz w:val="15"/>
        </w:rPr>
        <w:t xml:space="preserve">PMID : 21980202.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étude comparative CTP/DWI. Usage : paramètre de core. Limite : aucun seuil sans faux positifs. </w:t>
      </w:r>
      <w:hyperlink r:id="rId87">
        <w:r>
          <w:rPr>
            <w:rStyle w:val="Hyperlink"/>
          </w:rPr>
          <w:t>Notice PubMed 21980202</w:t>
        </w:r>
      </w:hyperlink>
    </w:p>
    <w:p>
      <w:pPr>
        <w:pStyle w:val="Reference"/>
        <w:keepLines/>
        <w:spacing w:after="90" w:line="240" w:lineRule="auto"/>
      </w:pPr>
      <w:r>
        <w:rPr>
          <w:rFonts w:ascii="Aptos" w:hAnsi="Aptos" w:eastAsia="Aptos"/>
          <w:color w:val="24323D"/>
          <w:sz w:val="15"/>
        </w:rPr>
        <w:t xml:space="preserve">[R40] Albers GW. Thrombectomy for Stroke at 6 to 16 Hours with Selection by Perfusion Imaging. N Engl J Med. 2018;378(8):708-718. </w:t>
      </w:r>
      <w:r>
        <w:rPr>
          <w:rFonts w:ascii="Aptos" w:hAnsi="Aptos" w:eastAsia="Aptos"/>
          <w:b/>
          <w:color w:val="24323D"/>
          <w:sz w:val="15"/>
        </w:rPr>
        <w:t xml:space="preserve">DOI : </w:t>
      </w:r>
      <w:hyperlink r:id="rId88">
        <w:r>
          <w:rPr>
            <w:rStyle w:val="Hyperlink"/>
          </w:rPr>
          <w:t>10.1056/NEJMoa1713973</w:t>
        </w:r>
      </w:hyperlink>
      <w:r>
        <w:rPr>
          <w:rFonts w:ascii="Aptos" w:hAnsi="Aptos" w:eastAsia="Aptos"/>
          <w:color w:val="24323D"/>
          <w:sz w:val="15"/>
        </w:rPr>
        <w:t xml:space="preserve">. </w:t>
      </w:r>
      <w:r>
        <w:rPr>
          <w:rFonts w:ascii="Aptos" w:hAnsi="Aptos" w:eastAsia="Aptos"/>
          <w:color w:val="24323D"/>
          <w:sz w:val="15"/>
        </w:rPr>
        <w:t xml:space="preserve">PMID : 29364767. </w:t>
      </w:r>
      <w:r>
        <w:rPr>
          <w:rFonts w:ascii="Aptos" w:hAnsi="Aptos" w:eastAsia="Aptos"/>
          <w:color w:val="24323D"/>
          <w:sz w:val="15"/>
        </w:rPr>
        <w:t xml:space="preserve">PMCID : PMC6590673. </w:t>
      </w:r>
      <w:r>
        <w:rPr>
          <w:rFonts w:ascii="Aptos" w:hAnsi="Aptos" w:eastAsia="Aptos"/>
          <w:color w:val="24323D"/>
          <w:sz w:val="15"/>
        </w:rPr>
        <w:t xml:space="preserve">Type : essai randomisé DEFUSE 3. Usage : sélection tardive par perfusion. Limite : population et contrat d'essai définis. </w:t>
      </w:r>
      <w:hyperlink r:id="rId89">
        <w:r>
          <w:rPr>
            <w:rStyle w:val="Hyperlink"/>
          </w:rPr>
          <w:t>Notice PubMed 29364767</w:t>
        </w:r>
      </w:hyperlink>
    </w:p>
    <w:p>
      <w:pPr>
        <w:pStyle w:val="Reference"/>
        <w:keepLines/>
        <w:spacing w:after="90" w:line="240" w:lineRule="auto"/>
      </w:pPr>
      <w:r>
        <w:rPr>
          <w:rFonts w:ascii="Aptos" w:hAnsi="Aptos" w:eastAsia="Aptos"/>
          <w:color w:val="24323D"/>
          <w:sz w:val="15"/>
        </w:rPr>
        <w:t xml:space="preserve">[R41] Nogueira RG. Thrombectomy 6 to 24 Hours after Stroke with a Mismatch between Deficit and Infarct. N Engl J Med. 2018;378(1):11-21. </w:t>
      </w:r>
      <w:r>
        <w:rPr>
          <w:rFonts w:ascii="Aptos" w:hAnsi="Aptos" w:eastAsia="Aptos"/>
          <w:b/>
          <w:color w:val="24323D"/>
          <w:sz w:val="15"/>
        </w:rPr>
        <w:t xml:space="preserve">DOI : </w:t>
      </w:r>
      <w:hyperlink r:id="rId90">
        <w:r>
          <w:rPr>
            <w:rStyle w:val="Hyperlink"/>
          </w:rPr>
          <w:t>10.1056/NEJMoa1706442</w:t>
        </w:r>
      </w:hyperlink>
      <w:r>
        <w:rPr>
          <w:rFonts w:ascii="Aptos" w:hAnsi="Aptos" w:eastAsia="Aptos"/>
          <w:color w:val="24323D"/>
          <w:sz w:val="15"/>
        </w:rPr>
        <w:t xml:space="preserve">. </w:t>
      </w:r>
      <w:r>
        <w:rPr>
          <w:rFonts w:ascii="Aptos" w:hAnsi="Aptos" w:eastAsia="Aptos"/>
          <w:color w:val="24323D"/>
          <w:sz w:val="15"/>
        </w:rPr>
        <w:t xml:space="preserve">PMID : 29129157.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essai randomisé DAWN. Usage : mismatch clinique–infarctus. Limite : critères restrictifs spécifiques. </w:t>
      </w:r>
      <w:hyperlink r:id="rId91">
        <w:r>
          <w:rPr>
            <w:rStyle w:val="Hyperlink"/>
          </w:rPr>
          <w:t>Notice PubMed 29129157</w:t>
        </w:r>
      </w:hyperlink>
    </w:p>
    <w:p>
      <w:pPr>
        <w:pStyle w:val="Reference"/>
        <w:keepLines/>
        <w:spacing w:after="90" w:line="240" w:lineRule="auto"/>
      </w:pPr>
      <w:r>
        <w:rPr>
          <w:rFonts w:ascii="Aptos" w:hAnsi="Aptos" w:eastAsia="Aptos"/>
          <w:color w:val="24323D"/>
          <w:sz w:val="15"/>
        </w:rPr>
        <w:t xml:space="preserve">[R42] Campbell BCV. Penumbral imaging and functional outcome in patients with anterior circulation ischaemic stroke treated with endovascular thrombectomy versus medical therapy: a meta-analysis of individual patient-level data. Lancet Neurol. 2019;18(1):46-55. </w:t>
      </w:r>
      <w:r>
        <w:rPr>
          <w:rFonts w:ascii="Aptos" w:hAnsi="Aptos" w:eastAsia="Aptos"/>
          <w:b/>
          <w:color w:val="24323D"/>
          <w:sz w:val="15"/>
        </w:rPr>
        <w:t xml:space="preserve">DOI : </w:t>
      </w:r>
      <w:hyperlink r:id="rId92">
        <w:r>
          <w:rPr>
            <w:rStyle w:val="Hyperlink"/>
          </w:rPr>
          <w:t>10.1016/S1474-4422(18)30314-4</w:t>
        </w:r>
      </w:hyperlink>
      <w:r>
        <w:rPr>
          <w:rFonts w:ascii="Aptos" w:hAnsi="Aptos" w:eastAsia="Aptos"/>
          <w:color w:val="24323D"/>
          <w:sz w:val="15"/>
        </w:rPr>
        <w:t xml:space="preserve">. </w:t>
      </w:r>
      <w:r>
        <w:rPr>
          <w:rFonts w:ascii="Aptos" w:hAnsi="Aptos" w:eastAsia="Aptos"/>
          <w:color w:val="24323D"/>
          <w:sz w:val="15"/>
        </w:rPr>
        <w:t xml:space="preserve">PMID : 30413385.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méta-analyse individuelle. Usage : pénombre, core et effet de thrombectomie. Limite : données d'essais et définitions communes. </w:t>
      </w:r>
      <w:hyperlink r:id="rId93">
        <w:r>
          <w:rPr>
            <w:rStyle w:val="Hyperlink"/>
          </w:rPr>
          <w:t>Notice PubMed 30413385</w:t>
        </w:r>
      </w:hyperlink>
    </w:p>
    <w:p>
      <w:pPr>
        <w:pStyle w:val="Reference"/>
        <w:keepLines/>
        <w:spacing w:after="90" w:line="240" w:lineRule="auto"/>
      </w:pPr>
      <w:r>
        <w:rPr>
          <w:rFonts w:ascii="Aptos" w:hAnsi="Aptos" w:eastAsia="Aptos"/>
          <w:color w:val="24323D"/>
          <w:sz w:val="15"/>
        </w:rPr>
        <w:t xml:space="preserve">[R43] Rodrigues GM. Ghost infarct core following endovascular reperfusion: A risk for computed tomography perfusion misguided selection in stroke. Int J Stroke. 2022;17(8):897 - 905. </w:t>
      </w:r>
      <w:r>
        <w:rPr>
          <w:rFonts w:ascii="Aptos" w:hAnsi="Aptos" w:eastAsia="Aptos"/>
          <w:b/>
          <w:color w:val="24323D"/>
          <w:sz w:val="15"/>
        </w:rPr>
        <w:t xml:space="preserve">DOI : </w:t>
      </w:r>
      <w:hyperlink r:id="rId94">
        <w:r>
          <w:rPr>
            <w:rStyle w:val="Hyperlink"/>
          </w:rPr>
          <w:t>10.1177/17474930211056228</w:t>
        </w:r>
      </w:hyperlink>
      <w:r>
        <w:rPr>
          <w:rFonts w:ascii="Aptos" w:hAnsi="Aptos" w:eastAsia="Aptos"/>
          <w:color w:val="24323D"/>
          <w:sz w:val="15"/>
        </w:rPr>
        <w:t xml:space="preserve">. </w:t>
      </w:r>
      <w:r>
        <w:rPr>
          <w:rFonts w:ascii="Aptos" w:hAnsi="Aptos" w:eastAsia="Aptos"/>
          <w:color w:val="24323D"/>
          <w:sz w:val="15"/>
        </w:rPr>
        <w:t xml:space="preserve">PMID : 34796765.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cohorte prospective rétrospectivement analysée. Usage : ghost core. Limite : référence par infarctus final après reperfusion. </w:t>
      </w:r>
      <w:hyperlink r:id="rId95">
        <w:r>
          <w:rPr>
            <w:rStyle w:val="Hyperlink"/>
          </w:rPr>
          <w:t>Notice PubMed 34796765</w:t>
        </w:r>
      </w:hyperlink>
    </w:p>
    <w:p>
      <w:pPr>
        <w:pStyle w:val="Reference"/>
        <w:keepLines/>
        <w:spacing w:after="90" w:line="240" w:lineRule="auto"/>
      </w:pPr>
      <w:r>
        <w:rPr>
          <w:rFonts w:ascii="Aptos" w:hAnsi="Aptos" w:eastAsia="Aptos"/>
          <w:color w:val="24323D"/>
          <w:sz w:val="15"/>
        </w:rPr>
        <w:t xml:space="preserve">[R44] Koneru M. Redefining CT perfusion-based ischemic core estimates for the ghost core in early time window stroke. J Neuroimaging. 2024;34(2):249-256. </w:t>
      </w:r>
      <w:r>
        <w:rPr>
          <w:rFonts w:ascii="Aptos" w:hAnsi="Aptos" w:eastAsia="Aptos"/>
          <w:b/>
          <w:color w:val="24323D"/>
          <w:sz w:val="15"/>
        </w:rPr>
        <w:t xml:space="preserve">DOI : </w:t>
      </w:r>
      <w:hyperlink r:id="rId96">
        <w:r>
          <w:rPr>
            <w:rStyle w:val="Hyperlink"/>
          </w:rPr>
          <w:t>10.1111/jon.13180</w:t>
        </w:r>
      </w:hyperlink>
      <w:r>
        <w:rPr>
          <w:rFonts w:ascii="Aptos" w:hAnsi="Aptos" w:eastAsia="Aptos"/>
          <w:color w:val="24323D"/>
          <w:sz w:val="15"/>
        </w:rPr>
        <w:t xml:space="preserve">. </w:t>
      </w:r>
      <w:r>
        <w:rPr>
          <w:rFonts w:ascii="Aptos" w:hAnsi="Aptos" w:eastAsia="Aptos"/>
          <w:color w:val="24323D"/>
          <w:sz w:val="15"/>
        </w:rPr>
        <w:t xml:space="preserve">PMID : 38146065.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analyse multisite. Usage : core CTP précoce. Limite : observationnelle. </w:t>
      </w:r>
      <w:hyperlink r:id="rId97">
        <w:r>
          <w:rPr>
            <w:rStyle w:val="Hyperlink"/>
          </w:rPr>
          <w:t>Notice PubMed 38146065</w:t>
        </w:r>
      </w:hyperlink>
    </w:p>
    <w:p>
      <w:pPr>
        <w:pStyle w:val="Reference"/>
        <w:keepLines/>
        <w:spacing w:after="90" w:line="240" w:lineRule="auto"/>
      </w:pPr>
      <w:r>
        <w:rPr>
          <w:rFonts w:ascii="Aptos" w:hAnsi="Aptos" w:eastAsia="Aptos"/>
          <w:color w:val="24323D"/>
          <w:sz w:val="15"/>
        </w:rPr>
        <w:t xml:space="preserve">[R45] Marks MP. Effect of collateral blood flow on patients undergoing endovascular therapy for acute ischemic stroke. Stroke. 2014;45(4):1035-9. </w:t>
      </w:r>
      <w:r>
        <w:rPr>
          <w:rFonts w:ascii="Aptos" w:hAnsi="Aptos" w:eastAsia="Aptos"/>
          <w:b/>
          <w:color w:val="24323D"/>
          <w:sz w:val="15"/>
        </w:rPr>
        <w:t xml:space="preserve">DOI : </w:t>
      </w:r>
      <w:hyperlink r:id="rId98">
        <w:r>
          <w:rPr>
            <w:rStyle w:val="Hyperlink"/>
          </w:rPr>
          <w:t>10.1161/STROKEAHA.113.004085</w:t>
        </w:r>
      </w:hyperlink>
      <w:r>
        <w:rPr>
          <w:rFonts w:ascii="Aptos" w:hAnsi="Aptos" w:eastAsia="Aptos"/>
          <w:color w:val="24323D"/>
          <w:sz w:val="15"/>
        </w:rPr>
        <w:t xml:space="preserve">. </w:t>
      </w:r>
      <w:r>
        <w:rPr>
          <w:rFonts w:ascii="Aptos" w:hAnsi="Aptos" w:eastAsia="Aptos"/>
          <w:color w:val="24323D"/>
          <w:sz w:val="15"/>
        </w:rPr>
        <w:t xml:space="preserve">PMID : 24569816. </w:t>
      </w:r>
      <w:r>
        <w:rPr>
          <w:rFonts w:ascii="Aptos" w:hAnsi="Aptos" w:eastAsia="Aptos"/>
          <w:color w:val="24323D"/>
          <w:sz w:val="15"/>
        </w:rPr>
        <w:t xml:space="preserve">PMCID : PMC4396867. </w:t>
      </w:r>
      <w:r>
        <w:rPr>
          <w:rFonts w:ascii="Aptos" w:hAnsi="Aptos" w:eastAsia="Aptos"/>
          <w:color w:val="24323D"/>
          <w:sz w:val="15"/>
        </w:rPr>
        <w:t xml:space="preserve">Type : cohorte DEFUSE 2. Usage : collatérales et résultat. Limite : score angiographique et faible effectif. </w:t>
      </w:r>
      <w:hyperlink r:id="rId101">
        <w:r>
          <w:rPr>
            <w:rStyle w:val="Hyperlink"/>
          </w:rPr>
          <w:t>Notice PubMed 24569816</w:t>
        </w:r>
      </w:hyperlink>
    </w:p>
    <w:p>
      <w:pPr>
        <w:pStyle w:val="Reference"/>
        <w:keepLines/>
        <w:spacing w:after="90" w:line="240" w:lineRule="auto"/>
      </w:pPr>
      <w:r>
        <w:rPr>
          <w:rFonts w:ascii="Aptos" w:hAnsi="Aptos" w:eastAsia="Aptos"/>
          <w:color w:val="24323D"/>
          <w:sz w:val="15"/>
        </w:rPr>
        <w:t xml:space="preserve">[R46] Lin L. Perfusion Computed Tomography Accurately Quantifies Collateral Flow After Acute Ischemic Stroke. Stroke. 2020;51(3):1006-1009. </w:t>
      </w:r>
      <w:r>
        <w:rPr>
          <w:rFonts w:ascii="Aptos" w:hAnsi="Aptos" w:eastAsia="Aptos"/>
          <w:b/>
          <w:color w:val="24323D"/>
          <w:sz w:val="15"/>
        </w:rPr>
        <w:t xml:space="preserve">DOI : </w:t>
      </w:r>
      <w:hyperlink r:id="rId102">
        <w:r>
          <w:rPr>
            <w:rStyle w:val="Hyperlink"/>
          </w:rPr>
          <w:t>10.1161/STROKEAHA.119.028284</w:t>
        </w:r>
      </w:hyperlink>
      <w:r>
        <w:rPr>
          <w:rFonts w:ascii="Aptos" w:hAnsi="Aptos" w:eastAsia="Aptos"/>
          <w:color w:val="24323D"/>
          <w:sz w:val="15"/>
        </w:rPr>
        <w:t xml:space="preserve">. </w:t>
      </w:r>
      <w:r>
        <w:rPr>
          <w:rFonts w:ascii="Aptos" w:hAnsi="Aptos" w:eastAsia="Aptos"/>
          <w:color w:val="24323D"/>
          <w:sz w:val="15"/>
        </w:rPr>
        <w:t xml:space="preserve">PMID : 31948385.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étude de dérivation/validation. Usage : indice collatéral CTP. Limite : seuil spécifique. </w:t>
      </w:r>
      <w:hyperlink r:id="rId103">
        <w:r>
          <w:rPr>
            <w:rStyle w:val="Hyperlink"/>
          </w:rPr>
          <w:t>Notice PubMed 31948385</w:t>
        </w:r>
      </w:hyperlink>
    </w:p>
    <w:p>
      <w:pPr>
        <w:pStyle w:val="Reference"/>
        <w:keepLines/>
        <w:spacing w:after="90" w:line="240" w:lineRule="auto"/>
      </w:pPr>
      <w:r>
        <w:rPr>
          <w:rFonts w:ascii="Aptos" w:hAnsi="Aptos" w:eastAsia="Aptos"/>
          <w:color w:val="24323D"/>
          <w:sz w:val="15"/>
        </w:rPr>
        <w:t xml:space="preserve">[R47] Bani-Sadr A. Influence of collateral circulation on cerebral oxygen metabolism assessed by MRI in acute ischemic stroke. J Neuroradiol. 2026;53(5):101577. </w:t>
      </w:r>
      <w:r>
        <w:rPr>
          <w:rFonts w:ascii="Aptos" w:hAnsi="Aptos" w:eastAsia="Aptos"/>
          <w:b/>
          <w:color w:val="24323D"/>
          <w:sz w:val="15"/>
        </w:rPr>
        <w:t xml:space="preserve">DOI : </w:t>
      </w:r>
      <w:hyperlink r:id="rId104">
        <w:r>
          <w:rPr>
            <w:rStyle w:val="Hyperlink"/>
          </w:rPr>
          <w:t>10.1016/j.neurad.2026.101577</w:t>
        </w:r>
      </w:hyperlink>
      <w:r>
        <w:rPr>
          <w:rFonts w:ascii="Aptos" w:hAnsi="Aptos" w:eastAsia="Aptos"/>
          <w:color w:val="24323D"/>
          <w:sz w:val="15"/>
        </w:rPr>
        <w:t xml:space="preserve">. </w:t>
      </w:r>
      <w:r>
        <w:rPr>
          <w:rFonts w:ascii="Aptos" w:hAnsi="Aptos" w:eastAsia="Aptos"/>
          <w:color w:val="24323D"/>
          <w:sz w:val="15"/>
        </w:rPr>
        <w:t xml:space="preserve">PMID : 42296673.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cohorte observationnelle récente. Usage : collatérales et métabolisme MRI. Limite : monocentrique et OEF/CMRO₂ dérivés. </w:t>
      </w:r>
      <w:hyperlink r:id="rId105">
        <w:r>
          <w:rPr>
            <w:rStyle w:val="Hyperlink"/>
          </w:rPr>
          <w:t>Notice PubMed 42296673</w:t>
        </w:r>
      </w:hyperlink>
    </w:p>
    <w:p>
      <w:pPr>
        <w:pStyle w:val="Reference"/>
        <w:keepLines/>
        <w:spacing w:after="90" w:line="240" w:lineRule="auto"/>
      </w:pPr>
      <w:r>
        <w:rPr>
          <w:rFonts w:ascii="Aptos" w:hAnsi="Aptos" w:eastAsia="Aptos"/>
          <w:color w:val="24323D"/>
          <w:sz w:val="15"/>
        </w:rPr>
        <w:t xml:space="preserve">[R48] Allen JW. Diagnostic Performance of Computed Tomography Angiography and Computed Tomography Perfusion Tissue Time-to-Maximum in Vasospasm Following Aneurysmal Subarachnoid Hemorrhage. J Am Heart Assoc. 2022;11(1):e023828. </w:t>
      </w:r>
      <w:r>
        <w:rPr>
          <w:rFonts w:ascii="Aptos" w:hAnsi="Aptos" w:eastAsia="Aptos"/>
          <w:b/>
          <w:color w:val="24323D"/>
          <w:sz w:val="15"/>
        </w:rPr>
        <w:t xml:space="preserve">DOI : </w:t>
      </w:r>
      <w:hyperlink r:id="rId106">
        <w:r>
          <w:rPr>
            <w:rStyle w:val="Hyperlink"/>
          </w:rPr>
          <w:t>10.1161/JAHA.121.023828</w:t>
        </w:r>
      </w:hyperlink>
      <w:r>
        <w:rPr>
          <w:rFonts w:ascii="Aptos" w:hAnsi="Aptos" w:eastAsia="Aptos"/>
          <w:color w:val="24323D"/>
          <w:sz w:val="15"/>
        </w:rPr>
        <w:t xml:space="preserve">. </w:t>
      </w:r>
      <w:r>
        <w:rPr>
          <w:rFonts w:ascii="Aptos" w:hAnsi="Aptos" w:eastAsia="Aptos"/>
          <w:color w:val="24323D"/>
          <w:sz w:val="15"/>
        </w:rPr>
        <w:t xml:space="preserve">PMID : 34970916. </w:t>
      </w:r>
      <w:r>
        <w:rPr>
          <w:rFonts w:ascii="Aptos" w:hAnsi="Aptos" w:eastAsia="Aptos"/>
          <w:color w:val="24323D"/>
          <w:sz w:val="15"/>
        </w:rPr>
        <w:t xml:space="preserve">PMCID : PMC9075209. </w:t>
      </w:r>
      <w:r>
        <w:rPr>
          <w:rFonts w:ascii="Aptos" w:hAnsi="Aptos" w:eastAsia="Aptos"/>
          <w:color w:val="24323D"/>
          <w:sz w:val="15"/>
        </w:rPr>
        <w:t xml:space="preserve">Type : étude diagnostique. Usage : Tmax et vasospasme. Limite : faible sensibilité. </w:t>
      </w:r>
      <w:hyperlink r:id="rId107">
        <w:r>
          <w:rPr>
            <w:rStyle w:val="Hyperlink"/>
          </w:rPr>
          <w:t>Notice PubMed 34970916</w:t>
        </w:r>
      </w:hyperlink>
    </w:p>
    <w:p>
      <w:pPr>
        <w:pStyle w:val="Reference"/>
        <w:keepLines/>
        <w:spacing w:after="90" w:line="240" w:lineRule="auto"/>
      </w:pPr>
      <w:r>
        <w:rPr>
          <w:rFonts w:ascii="Aptos" w:hAnsi="Aptos" w:eastAsia="Aptos"/>
          <w:color w:val="24323D"/>
          <w:sz w:val="15"/>
        </w:rPr>
        <w:t xml:space="preserve">[R49] Othman AE. Volume perfusion CT imaging of cerebral vasospasm: diagnostic performance of different perfusion maps. Neuroradiology. 2016;58(8):787-92. </w:t>
      </w:r>
      <w:r>
        <w:rPr>
          <w:rFonts w:ascii="Aptos" w:hAnsi="Aptos" w:eastAsia="Aptos"/>
          <w:b/>
          <w:color w:val="24323D"/>
          <w:sz w:val="15"/>
        </w:rPr>
        <w:t xml:space="preserve">DOI : </w:t>
      </w:r>
      <w:hyperlink r:id="rId108">
        <w:r>
          <w:rPr>
            <w:rStyle w:val="Hyperlink"/>
          </w:rPr>
          <w:t>10.1007/s00234-016-1695-9</w:t>
        </w:r>
      </w:hyperlink>
      <w:r>
        <w:rPr>
          <w:rFonts w:ascii="Aptos" w:hAnsi="Aptos" w:eastAsia="Aptos"/>
          <w:color w:val="24323D"/>
          <w:sz w:val="15"/>
        </w:rPr>
        <w:t xml:space="preserve">. </w:t>
      </w:r>
      <w:r>
        <w:rPr>
          <w:rFonts w:ascii="Aptos" w:hAnsi="Aptos" w:eastAsia="Aptos"/>
          <w:color w:val="24323D"/>
          <w:sz w:val="15"/>
        </w:rPr>
        <w:t xml:space="preserve">PMID : 27194077.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étude diagnostique. Usage : cartes CTP du vasospasme. Limite : 26 patients. </w:t>
      </w:r>
      <w:hyperlink r:id="rId109">
        <w:r>
          <w:rPr>
            <w:rStyle w:val="Hyperlink"/>
          </w:rPr>
          <w:t>Notice PubMed 27194077</w:t>
        </w:r>
      </w:hyperlink>
    </w:p>
    <w:p>
      <w:pPr>
        <w:pStyle w:val="Reference"/>
        <w:keepLines/>
        <w:spacing w:after="90" w:line="240" w:lineRule="auto"/>
      </w:pPr>
      <w:r>
        <w:rPr>
          <w:rFonts w:ascii="Aptos" w:hAnsi="Aptos" w:eastAsia="Aptos"/>
          <w:color w:val="24323D"/>
          <w:sz w:val="15"/>
        </w:rPr>
        <w:t xml:space="preserve">[R50] Withey SB. Dynamic susceptibility-contrast magnetic resonance imaging with contrast agent leakage correction aids in predicting grade in pediatric brain tumours: a multicenter study. Pediatr Radiol. 2022;52(6):1134-1149. </w:t>
      </w:r>
      <w:r>
        <w:rPr>
          <w:rFonts w:ascii="Aptos" w:hAnsi="Aptos" w:eastAsia="Aptos"/>
          <w:b/>
          <w:color w:val="24323D"/>
          <w:sz w:val="15"/>
        </w:rPr>
        <w:t xml:space="preserve">DOI : </w:t>
      </w:r>
      <w:hyperlink r:id="rId110">
        <w:r>
          <w:rPr>
            <w:rStyle w:val="Hyperlink"/>
          </w:rPr>
          <w:t>10.1007/s00247-021-05266-7</w:t>
        </w:r>
      </w:hyperlink>
      <w:r>
        <w:rPr>
          <w:rFonts w:ascii="Aptos" w:hAnsi="Aptos" w:eastAsia="Aptos"/>
          <w:color w:val="24323D"/>
          <w:sz w:val="15"/>
        </w:rPr>
        <w:t xml:space="preserve">. </w:t>
      </w:r>
      <w:r>
        <w:rPr>
          <w:rFonts w:ascii="Aptos" w:hAnsi="Aptos" w:eastAsia="Aptos"/>
          <w:color w:val="24323D"/>
          <w:sz w:val="15"/>
        </w:rPr>
        <w:t xml:space="preserve">PMID : 35290489. </w:t>
      </w:r>
      <w:r>
        <w:rPr>
          <w:rFonts w:ascii="Aptos" w:hAnsi="Aptos" w:eastAsia="Aptos"/>
          <w:color w:val="24323D"/>
          <w:sz w:val="15"/>
        </w:rPr>
        <w:t xml:space="preserve">PMCID : PMC9107460. </w:t>
      </w:r>
      <w:r>
        <w:rPr>
          <w:rFonts w:ascii="Aptos" w:hAnsi="Aptos" w:eastAsia="Aptos"/>
          <w:color w:val="24323D"/>
          <w:sz w:val="15"/>
        </w:rPr>
        <w:t xml:space="preserve">Type : étude multicentrique pédiatrique. Usage : rCBV et correction de fuite. Limite : protocoles variables et classification contextuelle. </w:t>
      </w:r>
      <w:hyperlink r:id="rId111">
        <w:r>
          <w:rPr>
            <w:rStyle w:val="Hyperlink"/>
          </w:rPr>
          <w:t>Notice PubMed 35290489</w:t>
        </w:r>
      </w:hyperlink>
    </w:p>
    <w:p>
      <w:pPr>
        <w:pStyle w:val="Reference"/>
        <w:keepLines/>
        <w:spacing w:after="90" w:line="240" w:lineRule="auto"/>
      </w:pPr>
      <w:r>
        <w:rPr>
          <w:rFonts w:ascii="Aptos" w:hAnsi="Aptos" w:eastAsia="Aptos"/>
          <w:color w:val="24323D"/>
          <w:sz w:val="15"/>
        </w:rPr>
        <w:t xml:space="preserve">[R51] Martínez Barbero JP. The Value of Cerebral Blood Volume Derived from Dynamic Susceptibility Contrast Perfusion MRI in Predicting IDH Mutation Status of Brain Gliomas-A Systematic Review and Meta-Analysis. Diagnostics (Basel). 2025;15(7):896. </w:t>
      </w:r>
      <w:r>
        <w:rPr>
          <w:rFonts w:ascii="Aptos" w:hAnsi="Aptos" w:eastAsia="Aptos"/>
          <w:b/>
          <w:color w:val="24323D"/>
          <w:sz w:val="15"/>
        </w:rPr>
        <w:t xml:space="preserve">DOI : </w:t>
      </w:r>
      <w:hyperlink r:id="rId112">
        <w:r>
          <w:rPr>
            <w:rStyle w:val="Hyperlink"/>
          </w:rPr>
          <w:t>10.3390/diagnostics15070896</w:t>
        </w:r>
      </w:hyperlink>
      <w:r>
        <w:rPr>
          <w:rFonts w:ascii="Aptos" w:hAnsi="Aptos" w:eastAsia="Aptos"/>
          <w:color w:val="24323D"/>
          <w:sz w:val="15"/>
        </w:rPr>
        <w:t xml:space="preserve">. </w:t>
      </w:r>
      <w:r>
        <w:rPr>
          <w:rFonts w:ascii="Aptos" w:hAnsi="Aptos" w:eastAsia="Aptos"/>
          <w:color w:val="24323D"/>
          <w:sz w:val="15"/>
        </w:rPr>
        <w:t xml:space="preserve">PMID : 40218247. </w:t>
      </w:r>
      <w:r>
        <w:rPr>
          <w:rFonts w:ascii="Aptos" w:hAnsi="Aptos" w:eastAsia="Aptos"/>
          <w:color w:val="24323D"/>
          <w:sz w:val="15"/>
        </w:rPr>
        <w:t xml:space="preserve">PMCID : PMC11989136. </w:t>
      </w:r>
      <w:r>
        <w:rPr>
          <w:rFonts w:ascii="Aptos" w:hAnsi="Aptos" w:eastAsia="Aptos"/>
          <w:color w:val="24323D"/>
          <w:sz w:val="15"/>
        </w:rPr>
        <w:t xml:space="preserve">Type : revue systématique et méta-analyse. Usage : rCBV et statut IDH. Limite : hétérogénéité de méthodes. </w:t>
      </w:r>
      <w:hyperlink r:id="rId113">
        <w:r>
          <w:rPr>
            <w:rStyle w:val="Hyperlink"/>
          </w:rPr>
          <w:t>Notice PubMed 40218247</w:t>
        </w:r>
      </w:hyperlink>
    </w:p>
    <w:p>
      <w:pPr>
        <w:pStyle w:val="Reference"/>
        <w:keepLines/>
        <w:spacing w:after="90" w:line="240" w:lineRule="auto"/>
      </w:pPr>
      <w:r>
        <w:rPr>
          <w:rFonts w:ascii="Aptos" w:hAnsi="Aptos" w:eastAsia="Aptos"/>
          <w:color w:val="24323D"/>
          <w:sz w:val="15"/>
        </w:rPr>
        <w:t xml:space="preserve">[R52] Sanvito F. Simultaneous quantification of perfusion, permeability, and leakage effects in brain gliomas using dynamic spin-and-gradient-echo echoplanar imaging MRI. Eur Radiol. 2024;34(5):3087-3101. </w:t>
      </w:r>
      <w:r>
        <w:rPr>
          <w:rFonts w:ascii="Aptos" w:hAnsi="Aptos" w:eastAsia="Aptos"/>
          <w:b/>
          <w:color w:val="24323D"/>
          <w:sz w:val="15"/>
        </w:rPr>
        <w:t xml:space="preserve">DOI : </w:t>
      </w:r>
      <w:hyperlink r:id="rId114">
        <w:r>
          <w:rPr>
            <w:rStyle w:val="Hyperlink"/>
          </w:rPr>
          <w:t>10.1007/s00330-023-10215-z</w:t>
        </w:r>
      </w:hyperlink>
      <w:r>
        <w:rPr>
          <w:rFonts w:ascii="Aptos" w:hAnsi="Aptos" w:eastAsia="Aptos"/>
          <w:color w:val="24323D"/>
          <w:sz w:val="15"/>
        </w:rPr>
        <w:t xml:space="preserve">. </w:t>
      </w:r>
      <w:r>
        <w:rPr>
          <w:rFonts w:ascii="Aptos" w:hAnsi="Aptos" w:eastAsia="Aptos"/>
          <w:color w:val="24323D"/>
          <w:sz w:val="15"/>
        </w:rPr>
        <w:t xml:space="preserve">PMID : 37882836. </w:t>
      </w:r>
      <w:r>
        <w:rPr>
          <w:rFonts w:ascii="Aptos" w:hAnsi="Aptos" w:eastAsia="Aptos"/>
          <w:color w:val="24323D"/>
          <w:sz w:val="15"/>
        </w:rPr>
        <w:t xml:space="preserve">PMCID : PMC11045669. </w:t>
      </w:r>
      <w:r>
        <w:rPr>
          <w:rFonts w:ascii="Aptos" w:hAnsi="Aptos" w:eastAsia="Aptos"/>
          <w:color w:val="24323D"/>
          <w:sz w:val="15"/>
        </w:rPr>
        <w:t xml:space="preserve">Type : étude prospective méthodologique. Usage : DSC/DCE simultanées. Limite : 38 patients et méthode spécialisée. </w:t>
      </w:r>
      <w:hyperlink r:id="rId115">
        <w:r>
          <w:rPr>
            <w:rStyle w:val="Hyperlink"/>
          </w:rPr>
          <w:t>Notice PubMed 37882836</w:t>
        </w:r>
      </w:hyperlink>
    </w:p>
    <w:p>
      <w:pPr>
        <w:pStyle w:val="Reference"/>
        <w:keepLines/>
        <w:spacing w:after="90" w:line="240" w:lineRule="auto"/>
      </w:pPr>
      <w:r>
        <w:rPr>
          <w:rFonts w:ascii="Aptos" w:hAnsi="Aptos" w:eastAsia="Aptos"/>
          <w:color w:val="24323D"/>
          <w:sz w:val="15"/>
        </w:rPr>
        <w:t xml:space="preserve">[R53] Honda M. Early Cerebral Circulation Disturbance in Patients Suffering from Severe Traumatic Brain Injury (TBI): A Xenon CT and Perfusion CT Study. Neurol Med Chir (Tokyo). 2016;56(8):501-9. </w:t>
      </w:r>
      <w:r>
        <w:rPr>
          <w:rFonts w:ascii="Aptos" w:hAnsi="Aptos" w:eastAsia="Aptos"/>
          <w:b/>
          <w:color w:val="24323D"/>
          <w:sz w:val="15"/>
        </w:rPr>
        <w:t xml:space="preserve">DOI : </w:t>
      </w:r>
      <w:hyperlink r:id="rId116">
        <w:r>
          <w:rPr>
            <w:rStyle w:val="Hyperlink"/>
          </w:rPr>
          <w:t>10.2176/nmc.oa.2015-0341</w:t>
        </w:r>
      </w:hyperlink>
      <w:r>
        <w:rPr>
          <w:rFonts w:ascii="Aptos" w:hAnsi="Aptos" w:eastAsia="Aptos"/>
          <w:color w:val="24323D"/>
          <w:sz w:val="15"/>
        </w:rPr>
        <w:t xml:space="preserve">. </w:t>
      </w:r>
      <w:r>
        <w:rPr>
          <w:rFonts w:ascii="Aptos" w:hAnsi="Aptos" w:eastAsia="Aptos"/>
          <w:color w:val="24323D"/>
          <w:sz w:val="15"/>
        </w:rPr>
        <w:t xml:space="preserve">PMID : 27356957. </w:t>
      </w:r>
      <w:r>
        <w:rPr>
          <w:rFonts w:ascii="Aptos" w:hAnsi="Aptos" w:eastAsia="Aptos"/>
          <w:color w:val="24323D"/>
          <w:sz w:val="15"/>
        </w:rPr>
        <w:t xml:space="preserve">PMCID : PMC4987450. </w:t>
      </w:r>
      <w:r>
        <w:rPr>
          <w:rFonts w:ascii="Aptos" w:hAnsi="Aptos" w:eastAsia="Aptos"/>
          <w:color w:val="24323D"/>
          <w:sz w:val="15"/>
        </w:rPr>
        <w:t xml:space="preserve">Type : cohorte TBI. Usage : Xe-CT/CTP et résultat. Limite : observationnelle et dépendante du temps. </w:t>
      </w:r>
      <w:hyperlink r:id="rId117">
        <w:r>
          <w:rPr>
            <w:rStyle w:val="Hyperlink"/>
          </w:rPr>
          <w:t>Notice PubMed 27356957</w:t>
        </w:r>
      </w:hyperlink>
    </w:p>
    <w:p>
      <w:pPr>
        <w:pStyle w:val="Reference"/>
        <w:keepLines/>
        <w:spacing w:after="90" w:line="240" w:lineRule="auto"/>
      </w:pPr>
      <w:r>
        <w:rPr>
          <w:rFonts w:ascii="Aptos" w:hAnsi="Aptos" w:eastAsia="Aptos"/>
          <w:color w:val="24323D"/>
          <w:sz w:val="15"/>
        </w:rPr>
        <w:t xml:space="preserve">[R54] Bindu TS. Role of whole-brain computed tomography perfusion in head injury patients to predict outcome. Indian J Radiol Imaging. 2017;27(3):268-273. </w:t>
      </w:r>
      <w:r>
        <w:rPr>
          <w:rFonts w:ascii="Aptos" w:hAnsi="Aptos" w:eastAsia="Aptos"/>
          <w:b/>
          <w:color w:val="24323D"/>
          <w:sz w:val="15"/>
        </w:rPr>
        <w:t xml:space="preserve">DOI : </w:t>
      </w:r>
      <w:hyperlink r:id="rId118">
        <w:r>
          <w:rPr>
            <w:rStyle w:val="Hyperlink"/>
          </w:rPr>
          <w:t>10.4103/ijri.IJRI_454_16</w:t>
        </w:r>
      </w:hyperlink>
      <w:r>
        <w:rPr>
          <w:rFonts w:ascii="Aptos" w:hAnsi="Aptos" w:eastAsia="Aptos"/>
          <w:color w:val="24323D"/>
          <w:sz w:val="15"/>
        </w:rPr>
        <w:t xml:space="preserve">. </w:t>
      </w:r>
      <w:r>
        <w:rPr>
          <w:rFonts w:ascii="Aptos" w:hAnsi="Aptos" w:eastAsia="Aptos"/>
          <w:color w:val="24323D"/>
          <w:sz w:val="15"/>
        </w:rPr>
        <w:t xml:space="preserve">PMID : 29089671. </w:t>
      </w:r>
      <w:r>
        <w:rPr>
          <w:rFonts w:ascii="Aptos" w:hAnsi="Aptos" w:eastAsia="Aptos"/>
          <w:color w:val="24323D"/>
          <w:sz w:val="15"/>
        </w:rPr>
        <w:t xml:space="preserve">PMCID : PMC5644316. </w:t>
      </w:r>
      <w:r>
        <w:rPr>
          <w:rFonts w:ascii="Aptos" w:hAnsi="Aptos" w:eastAsia="Aptos"/>
          <w:color w:val="24323D"/>
          <w:sz w:val="15"/>
        </w:rPr>
        <w:t xml:space="preserve">Type : étude prospective TBI. Usage : CTP whole-brain et résultat. Limite : centre unique. </w:t>
      </w:r>
      <w:hyperlink r:id="rId119">
        <w:r>
          <w:rPr>
            <w:rStyle w:val="Hyperlink"/>
          </w:rPr>
          <w:t>Notice PubMed 29089671</w:t>
        </w:r>
      </w:hyperlink>
    </w:p>
    <w:p>
      <w:pPr>
        <w:pStyle w:val="Reference"/>
        <w:keepLines/>
        <w:spacing w:after="90" w:line="240" w:lineRule="auto"/>
      </w:pPr>
      <w:r>
        <w:rPr>
          <w:rFonts w:ascii="Aptos" w:hAnsi="Aptos" w:eastAsia="Aptos"/>
          <w:color w:val="24323D"/>
          <w:sz w:val="15"/>
        </w:rPr>
        <w:t xml:space="preserve">[R55] Trofimov AO. Net Water Uptake and Cerebral Microcirculation in Perilesional Penumbra in TBI: CT Perfusion Study. Adv Exp Med Biol. 2026;1498:231-235. </w:t>
      </w:r>
      <w:r>
        <w:rPr>
          <w:rFonts w:ascii="Aptos" w:hAnsi="Aptos" w:eastAsia="Aptos"/>
          <w:b/>
          <w:color w:val="24323D"/>
          <w:sz w:val="15"/>
        </w:rPr>
        <w:t xml:space="preserve">DOI : </w:t>
      </w:r>
      <w:hyperlink r:id="rId120">
        <w:r>
          <w:rPr>
            <w:rStyle w:val="Hyperlink"/>
          </w:rPr>
          <w:t>10.1007/978-3-032-10389-5_28</w:t>
        </w:r>
      </w:hyperlink>
      <w:r>
        <w:rPr>
          <w:rFonts w:ascii="Aptos" w:hAnsi="Aptos" w:eastAsia="Aptos"/>
          <w:color w:val="24323D"/>
          <w:sz w:val="15"/>
        </w:rPr>
        <w:t xml:space="preserve">. </w:t>
      </w:r>
      <w:r>
        <w:rPr>
          <w:rFonts w:ascii="Aptos" w:hAnsi="Aptos" w:eastAsia="Aptos"/>
          <w:color w:val="24323D"/>
          <w:sz w:val="15"/>
        </w:rPr>
        <w:t xml:space="preserve">PMID : 41577923.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étude observationnelle récente. Usage : microcirculation périlésionnelle TBI. Limite : modèle analytique et population ciblée. </w:t>
      </w:r>
      <w:hyperlink r:id="rId121">
        <w:r>
          <w:rPr>
            <w:rStyle w:val="Hyperlink"/>
          </w:rPr>
          <w:t>Notice PubMed 41577923</w:t>
        </w:r>
      </w:hyperlink>
    </w:p>
    <w:p>
      <w:pPr>
        <w:pStyle w:val="Reference"/>
        <w:keepLines/>
        <w:spacing w:after="90" w:line="240" w:lineRule="auto"/>
      </w:pPr>
      <w:r>
        <w:rPr>
          <w:rFonts w:ascii="Aptos" w:hAnsi="Aptos" w:eastAsia="Aptos"/>
          <w:color w:val="24323D"/>
          <w:sz w:val="15"/>
        </w:rPr>
        <w:t xml:space="preserve">[R56] Camargo A. Longitudinal Cerebral Blood Flow Changes in Normal Aging and the Alzheimer's Disease Continuum Identified by Arterial Spin Labeling MRI. J Alzheimers Dis. 2021;81(4):1727-1735. </w:t>
      </w:r>
      <w:r>
        <w:rPr>
          <w:rFonts w:ascii="Aptos" w:hAnsi="Aptos" w:eastAsia="Aptos"/>
          <w:b/>
          <w:color w:val="24323D"/>
          <w:sz w:val="15"/>
        </w:rPr>
        <w:t xml:space="preserve">DOI : </w:t>
      </w:r>
      <w:hyperlink r:id="rId122">
        <w:r>
          <w:rPr>
            <w:rStyle w:val="Hyperlink"/>
          </w:rPr>
          <w:t>10.3233/JAD-210116</w:t>
        </w:r>
      </w:hyperlink>
      <w:r>
        <w:rPr>
          <w:rFonts w:ascii="Aptos" w:hAnsi="Aptos" w:eastAsia="Aptos"/>
          <w:color w:val="24323D"/>
          <w:sz w:val="15"/>
        </w:rPr>
        <w:t xml:space="preserve">. </w:t>
      </w:r>
      <w:r>
        <w:rPr>
          <w:rFonts w:ascii="Aptos" w:hAnsi="Aptos" w:eastAsia="Aptos"/>
          <w:color w:val="24323D"/>
          <w:sz w:val="15"/>
        </w:rPr>
        <w:t xml:space="preserve">PMID : 33967053. </w:t>
      </w:r>
      <w:r>
        <w:rPr>
          <w:rFonts w:ascii="Aptos" w:hAnsi="Aptos" w:eastAsia="Aptos"/>
          <w:color w:val="24323D"/>
          <w:sz w:val="15"/>
        </w:rPr>
        <w:t xml:space="preserve">PMCID : PMC8217256. </w:t>
      </w:r>
      <w:r>
        <w:rPr>
          <w:rFonts w:ascii="Aptos" w:hAnsi="Aptos" w:eastAsia="Aptos"/>
          <w:color w:val="24323D"/>
          <w:sz w:val="15"/>
        </w:rPr>
        <w:t xml:space="preserve">Type : cohorte longitudinale. Usage : ASL dans le continuum Alzheimer. Limite : analyse ADNI et atrophie. </w:t>
      </w:r>
      <w:hyperlink r:id="rId123">
        <w:r>
          <w:rPr>
            <w:rStyle w:val="Hyperlink"/>
          </w:rPr>
          <w:t>Notice PubMed 33967053</w:t>
        </w:r>
      </w:hyperlink>
    </w:p>
    <w:p>
      <w:pPr>
        <w:pStyle w:val="Reference"/>
        <w:keepLines/>
        <w:spacing w:after="90" w:line="240" w:lineRule="auto"/>
      </w:pPr>
      <w:r>
        <w:rPr>
          <w:rFonts w:ascii="Aptos" w:hAnsi="Aptos" w:eastAsia="Aptos"/>
          <w:color w:val="24323D"/>
          <w:sz w:val="15"/>
        </w:rPr>
        <w:t xml:space="preserve">[R57] Jarutyte L. Advantages and challenges of using arterial spin labelling MRI to monitor cerebral blood flow in multi-centre clinical trials of neurodegenerative disease: Experience from the RADAR study. Cereb Circ Cogn Behav. 2025;8:100376. </w:t>
      </w:r>
      <w:r>
        <w:rPr>
          <w:rFonts w:ascii="Aptos" w:hAnsi="Aptos" w:eastAsia="Aptos"/>
          <w:b/>
          <w:color w:val="24323D"/>
          <w:sz w:val="15"/>
        </w:rPr>
        <w:t xml:space="preserve">DOI : </w:t>
      </w:r>
      <w:hyperlink r:id="rId124">
        <w:r>
          <w:rPr>
            <w:rStyle w:val="Hyperlink"/>
          </w:rPr>
          <w:t>10.1016/j.cccb.2024.100376</w:t>
        </w:r>
      </w:hyperlink>
      <w:r>
        <w:rPr>
          <w:rFonts w:ascii="Aptos" w:hAnsi="Aptos" w:eastAsia="Aptos"/>
          <w:color w:val="24323D"/>
          <w:sz w:val="15"/>
        </w:rPr>
        <w:t xml:space="preserve">. </w:t>
      </w:r>
      <w:r>
        <w:rPr>
          <w:rFonts w:ascii="Aptos" w:hAnsi="Aptos" w:eastAsia="Aptos"/>
          <w:color w:val="24323D"/>
          <w:sz w:val="15"/>
        </w:rPr>
        <w:t xml:space="preserve">PMID : 39877419. </w:t>
      </w:r>
      <w:r>
        <w:rPr>
          <w:rFonts w:ascii="Aptos" w:hAnsi="Aptos" w:eastAsia="Aptos"/>
          <w:color w:val="24323D"/>
          <w:sz w:val="15"/>
        </w:rPr>
        <w:t xml:space="preserve">PMCID : PMC11773049. </w:t>
      </w:r>
      <w:r>
        <w:rPr>
          <w:rFonts w:ascii="Aptos" w:hAnsi="Aptos" w:eastAsia="Aptos"/>
          <w:color w:val="24323D"/>
          <w:sz w:val="15"/>
        </w:rPr>
        <w:t xml:space="preserve">Type : retour d'expérience multicentrique. Usage : ASL dans un essai neurodégénératif. Limite : hétérogénéité de plateformes. </w:t>
      </w:r>
      <w:hyperlink r:id="rId125">
        <w:r>
          <w:rPr>
            <w:rStyle w:val="Hyperlink"/>
          </w:rPr>
          <w:t>Notice PubMed 39877419</w:t>
        </w:r>
      </w:hyperlink>
    </w:p>
    <w:p>
      <w:pPr>
        <w:pStyle w:val="Reference"/>
        <w:keepLines/>
        <w:spacing w:after="90" w:line="240" w:lineRule="auto"/>
      </w:pPr>
      <w:r>
        <w:rPr>
          <w:rFonts w:ascii="Aptos" w:hAnsi="Aptos" w:eastAsia="Aptos"/>
          <w:color w:val="24323D"/>
          <w:sz w:val="15"/>
        </w:rPr>
        <w:t xml:space="preserve">[R58] Donahue MJ. Consensus statement on current and emerging methods for the diagnosis and evaluation of cerebrovascular disease. J Cereb Blood Flow Metab. 2018;38(9):1391-1417. </w:t>
      </w:r>
      <w:r>
        <w:rPr>
          <w:rFonts w:ascii="Aptos" w:hAnsi="Aptos" w:eastAsia="Aptos"/>
          <w:b/>
          <w:color w:val="24323D"/>
          <w:sz w:val="15"/>
        </w:rPr>
        <w:t xml:space="preserve">DOI : </w:t>
      </w:r>
      <w:hyperlink r:id="rId126">
        <w:r>
          <w:rPr>
            <w:rStyle w:val="Hyperlink"/>
          </w:rPr>
          <w:t>10.1177/0271678X17721830</w:t>
        </w:r>
      </w:hyperlink>
      <w:r>
        <w:rPr>
          <w:rFonts w:ascii="Aptos" w:hAnsi="Aptos" w:eastAsia="Aptos"/>
          <w:color w:val="24323D"/>
          <w:sz w:val="15"/>
        </w:rPr>
        <w:t xml:space="preserve">. </w:t>
      </w:r>
      <w:r>
        <w:rPr>
          <w:rFonts w:ascii="Aptos" w:hAnsi="Aptos" w:eastAsia="Aptos"/>
          <w:color w:val="24323D"/>
          <w:sz w:val="15"/>
        </w:rPr>
        <w:t xml:space="preserve">PMID : 28816594. </w:t>
      </w:r>
      <w:r>
        <w:rPr>
          <w:rFonts w:ascii="Aptos" w:hAnsi="Aptos" w:eastAsia="Aptos"/>
          <w:color w:val="24323D"/>
          <w:sz w:val="15"/>
        </w:rPr>
        <w:t xml:space="preserve">PMCID : PMC6125970. </w:t>
      </w:r>
      <w:r>
        <w:rPr>
          <w:rFonts w:ascii="Aptos" w:hAnsi="Aptos" w:eastAsia="Aptos"/>
          <w:color w:val="24323D"/>
          <w:sz w:val="15"/>
        </w:rPr>
        <w:t xml:space="preserve">Type : consensus international. Usage : méthodes cérébrovasculaires. Limite : synthèse datée et large. </w:t>
      </w:r>
      <w:hyperlink r:id="rId127">
        <w:r>
          <w:rPr>
            <w:rStyle w:val="Hyperlink"/>
          </w:rPr>
          <w:t>Notice PubMed 28816594</w:t>
        </w:r>
      </w:hyperlink>
    </w:p>
    <w:p>
      <w:pPr>
        <w:pStyle w:val="Reference"/>
        <w:keepLines/>
        <w:spacing w:after="90" w:line="240" w:lineRule="auto"/>
      </w:pPr>
      <w:r>
        <w:rPr>
          <w:rFonts w:ascii="Aptos" w:hAnsi="Aptos" w:eastAsia="Aptos"/>
          <w:color w:val="24323D"/>
          <w:sz w:val="15"/>
        </w:rPr>
        <w:t xml:space="preserve">[R59] Sleight E. Cerebrovascular Reactivity Measurement Using Magnetic Resonance Imaging: A Systematic Review. Front Physiol. 2021;12:643468. </w:t>
      </w:r>
      <w:r>
        <w:rPr>
          <w:rFonts w:ascii="Aptos" w:hAnsi="Aptos" w:eastAsia="Aptos"/>
          <w:b/>
          <w:color w:val="24323D"/>
          <w:sz w:val="15"/>
        </w:rPr>
        <w:t xml:space="preserve">DOI : </w:t>
      </w:r>
      <w:hyperlink r:id="rId128">
        <w:r>
          <w:rPr>
            <w:rStyle w:val="Hyperlink"/>
          </w:rPr>
          <w:t>10.3389/fphys.2021.643468</w:t>
        </w:r>
      </w:hyperlink>
      <w:r>
        <w:rPr>
          <w:rFonts w:ascii="Aptos" w:hAnsi="Aptos" w:eastAsia="Aptos"/>
          <w:color w:val="24323D"/>
          <w:sz w:val="15"/>
        </w:rPr>
        <w:t xml:space="preserve">. </w:t>
      </w:r>
      <w:r>
        <w:rPr>
          <w:rFonts w:ascii="Aptos" w:hAnsi="Aptos" w:eastAsia="Aptos"/>
          <w:color w:val="24323D"/>
          <w:sz w:val="15"/>
        </w:rPr>
        <w:t xml:space="preserve">PMID : 33716793. </w:t>
      </w:r>
      <w:r>
        <w:rPr>
          <w:rFonts w:ascii="Aptos" w:hAnsi="Aptos" w:eastAsia="Aptos"/>
          <w:color w:val="24323D"/>
          <w:sz w:val="15"/>
        </w:rPr>
        <w:t xml:space="preserve">PMCID : PMC7947694. </w:t>
      </w:r>
      <w:r>
        <w:rPr>
          <w:rFonts w:ascii="Aptos" w:hAnsi="Aptos" w:eastAsia="Aptos"/>
          <w:color w:val="24323D"/>
          <w:sz w:val="15"/>
        </w:rPr>
        <w:t xml:space="preserve">Type : revue systématique. Usage : mesure MRI de CVR. Limite : protocoles hétérogènes. </w:t>
      </w:r>
      <w:hyperlink r:id="rId129">
        <w:r>
          <w:rPr>
            <w:rStyle w:val="Hyperlink"/>
          </w:rPr>
          <w:t>Notice PubMed 33716793</w:t>
        </w:r>
      </w:hyperlink>
    </w:p>
    <w:p>
      <w:pPr>
        <w:pStyle w:val="Reference"/>
        <w:keepLines/>
        <w:spacing w:after="90" w:line="240" w:lineRule="auto"/>
      </w:pPr>
      <w:r>
        <w:rPr>
          <w:rFonts w:ascii="Aptos" w:hAnsi="Aptos" w:eastAsia="Aptos"/>
          <w:color w:val="24323D"/>
          <w:sz w:val="15"/>
        </w:rPr>
        <w:t xml:space="preserve">[R60] Hare HV. Comparison of CO2 in air versus carbogen for the measurement of cerebrovascular reactivity with magnetic resonance imaging. J Cereb Blood Flow Metab. 2013;33(11):1799-805. </w:t>
      </w:r>
      <w:r>
        <w:rPr>
          <w:rFonts w:ascii="Aptos" w:hAnsi="Aptos" w:eastAsia="Aptos"/>
          <w:b/>
          <w:color w:val="24323D"/>
          <w:sz w:val="15"/>
        </w:rPr>
        <w:t xml:space="preserve">DOI : </w:t>
      </w:r>
      <w:hyperlink r:id="rId130">
        <w:r>
          <w:rPr>
            <w:rStyle w:val="Hyperlink"/>
          </w:rPr>
          <w:t>10.1038/jcbfm.2013.131</w:t>
        </w:r>
      </w:hyperlink>
      <w:r>
        <w:rPr>
          <w:rFonts w:ascii="Aptos" w:hAnsi="Aptos" w:eastAsia="Aptos"/>
          <w:color w:val="24323D"/>
          <w:sz w:val="15"/>
        </w:rPr>
        <w:t xml:space="preserve">. </w:t>
      </w:r>
      <w:r>
        <w:rPr>
          <w:rFonts w:ascii="Aptos" w:hAnsi="Aptos" w:eastAsia="Aptos"/>
          <w:color w:val="24323D"/>
          <w:sz w:val="15"/>
        </w:rPr>
        <w:t xml:space="preserve">PMID : 23921896. </w:t>
      </w:r>
      <w:r>
        <w:rPr>
          <w:rFonts w:ascii="Aptos" w:hAnsi="Aptos" w:eastAsia="Aptos"/>
          <w:color w:val="24323D"/>
          <w:sz w:val="15"/>
        </w:rPr>
        <w:t xml:space="preserve">PMCID : PMC3824179. </w:t>
      </w:r>
      <w:r>
        <w:rPr>
          <w:rFonts w:ascii="Aptos" w:hAnsi="Aptos" w:eastAsia="Aptos"/>
          <w:color w:val="24323D"/>
          <w:sz w:val="15"/>
        </w:rPr>
        <w:t xml:space="preserve">Type : comparaison expérimentale humaine. Usage : stimuli CO₂ et CVR. Limite : volontaires sains. </w:t>
      </w:r>
      <w:hyperlink r:id="rId131">
        <w:r>
          <w:rPr>
            <w:rStyle w:val="Hyperlink"/>
          </w:rPr>
          <w:t>Notice PubMed 23921896</w:t>
        </w:r>
      </w:hyperlink>
    </w:p>
    <w:p>
      <w:pPr>
        <w:pStyle w:val="Reference"/>
        <w:keepLines/>
        <w:spacing w:after="90" w:line="240" w:lineRule="auto"/>
      </w:pPr>
      <w:r>
        <w:rPr>
          <w:rFonts w:ascii="Aptos" w:hAnsi="Aptos" w:eastAsia="Aptos"/>
          <w:color w:val="24323D"/>
          <w:sz w:val="15"/>
        </w:rPr>
        <w:t xml:space="preserve">[R61] Prah MA. Practical guidance to identify and troubleshoot suboptimal DSC-MRI results. Front Radiol. 2024;4:1307586. </w:t>
      </w:r>
      <w:r>
        <w:rPr>
          <w:rFonts w:ascii="Aptos" w:hAnsi="Aptos" w:eastAsia="Aptos"/>
          <w:b/>
          <w:color w:val="24323D"/>
          <w:sz w:val="15"/>
        </w:rPr>
        <w:t xml:space="preserve">DOI : </w:t>
      </w:r>
      <w:hyperlink r:id="rId132">
        <w:r>
          <w:rPr>
            <w:rStyle w:val="Hyperlink"/>
          </w:rPr>
          <w:t>10.3389/fradi.2024.1307586</w:t>
        </w:r>
      </w:hyperlink>
      <w:r>
        <w:rPr>
          <w:rFonts w:ascii="Aptos" w:hAnsi="Aptos" w:eastAsia="Aptos"/>
          <w:color w:val="24323D"/>
          <w:sz w:val="15"/>
        </w:rPr>
        <w:t xml:space="preserve">. </w:t>
      </w:r>
      <w:r>
        <w:rPr>
          <w:rFonts w:ascii="Aptos" w:hAnsi="Aptos" w:eastAsia="Aptos"/>
          <w:color w:val="24323D"/>
          <w:sz w:val="15"/>
        </w:rPr>
        <w:t xml:space="preserve">PMID : 38445104. </w:t>
      </w:r>
      <w:r>
        <w:rPr>
          <w:rFonts w:ascii="Aptos" w:hAnsi="Aptos" w:eastAsia="Aptos"/>
          <w:color w:val="24323D"/>
          <w:sz w:val="15"/>
        </w:rPr>
        <w:t xml:space="preserve">PMCID : PMC10913595. </w:t>
      </w:r>
      <w:r>
        <w:rPr>
          <w:rFonts w:ascii="Aptos" w:hAnsi="Aptos" w:eastAsia="Aptos"/>
          <w:color w:val="24323D"/>
          <w:sz w:val="15"/>
        </w:rPr>
        <w:t xml:space="preserve">Type : guide technique illustré. Usage : dépannage DSC. Limite : centré sur tumeurs et expertise d'auteurs. </w:t>
      </w:r>
      <w:hyperlink r:id="rId133">
        <w:r>
          <w:rPr>
            <w:rStyle w:val="Hyperlink"/>
          </w:rPr>
          <w:t>Notice PubMed 38445104</w:t>
        </w:r>
      </w:hyperlink>
    </w:p>
    <w:p>
      <w:pPr>
        <w:pStyle w:val="Reference"/>
        <w:keepLines/>
        <w:spacing w:after="90" w:line="240" w:lineRule="auto"/>
      </w:pPr>
      <w:r>
        <w:rPr>
          <w:rFonts w:ascii="Aptos" w:hAnsi="Aptos" w:eastAsia="Aptos"/>
          <w:color w:val="24323D"/>
          <w:sz w:val="15"/>
        </w:rPr>
        <w:t xml:space="preserve">[R62] Li H. Measurement of Cerebral Oxygen Extraction Fraction Using Quantitative BOLD Approach: A Review. Phenomics. 2023;3(1):101-118. </w:t>
      </w:r>
      <w:r>
        <w:rPr>
          <w:rFonts w:ascii="Aptos" w:hAnsi="Aptos" w:eastAsia="Aptos"/>
          <w:b/>
          <w:color w:val="24323D"/>
          <w:sz w:val="15"/>
        </w:rPr>
        <w:t xml:space="preserve">DOI : </w:t>
      </w:r>
      <w:hyperlink r:id="rId134">
        <w:r>
          <w:rPr>
            <w:rStyle w:val="Hyperlink"/>
          </w:rPr>
          <w:t>10.1007/s43657-022-00081-y</w:t>
        </w:r>
      </w:hyperlink>
      <w:r>
        <w:rPr>
          <w:rFonts w:ascii="Aptos" w:hAnsi="Aptos" w:eastAsia="Aptos"/>
          <w:color w:val="24323D"/>
          <w:sz w:val="15"/>
        </w:rPr>
        <w:t xml:space="preserve">. </w:t>
      </w:r>
      <w:r>
        <w:rPr>
          <w:rFonts w:ascii="Aptos" w:hAnsi="Aptos" w:eastAsia="Aptos"/>
          <w:color w:val="24323D"/>
          <w:sz w:val="15"/>
        </w:rPr>
        <w:t xml:space="preserve">PMID : 36939794. </w:t>
      </w:r>
      <w:r>
        <w:rPr>
          <w:rFonts w:ascii="Aptos" w:hAnsi="Aptos" w:eastAsia="Aptos"/>
          <w:color w:val="24323D"/>
          <w:sz w:val="15"/>
        </w:rPr>
        <w:t xml:space="preserve">PMCID : PMC9883382. </w:t>
      </w:r>
      <w:r>
        <w:rPr>
          <w:rFonts w:ascii="Aptos" w:hAnsi="Aptos" w:eastAsia="Aptos"/>
          <w:color w:val="24323D"/>
          <w:sz w:val="15"/>
        </w:rPr>
        <w:t xml:space="preserve">Type : revue technique. Usage : OEF par qBOLD. Limite : validation clinique limitée. </w:t>
      </w:r>
      <w:hyperlink r:id="rId135">
        <w:r>
          <w:rPr>
            <w:rStyle w:val="Hyperlink"/>
          </w:rPr>
          <w:t>Notice PubMed 36939794</w:t>
        </w:r>
      </w:hyperlink>
    </w:p>
    <w:p>
      <w:pPr>
        <w:pStyle w:val="Reference"/>
        <w:keepLines/>
        <w:spacing w:after="90" w:line="240" w:lineRule="auto"/>
      </w:pPr>
      <w:r>
        <w:rPr>
          <w:rFonts w:ascii="Aptos" w:hAnsi="Aptos" w:eastAsia="Aptos"/>
          <w:color w:val="24323D"/>
          <w:sz w:val="15"/>
        </w:rPr>
        <w:t xml:space="preserve">[R63] Khartabil Z. Neurovascular coupling and cerebrovascular reactivity: physiology, lifespan development, pathophysiology, and clinical relevance. Front Physiol. 2026;17:1728065. </w:t>
      </w:r>
      <w:r>
        <w:rPr>
          <w:rFonts w:ascii="Aptos" w:hAnsi="Aptos" w:eastAsia="Aptos"/>
          <w:b/>
          <w:color w:val="24323D"/>
          <w:sz w:val="15"/>
        </w:rPr>
        <w:t xml:space="preserve">DOI : </w:t>
      </w:r>
      <w:hyperlink r:id="rId136">
        <w:r>
          <w:rPr>
            <w:rStyle w:val="Hyperlink"/>
          </w:rPr>
          <w:t>10.3389/fphys.2026.1728065</w:t>
        </w:r>
      </w:hyperlink>
      <w:r>
        <w:rPr>
          <w:rFonts w:ascii="Aptos" w:hAnsi="Aptos" w:eastAsia="Aptos"/>
          <w:color w:val="24323D"/>
          <w:sz w:val="15"/>
        </w:rPr>
        <w:t xml:space="preserve">. </w:t>
      </w:r>
      <w:r>
        <w:rPr>
          <w:rFonts w:ascii="Aptos" w:hAnsi="Aptos" w:eastAsia="Aptos"/>
          <w:color w:val="24323D"/>
          <w:sz w:val="15"/>
        </w:rPr>
        <w:t xml:space="preserve">PMID : 41852483. </w:t>
      </w:r>
      <w:r>
        <w:rPr>
          <w:rFonts w:ascii="Aptos" w:hAnsi="Aptos" w:eastAsia="Aptos"/>
          <w:color w:val="24323D"/>
          <w:sz w:val="15"/>
        </w:rPr>
        <w:t xml:space="preserve">PMCID : PMC12992025. </w:t>
      </w:r>
      <w:r>
        <w:rPr>
          <w:rFonts w:ascii="Aptos" w:hAnsi="Aptos" w:eastAsia="Aptos"/>
          <w:color w:val="24323D"/>
          <w:sz w:val="15"/>
        </w:rPr>
        <w:t xml:space="preserve">Type : revue physiologique 2026. Usage : NVC et CVR au cours de la vie. Limite : synthèse récente. </w:t>
      </w:r>
      <w:hyperlink r:id="rId137">
        <w:r>
          <w:rPr>
            <w:rStyle w:val="Hyperlink"/>
          </w:rPr>
          <w:t>Notice PubMed 41852483</w:t>
        </w:r>
      </w:hyperlink>
    </w:p>
    <w:p>
      <w:pPr>
        <w:pStyle w:val="Reference"/>
        <w:keepLines/>
        <w:spacing w:after="90" w:line="240" w:lineRule="auto"/>
      </w:pPr>
      <w:r>
        <w:rPr>
          <w:rFonts w:ascii="Aptos" w:hAnsi="Aptos" w:eastAsia="Aptos"/>
          <w:color w:val="24323D"/>
          <w:sz w:val="15"/>
        </w:rPr>
        <w:t xml:space="preserve">[R64] Nischal SA. Cerebral blood flow and modern approaches for clinical assessment &amp; monitoring: a view to the future. Br J Neurosurg. 2026;40(4):609-623. </w:t>
      </w:r>
      <w:r>
        <w:rPr>
          <w:rFonts w:ascii="Aptos" w:hAnsi="Aptos" w:eastAsia="Aptos"/>
          <w:b/>
          <w:color w:val="24323D"/>
          <w:sz w:val="15"/>
        </w:rPr>
        <w:t xml:space="preserve">DOI : </w:t>
      </w:r>
      <w:hyperlink r:id="rId138">
        <w:r>
          <w:rPr>
            <w:rStyle w:val="Hyperlink"/>
          </w:rPr>
          <w:t>10.1080/02688697.2025.2602629</w:t>
        </w:r>
      </w:hyperlink>
      <w:r>
        <w:rPr>
          <w:rFonts w:ascii="Aptos" w:hAnsi="Aptos" w:eastAsia="Aptos"/>
          <w:color w:val="24323D"/>
          <w:sz w:val="15"/>
        </w:rPr>
        <w:t xml:space="preserve">. </w:t>
      </w:r>
      <w:r>
        <w:rPr>
          <w:rFonts w:ascii="Aptos" w:hAnsi="Aptos" w:eastAsia="Aptos"/>
          <w:color w:val="24323D"/>
          <w:sz w:val="15"/>
        </w:rPr>
        <w:t xml:space="preserve">PMID : 41403179.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revue de perspective 2026. Usage : mesures modernes du CBF. Limite : perspective, non validation. </w:t>
      </w:r>
      <w:hyperlink r:id="rId139">
        <w:r>
          <w:rPr>
            <w:rStyle w:val="Hyperlink"/>
          </w:rPr>
          <w:t>Notice PubMed 41403179</w:t>
        </w:r>
      </w:hyperlink>
    </w:p>
    <w:p>
      <w:pPr>
        <w:pStyle w:val="Reference"/>
        <w:keepLines/>
        <w:spacing w:after="90" w:line="240" w:lineRule="auto"/>
      </w:pPr>
      <w:r>
        <w:rPr>
          <w:rFonts w:ascii="Aptos" w:hAnsi="Aptos" w:eastAsia="Aptos"/>
          <w:color w:val="24323D"/>
          <w:sz w:val="15"/>
        </w:rPr>
        <w:t xml:space="preserve">[R65] Ito H. Human cerebral circulation: positron emission tomography studies. Ann Nucl Med. 2005;19(2):65-74. </w:t>
      </w:r>
      <w:r>
        <w:rPr>
          <w:rFonts w:ascii="Aptos" w:hAnsi="Aptos" w:eastAsia="Aptos"/>
          <w:b/>
          <w:color w:val="24323D"/>
          <w:sz w:val="15"/>
        </w:rPr>
        <w:t xml:space="preserve">DOI : </w:t>
      </w:r>
      <w:hyperlink r:id="rId140">
        <w:r>
          <w:rPr>
            <w:rStyle w:val="Hyperlink"/>
          </w:rPr>
          <w:t>10.1007/BF03027383</w:t>
        </w:r>
      </w:hyperlink>
      <w:r>
        <w:rPr>
          <w:rFonts w:ascii="Aptos" w:hAnsi="Aptos" w:eastAsia="Aptos"/>
          <w:color w:val="24323D"/>
          <w:sz w:val="15"/>
        </w:rPr>
        <w:t xml:space="preserve">. </w:t>
      </w:r>
      <w:r>
        <w:rPr>
          <w:rFonts w:ascii="Aptos" w:hAnsi="Aptos" w:eastAsia="Aptos"/>
          <w:color w:val="24323D"/>
          <w:sz w:val="15"/>
        </w:rPr>
        <w:t xml:space="preserve">PMID : 15909484. </w:t>
      </w:r>
      <w:r>
        <w:rPr>
          <w:rFonts w:ascii="Aptos" w:hAnsi="Aptos" w:eastAsia="Aptos"/>
          <w:color w:val="24323D"/>
          <w:sz w:val="15"/>
        </w:rPr>
        <w:t xml:space="preserve">PMCID : N/A — absence vérifiée dans PubMed/PMC. </w:t>
      </w:r>
      <w:r>
        <w:rPr>
          <w:rFonts w:ascii="Aptos" w:hAnsi="Aptos" w:eastAsia="Aptos"/>
          <w:color w:val="24323D"/>
          <w:sz w:val="15"/>
        </w:rPr>
        <w:t xml:space="preserve">Type : revue PET multicentrique. Usage : valeurs et régulation cérébrales. Limite : technologie historique et synthèse. </w:t>
      </w:r>
      <w:hyperlink r:id="rId141">
        <w:r>
          <w:rPr>
            <w:rStyle w:val="Hyperlink"/>
          </w:rPr>
          <w:t>Notice PubMed 15909484</w:t>
        </w:r>
      </w:hyperlink>
    </w:p>
    <w:p>
      <w:pPr>
        <w:keepLines/>
        <w:pageBreakBefore/>
        <w:spacing w:before="2000"/>
        <w:jc w:val="center"/>
      </w:pPr>
      <w:r>
        <w:rPr>
          <w:rFonts w:ascii="Aptos" w:hAnsi="Aptos" w:eastAsia="Aptos"/>
          <w:b/>
          <w:color w:val="22A6B3"/>
          <w:sz w:val="24"/>
        </w:rPr>
        <w:t>FIN DU DOCUMENT MAÎTRE</w:t>
      </w:r>
    </w:p>
    <w:p>
      <w:pPr>
        <w:jc w:val="center"/>
      </w:pPr>
      <w:r>
        <w:rPr>
          <w:rFonts w:ascii="Aptos" w:hAnsi="Aptos" w:eastAsia="Aptos"/>
          <w:color w:val="667085"/>
          <w:sz w:val="18"/>
        </w:rPr>
        <w:t>RB-005 • Version 1.0 • État des connaissances : 3 août 2026</w:t>
        <w:br/>
        <w:t>NXP-000003 — Neuro Perfusion &amp; Metabolism</w:t>
      </w:r>
    </w:p>
    <w:sectPr w:rsidR="00FC693F" w:rsidRPr="0006063C" w:rsidSect="00034616">
      <w:headerReference w:type="default" r:id="rId54"/>
      <w:footerReference w:type="default" r:id="rId55"/>
      <w:headerReference w:type="first" r:id="rId99"/>
      <w:footerReference w:type="first" r:id="rId100"/>
      <w:pgSz w:w="12240" w:h="15840"/>
      <w:pgMar w:top="1181" w:right="1440" w:bottom="1037" w:left="1440" w:header="46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7500"/>
      <w:gridCol w:w="1860"/>
    </w:tblGrid>
    <w:tr>
      <w:tc>
        <w:tcPr>
          <w:tcW w:type="dxa" w:w="7500"/>
          <w:tcMar>
            <w:top w:w="0" w:type="dxa"/>
            <w:start w:w="0" w:type="dxa"/>
            <w:bottom w:w="0" w:type="dxa"/>
            <w:end w:w="0" w:type="dxa"/>
          </w:tcMar>
        </w:tcPr>
        <w:p>
          <w:r>
            <w:rPr>
              <w:rFonts w:ascii="Aptos" w:hAnsi="Aptos" w:eastAsia="Aptos"/>
              <w:b/>
              <w:color w:val="667085"/>
              <w:sz w:val="14"/>
            </w:rPr>
            <w:t>RB-005  •  REASONING BOOK 05  •  NEURO PERFUSION &amp; METABOLISM</w:t>
          </w:r>
        </w:p>
      </w:tc>
      <w:tc>
        <w:tcPr>
          <w:tcW w:type="dxa" w:w="1860"/>
          <w:tcMar>
            <w:top w:w="0" w:type="dxa"/>
            <w:start w:w="0" w:type="dxa"/>
            <w:bottom w:w="0" w:type="dxa"/>
            <w:end w:w="0" w:type="dxa"/>
          </w:tcMar>
        </w:tcPr>
        <w:p>
          <w:pPr>
            <w:jc w:val="right"/>
          </w:pPr>
          <w:r>
            <w:rPr>
              <w:color w:val="667085"/>
              <w:sz w:val="15"/>
            </w:rPr>
            <w:t xml:space="preserve">PAGE </w:t>
          </w:r>
          <w:r>
            <w:rPr>
              <w:color w:val="667085"/>
              <w:sz w:val="15"/>
            </w:rPr>
            <w:fldChar w:fldCharType="begin"/>
            <w:instrText xml:space="preserve"> PAGE </w:instrText>
            <w:fldChar w:fldCharType="separate"/>
            <w:t>1</w:t>
            <w:fldChar w:fldCharType="end"/>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9" w:space="5" w:color="22A6B3"/>
      </w:pBdr>
    </w:pPr>
    <w:r>
      <w:rPr>
        <w:b/>
        <w:color w:val="12344D"/>
        <w:sz w:val="16"/>
      </w:rPr>
      <w:t>NOXIA  /  PROTOCOL DESIGNER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69" w:after="102"/>
      <w:jc w:val="both"/>
    </w:pPr>
    <w:rPr>
      <w:rFonts w:ascii="Aptos" w:hAnsi="Aptos" w:eastAsia="Aptos"/>
      <w:b w:val="0"/>
      <w:color w:val="24323D"/>
      <w:sz w:val="18"/>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jc w:val="left"/>
      <w:outlineLvl w:val="0"/>
    </w:pPr>
    <w:rPr>
      <w:rFonts w:asciiTheme="majorHAnsi" w:eastAsiaTheme="majorEastAsia" w:hAnsiTheme="majorHAnsi" w:cstheme="majorBidi" w:ascii="Aptos Display" w:hAnsi="Aptos Display" w:eastAsia="Aptos Display"/>
      <w:b/>
      <w:bCs/>
      <w:color w:val="12344D"/>
      <w:sz w:val="35"/>
      <w:szCs w:val="28"/>
    </w:rPr>
  </w:style>
  <w:style w:type="paragraph" w:styleId="Heading2">
    <w:name w:val="heading 2"/>
    <w:basedOn w:val="Normal"/>
    <w:next w:val="Normal"/>
    <w:link w:val="Heading2Char"/>
    <w:uiPriority w:val="9"/>
    <w:unhideWhenUsed/>
    <w:qFormat/>
    <w:rsid w:val="00FC693F"/>
    <w:pPr>
      <w:keepNext/>
      <w:keepLines/>
      <w:widowControl/>
      <w:spacing w:before="200" w:after="100"/>
      <w:jc w:val="left"/>
      <w:outlineLvl w:val="1"/>
    </w:pPr>
    <w:rPr>
      <w:rFonts w:asciiTheme="majorHAnsi" w:eastAsiaTheme="majorEastAsia" w:hAnsiTheme="majorHAnsi" w:cstheme="majorBidi" w:ascii="Aptos Display" w:hAnsi="Aptos Display" w:eastAsia="Aptos Display"/>
      <w:b/>
      <w:bCs/>
      <w:color w:val="22A6B3"/>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60"/>
      <w:jc w:val="left"/>
      <w:outlineLvl w:val="2"/>
    </w:pPr>
    <w:rPr>
      <w:rFonts w:asciiTheme="majorHAnsi" w:eastAsiaTheme="majorEastAsia" w:hAnsiTheme="majorHAnsi" w:cstheme="majorBidi" w:ascii="Aptos" w:hAnsi="Aptos" w:eastAsia="Aptos"/>
      <w:b/>
      <w:bCs/>
      <w:color w:val="1234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ptos" w:hAnsi="Aptos" w:eastAsia="Aptos"/>
      <w:b w:val="0"/>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ind w:left="360" w:hanging="230"/>
      <w:contextualSpacing/>
    </w:pPr>
    <w:rPr>
      <w:rFonts w:ascii="Calibri" w:hAnsi="Calibri"/>
      <w:color w:val="24323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ind w:left="360" w:hanging="230"/>
      <w:contextualSpacing/>
    </w:pPr>
    <w:rPr>
      <w:rFonts w:ascii="Calibri" w:hAnsi="Calibri"/>
      <w:color w:val="24323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ptos" w:hAnsi="Aptos" w:eastAsia="Aptos"/>
      <w:b/>
      <w:bCs/>
      <w:color w:val="6670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Lines/>
      <w:widowControl/>
      <w:spacing w:line="240" w:lineRule="auto" w:after="80"/>
      <w:jc w:val="left"/>
    </w:pPr>
    <w:rPr>
      <w:rFonts w:ascii="Aptos" w:hAnsi="Aptos" w:eastAsia="Aptos"/>
      <w:b w:val="0"/>
      <w:color w:val="24323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54" Type="http://schemas.openxmlformats.org/officeDocument/2006/relationships/header" Target="header1.xml"/><Relationship Id="rId55" Type="http://schemas.openxmlformats.org/officeDocument/2006/relationships/footer" Target="footer1.xml"/><Relationship Id="rId99" Type="http://schemas.openxmlformats.org/officeDocument/2006/relationships/header" Target="header2.xml"/><Relationship Id="rId100" Type="http://schemas.openxmlformats.org/officeDocument/2006/relationships/footer" Target="footer2.xml"/><Relationship Id="rId9" Type="http://schemas.openxmlformats.org/officeDocument/2006/relationships/hyperlink" Target="https://doi.org/10.1002/mrm.1910360510" TargetMode="External"/><Relationship Id="rId10" Type="http://schemas.openxmlformats.org/officeDocument/2006/relationships/hyperlink" Target="https://pubmed.ncbi.nlm.nih.gov/8916022/" TargetMode="External"/><Relationship Id="rId11" Type="http://schemas.openxmlformats.org/officeDocument/2006/relationships/hyperlink" Target="https://doi.org/10.1002/mrm.1910360511" TargetMode="External"/><Relationship Id="rId12" Type="http://schemas.openxmlformats.org/officeDocument/2006/relationships/hyperlink" Target="https://pubmed.ncbi.nlm.nih.gov/8916023/" TargetMode="External"/><Relationship Id="rId13" Type="http://schemas.openxmlformats.org/officeDocument/2006/relationships/hyperlink" Target="https://doi.org/10.1161/STROKEAHA.110.580670" TargetMode="External"/><Relationship Id="rId14" Type="http://schemas.openxmlformats.org/officeDocument/2006/relationships/hyperlink" Target="https://pubmed.ncbi.nlm.nih.gov/20413735/" TargetMode="External"/><Relationship Id="rId15" Type="http://schemas.openxmlformats.org/officeDocument/2006/relationships/hyperlink" Target="https://doi.org/10.1148/radiol.12112618" TargetMode="External"/><Relationship Id="rId16" Type="http://schemas.openxmlformats.org/officeDocument/2006/relationships/hyperlink" Target="https://pubmed.ncbi.nlm.nih.gov/23220899/" TargetMode="External"/><Relationship Id="rId17" Type="http://schemas.openxmlformats.org/officeDocument/2006/relationships/hyperlink" Target="https://doi.org/10.2214/AJR.10.6058" TargetMode="External"/><Relationship Id="rId18" Type="http://schemas.openxmlformats.org/officeDocument/2006/relationships/hyperlink" Target="https://pubmed.ncbi.nlm.nih.gov/21785096/" TargetMode="External"/><Relationship Id="rId19" Type="http://schemas.openxmlformats.org/officeDocument/2006/relationships/hyperlink" Target="https://doi.org/10.1007/s00330-023-10035-1" TargetMode="External"/><Relationship Id="rId20" Type="http://schemas.openxmlformats.org/officeDocument/2006/relationships/hyperlink" Target="https://pubmed.ncbi.nlm.nih.gov/37572189/" TargetMode="External"/><Relationship Id="rId21" Type="http://schemas.openxmlformats.org/officeDocument/2006/relationships/hyperlink" Target="https://doi.org/10.1152/physrev.00022.2020" TargetMode="External"/><Relationship Id="rId22" Type="http://schemas.openxmlformats.org/officeDocument/2006/relationships/hyperlink" Target="https://pubmed.ncbi.nlm.nih.gov/33769101/" TargetMode="External"/><Relationship Id="rId23" Type="http://schemas.openxmlformats.org/officeDocument/2006/relationships/hyperlink" Target="https://doi.org/10.1177/0271678X221119760" TargetMode="External"/><Relationship Id="rId24" Type="http://schemas.openxmlformats.org/officeDocument/2006/relationships/hyperlink" Target="https://pubmed.ncbi.nlm.nih.gov/35962478/" TargetMode="External"/><Relationship Id="rId25" Type="http://schemas.openxmlformats.org/officeDocument/2006/relationships/hyperlink" Target="https://doi.org/10.1038/nn.4428" TargetMode="External"/><Relationship Id="rId26" Type="http://schemas.openxmlformats.org/officeDocument/2006/relationships/hyperlink" Target="https://pubmed.ncbi.nlm.nih.gov/27775719/" TargetMode="External"/><Relationship Id="rId27" Type="http://schemas.openxmlformats.org/officeDocument/2006/relationships/hyperlink" Target="https://doi.org/10.1038/nn.4489" TargetMode="External"/><Relationship Id="rId28" Type="http://schemas.openxmlformats.org/officeDocument/2006/relationships/hyperlink" Target="https://pubmed.ncbi.nlm.nih.gov/28135240/" TargetMode="External"/><Relationship Id="rId29" Type="http://schemas.openxmlformats.org/officeDocument/2006/relationships/hyperlink" Target="https://doi.org/10.1038/s41586-020-2026-1" TargetMode="External"/><Relationship Id="rId30" Type="http://schemas.openxmlformats.org/officeDocument/2006/relationships/hyperlink" Target="https://pubmed.ncbi.nlm.nih.gov/32076269/" TargetMode="External"/><Relationship Id="rId31" Type="http://schemas.openxmlformats.org/officeDocument/2006/relationships/hyperlink" Target="https://doi.org/10.1002/mrm.1910400308" TargetMode="External"/><Relationship Id="rId32" Type="http://schemas.openxmlformats.org/officeDocument/2006/relationships/hyperlink" Target="https://pubmed.ncbi.nlm.nih.gov/9727941/" TargetMode="External"/><Relationship Id="rId33" Type="http://schemas.openxmlformats.org/officeDocument/2006/relationships/hyperlink" Target="https://doi.org/10.1002/mrm.25197" TargetMode="External"/><Relationship Id="rId34" Type="http://schemas.openxmlformats.org/officeDocument/2006/relationships/hyperlink" Target="https://pubmed.ncbi.nlm.nih.gov/24715426/" TargetMode="External"/><Relationship Id="rId35" Type="http://schemas.openxmlformats.org/officeDocument/2006/relationships/hyperlink" Target="https://doi.org/10.1038/jcbfm.2011.10" TargetMode="External"/><Relationship Id="rId36" Type="http://schemas.openxmlformats.org/officeDocument/2006/relationships/hyperlink" Target="https://pubmed.ncbi.nlm.nih.gov/21304555/" TargetMode="External"/><Relationship Id="rId37" Type="http://schemas.openxmlformats.org/officeDocument/2006/relationships/hyperlink" Target="https://doi.org/10.1016/j.neuroimage.2015.03.043" TargetMode="External"/><Relationship Id="rId38" Type="http://schemas.openxmlformats.org/officeDocument/2006/relationships/hyperlink" Target="https://pubmed.ncbi.nlm.nih.gov/25818685/" TargetMode="External"/><Relationship Id="rId39" Type="http://schemas.openxmlformats.org/officeDocument/2006/relationships/hyperlink" Target="https://doi.org/10.1002/mrm.30081" TargetMode="External"/><Relationship Id="rId40" Type="http://schemas.openxmlformats.org/officeDocument/2006/relationships/hyperlink" Target="https://pubmed.ncbi.nlm.nih.gov/38502108/" TargetMode="External"/><Relationship Id="rId41" Type="http://schemas.openxmlformats.org/officeDocument/2006/relationships/hyperlink" Target="https://doi.org/10.1038/jcbfm.2015.42" TargetMode="External"/><Relationship Id="rId42" Type="http://schemas.openxmlformats.org/officeDocument/2006/relationships/hyperlink" Target="https://pubmed.ncbi.nlm.nih.gov/25785831/" TargetMode="External"/><Relationship Id="rId43" Type="http://schemas.openxmlformats.org/officeDocument/2006/relationships/hyperlink" Target="https://doi.org/10.1371/journal.pone.0156005" TargetMode="External"/><Relationship Id="rId44" Type="http://schemas.openxmlformats.org/officeDocument/2006/relationships/hyperlink" Target="https://pubmed.ncbi.nlm.nih.gov/27275779/" TargetMode="External"/><Relationship Id="rId45" Type="http://schemas.openxmlformats.org/officeDocument/2006/relationships/hyperlink" Target="https://doi.org/10.2463/mrms.mp.2020-0123" TargetMode="External"/><Relationship Id="rId46" Type="http://schemas.openxmlformats.org/officeDocument/2006/relationships/hyperlink" Target="https://pubmed.ncbi.nlm.nih.gov/35545508/" TargetMode="External"/><Relationship Id="rId47" Type="http://schemas.openxmlformats.org/officeDocument/2006/relationships/hyperlink" Target="https://doi.org/10.3174/ajnr.A9130" TargetMode="External"/><Relationship Id="rId48" Type="http://schemas.openxmlformats.org/officeDocument/2006/relationships/hyperlink" Target="https://pubmed.ncbi.nlm.nih.gov/42025299/" TargetMode="External"/><Relationship Id="rId49" Type="http://schemas.openxmlformats.org/officeDocument/2006/relationships/hyperlink" Target="https://doi.org/10.1148/radiol.2492071659" TargetMode="External"/><Relationship Id="rId50" Type="http://schemas.openxmlformats.org/officeDocument/2006/relationships/hyperlink" Target="https://pubmed.ncbi.nlm.nih.gov/18780827/" TargetMode="External"/><Relationship Id="rId51" Type="http://schemas.openxmlformats.org/officeDocument/2006/relationships/hyperlink" Target="https://doi.org/10.3174/ajnr.A2934" TargetMode="External"/><Relationship Id="rId52" Type="http://schemas.openxmlformats.org/officeDocument/2006/relationships/hyperlink" Target="https://pubmed.ncbi.nlm.nih.gov/22322605/" TargetMode="External"/><Relationship Id="rId53" Type="http://schemas.openxmlformats.org/officeDocument/2006/relationships/hyperlink" Target="https://doi.org/10.3174/ajnr.A6015" TargetMode="External"/><Relationship Id="rId56" Type="http://schemas.openxmlformats.org/officeDocument/2006/relationships/hyperlink" Target="https://pubmed.ncbi.nlm.nih.gov/30923088/" TargetMode="External"/><Relationship Id="rId57" Type="http://schemas.openxmlformats.org/officeDocument/2006/relationships/hyperlink" Target="https://doi.org/10.18383/j.tom.2016.00286" TargetMode="External"/><Relationship Id="rId58" Type="http://schemas.openxmlformats.org/officeDocument/2006/relationships/hyperlink" Target="https://pubmed.ncbi.nlm.nih.gov/28584878/" TargetMode="External"/><Relationship Id="rId59" Type="http://schemas.openxmlformats.org/officeDocument/2006/relationships/hyperlink" Target="https://doi.org/10.3174/ajnr.A5675" TargetMode="External"/><Relationship Id="rId60" Type="http://schemas.openxmlformats.org/officeDocument/2006/relationships/hyperlink" Target="https://pubmed.ncbi.nlm.nih.gov/29794239/" TargetMode="External"/><Relationship Id="rId61" Type="http://schemas.openxmlformats.org/officeDocument/2006/relationships/hyperlink" Target="https://doi.org/10.18383/j.tom.2020.00012" TargetMode="External"/><Relationship Id="rId62" Type="http://schemas.openxmlformats.org/officeDocument/2006/relationships/hyperlink" Target="https://pubmed.ncbi.nlm.nih.gov/32548297/" TargetMode="External"/><Relationship Id="rId63" Type="http://schemas.openxmlformats.org/officeDocument/2006/relationships/hyperlink" Target="https://doi.org/10.1259/bjr.20190543" TargetMode="External"/><Relationship Id="rId64" Type="http://schemas.openxmlformats.org/officeDocument/2006/relationships/hyperlink" Target="https://pubmed.ncbi.nlm.nih.gov/31617743/" TargetMode="External"/><Relationship Id="rId65" Type="http://schemas.openxmlformats.org/officeDocument/2006/relationships/hyperlink" Target="https://doi.org/10.1002/mrm.1910170208" TargetMode="External"/><Relationship Id="rId66" Type="http://schemas.openxmlformats.org/officeDocument/2006/relationships/hyperlink" Target="https://pubmed.ncbi.nlm.nih.gov/2062210/" TargetMode="External"/><Relationship Id="rId67" Type="http://schemas.openxmlformats.org/officeDocument/2006/relationships/hyperlink" Target="https://doi.org/10.1002/mrm.22686" TargetMode="External"/><Relationship Id="rId68" Type="http://schemas.openxmlformats.org/officeDocument/2006/relationships/hyperlink" Target="https://pubmed.ncbi.nlm.nih.gov/21413067/" TargetMode="External"/><Relationship Id="rId69" Type="http://schemas.openxmlformats.org/officeDocument/2006/relationships/hyperlink" Target="https://doi.org/10.1113/JP276887" TargetMode="External"/><Relationship Id="rId70" Type="http://schemas.openxmlformats.org/officeDocument/2006/relationships/hyperlink" Target="https://pubmed.ncbi.nlm.nih.gov/30417928/" TargetMode="External"/><Relationship Id="rId71" Type="http://schemas.openxmlformats.org/officeDocument/2006/relationships/hyperlink" Target="https://doi.org/10.1016/j.neuroimage.2020.117136" TargetMode="External"/><Relationship Id="rId72" Type="http://schemas.openxmlformats.org/officeDocument/2006/relationships/hyperlink" Target="https://pubmed.ncbi.nlm.nih.gov/32634594/" TargetMode="External"/><Relationship Id="rId73" Type="http://schemas.openxmlformats.org/officeDocument/2006/relationships/hyperlink" Target="https://doi.org/10.1016/j.neuroimage.2011.12.036" TargetMode="External"/><Relationship Id="rId74" Type="http://schemas.openxmlformats.org/officeDocument/2006/relationships/hyperlink" Target="https://pubmed.ncbi.nlm.nih.gov/22227130/" TargetMode="External"/><Relationship Id="rId75" Type="http://schemas.openxmlformats.org/officeDocument/2006/relationships/hyperlink" Target="https://doi.org/10.2463/mrms.rev.2024-0028" TargetMode="External"/><Relationship Id="rId76" Type="http://schemas.openxmlformats.org/officeDocument/2006/relationships/hyperlink" Target="https://pubmed.ncbi.nlm.nih.gov/38866481/" TargetMode="External"/><Relationship Id="rId77" Type="http://schemas.openxmlformats.org/officeDocument/2006/relationships/hyperlink" Target="https://doi.org/10.1088/1361-6560/abe737" TargetMode="External"/><Relationship Id="rId78" Type="http://schemas.openxmlformats.org/officeDocument/2006/relationships/hyperlink" Target="https://pubmed.ncbi.nlm.nih.gov/33596555/" TargetMode="External"/><Relationship Id="rId79" Type="http://schemas.openxmlformats.org/officeDocument/2006/relationships/hyperlink" Target="https://pubmed.ncbi.nlm.nih.gov/11483680/" TargetMode="External"/><Relationship Id="rId80" Type="http://schemas.openxmlformats.org/officeDocument/2006/relationships/hyperlink" Target="https://doi.org/10.1148/radiology.212.2.r99au27499" TargetMode="External"/><Relationship Id="rId81" Type="http://schemas.openxmlformats.org/officeDocument/2006/relationships/hyperlink" Target="https://pubmed.ncbi.nlm.nih.gov/10429709/" TargetMode="External"/><Relationship Id="rId82" Type="http://schemas.openxmlformats.org/officeDocument/2006/relationships/hyperlink" Target="https://doi.org/10.1007/s00259-006-0192-5" TargetMode="External"/><Relationship Id="rId83" Type="http://schemas.openxmlformats.org/officeDocument/2006/relationships/hyperlink" Target="https://pubmed.ncbi.nlm.nih.gov/16896662/" TargetMode="External"/><Relationship Id="rId84" Type="http://schemas.openxmlformats.org/officeDocument/2006/relationships/hyperlink" Target="https://doi.org/10.1007/s10072-024-07362-6" TargetMode="External"/><Relationship Id="rId85" Type="http://schemas.openxmlformats.org/officeDocument/2006/relationships/hyperlink" Target="https://pubmed.ncbi.nlm.nih.gov/38367153/" TargetMode="External"/><Relationship Id="rId86" Type="http://schemas.openxmlformats.org/officeDocument/2006/relationships/hyperlink" Target="https://doi.org/10.1161/STROKEAHA.111.618355" TargetMode="External"/><Relationship Id="rId87" Type="http://schemas.openxmlformats.org/officeDocument/2006/relationships/hyperlink" Target="https://pubmed.ncbi.nlm.nih.gov/21980202/" TargetMode="External"/><Relationship Id="rId88" Type="http://schemas.openxmlformats.org/officeDocument/2006/relationships/hyperlink" Target="https://doi.org/10.1056/NEJMoa1713973" TargetMode="External"/><Relationship Id="rId89" Type="http://schemas.openxmlformats.org/officeDocument/2006/relationships/hyperlink" Target="https://pubmed.ncbi.nlm.nih.gov/29364767/" TargetMode="External"/><Relationship Id="rId90" Type="http://schemas.openxmlformats.org/officeDocument/2006/relationships/hyperlink" Target="https://doi.org/10.1056/NEJMoa1706442" TargetMode="External"/><Relationship Id="rId91" Type="http://schemas.openxmlformats.org/officeDocument/2006/relationships/hyperlink" Target="https://pubmed.ncbi.nlm.nih.gov/29129157/" TargetMode="External"/><Relationship Id="rId92" Type="http://schemas.openxmlformats.org/officeDocument/2006/relationships/hyperlink" Target="https://doi.org/10.1016/S1474-4422(18)30314-4" TargetMode="External"/><Relationship Id="rId93" Type="http://schemas.openxmlformats.org/officeDocument/2006/relationships/hyperlink" Target="https://pubmed.ncbi.nlm.nih.gov/30413385/" TargetMode="External"/><Relationship Id="rId94" Type="http://schemas.openxmlformats.org/officeDocument/2006/relationships/hyperlink" Target="https://doi.org/10.1177/17474930211056228" TargetMode="External"/><Relationship Id="rId95" Type="http://schemas.openxmlformats.org/officeDocument/2006/relationships/hyperlink" Target="https://pubmed.ncbi.nlm.nih.gov/34796765/" TargetMode="External"/><Relationship Id="rId96" Type="http://schemas.openxmlformats.org/officeDocument/2006/relationships/hyperlink" Target="https://doi.org/10.1111/jon.13180" TargetMode="External"/><Relationship Id="rId97" Type="http://schemas.openxmlformats.org/officeDocument/2006/relationships/hyperlink" Target="https://pubmed.ncbi.nlm.nih.gov/38146065/" TargetMode="External"/><Relationship Id="rId98" Type="http://schemas.openxmlformats.org/officeDocument/2006/relationships/hyperlink" Target="https://doi.org/10.1161/STROKEAHA.113.004085" TargetMode="External"/><Relationship Id="rId101" Type="http://schemas.openxmlformats.org/officeDocument/2006/relationships/hyperlink" Target="https://pubmed.ncbi.nlm.nih.gov/24569816/" TargetMode="External"/><Relationship Id="rId102" Type="http://schemas.openxmlformats.org/officeDocument/2006/relationships/hyperlink" Target="https://doi.org/10.1161/STROKEAHA.119.028284" TargetMode="External"/><Relationship Id="rId103" Type="http://schemas.openxmlformats.org/officeDocument/2006/relationships/hyperlink" Target="https://pubmed.ncbi.nlm.nih.gov/31948385/" TargetMode="External"/><Relationship Id="rId104" Type="http://schemas.openxmlformats.org/officeDocument/2006/relationships/hyperlink" Target="https://doi.org/10.1016/j.neurad.2026.101577" TargetMode="External"/><Relationship Id="rId105" Type="http://schemas.openxmlformats.org/officeDocument/2006/relationships/hyperlink" Target="https://pubmed.ncbi.nlm.nih.gov/42296673/" TargetMode="External"/><Relationship Id="rId106" Type="http://schemas.openxmlformats.org/officeDocument/2006/relationships/hyperlink" Target="https://doi.org/10.1161/JAHA.121.023828" TargetMode="External"/><Relationship Id="rId107" Type="http://schemas.openxmlformats.org/officeDocument/2006/relationships/hyperlink" Target="https://pubmed.ncbi.nlm.nih.gov/34970916/" TargetMode="External"/><Relationship Id="rId108" Type="http://schemas.openxmlformats.org/officeDocument/2006/relationships/hyperlink" Target="https://doi.org/10.1007/s00234-016-1695-9" TargetMode="External"/><Relationship Id="rId109" Type="http://schemas.openxmlformats.org/officeDocument/2006/relationships/hyperlink" Target="https://pubmed.ncbi.nlm.nih.gov/27194077/" TargetMode="External"/><Relationship Id="rId110" Type="http://schemas.openxmlformats.org/officeDocument/2006/relationships/hyperlink" Target="https://doi.org/10.1007/s00247-021-05266-7" TargetMode="External"/><Relationship Id="rId111" Type="http://schemas.openxmlformats.org/officeDocument/2006/relationships/hyperlink" Target="https://pubmed.ncbi.nlm.nih.gov/35290489/" TargetMode="External"/><Relationship Id="rId112" Type="http://schemas.openxmlformats.org/officeDocument/2006/relationships/hyperlink" Target="https://doi.org/10.3390/diagnostics15070896" TargetMode="External"/><Relationship Id="rId113" Type="http://schemas.openxmlformats.org/officeDocument/2006/relationships/hyperlink" Target="https://pubmed.ncbi.nlm.nih.gov/40218247/" TargetMode="External"/><Relationship Id="rId114" Type="http://schemas.openxmlformats.org/officeDocument/2006/relationships/hyperlink" Target="https://doi.org/10.1007/s00330-023-10215-z" TargetMode="External"/><Relationship Id="rId115" Type="http://schemas.openxmlformats.org/officeDocument/2006/relationships/hyperlink" Target="https://pubmed.ncbi.nlm.nih.gov/37882836/" TargetMode="External"/><Relationship Id="rId116" Type="http://schemas.openxmlformats.org/officeDocument/2006/relationships/hyperlink" Target="https://doi.org/10.2176/nmc.oa.2015-0341" TargetMode="External"/><Relationship Id="rId117" Type="http://schemas.openxmlformats.org/officeDocument/2006/relationships/hyperlink" Target="https://pubmed.ncbi.nlm.nih.gov/27356957/" TargetMode="External"/><Relationship Id="rId118" Type="http://schemas.openxmlformats.org/officeDocument/2006/relationships/hyperlink" Target="https://doi.org/10.4103/ijri.IJRI_454_16" TargetMode="External"/><Relationship Id="rId119" Type="http://schemas.openxmlformats.org/officeDocument/2006/relationships/hyperlink" Target="https://pubmed.ncbi.nlm.nih.gov/29089671/" TargetMode="External"/><Relationship Id="rId120" Type="http://schemas.openxmlformats.org/officeDocument/2006/relationships/hyperlink" Target="https://doi.org/10.1007/978-3-032-10389-5_28" TargetMode="External"/><Relationship Id="rId121" Type="http://schemas.openxmlformats.org/officeDocument/2006/relationships/hyperlink" Target="https://pubmed.ncbi.nlm.nih.gov/41577923/" TargetMode="External"/><Relationship Id="rId122" Type="http://schemas.openxmlformats.org/officeDocument/2006/relationships/hyperlink" Target="https://doi.org/10.3233/JAD-210116" TargetMode="External"/><Relationship Id="rId123" Type="http://schemas.openxmlformats.org/officeDocument/2006/relationships/hyperlink" Target="https://pubmed.ncbi.nlm.nih.gov/33967053/" TargetMode="External"/><Relationship Id="rId124" Type="http://schemas.openxmlformats.org/officeDocument/2006/relationships/hyperlink" Target="https://doi.org/10.1016/j.cccb.2024.100376" TargetMode="External"/><Relationship Id="rId125" Type="http://schemas.openxmlformats.org/officeDocument/2006/relationships/hyperlink" Target="https://pubmed.ncbi.nlm.nih.gov/39877419/" TargetMode="External"/><Relationship Id="rId126" Type="http://schemas.openxmlformats.org/officeDocument/2006/relationships/hyperlink" Target="https://doi.org/10.1177/0271678X17721830" TargetMode="External"/><Relationship Id="rId127" Type="http://schemas.openxmlformats.org/officeDocument/2006/relationships/hyperlink" Target="https://pubmed.ncbi.nlm.nih.gov/28816594/" TargetMode="External"/><Relationship Id="rId128" Type="http://schemas.openxmlformats.org/officeDocument/2006/relationships/hyperlink" Target="https://doi.org/10.3389/fphys.2021.643468" TargetMode="External"/><Relationship Id="rId129" Type="http://schemas.openxmlformats.org/officeDocument/2006/relationships/hyperlink" Target="https://pubmed.ncbi.nlm.nih.gov/33716793/" TargetMode="External"/><Relationship Id="rId130" Type="http://schemas.openxmlformats.org/officeDocument/2006/relationships/hyperlink" Target="https://doi.org/10.1038/jcbfm.2013.131" TargetMode="External"/><Relationship Id="rId131" Type="http://schemas.openxmlformats.org/officeDocument/2006/relationships/hyperlink" Target="https://pubmed.ncbi.nlm.nih.gov/23921896/" TargetMode="External"/><Relationship Id="rId132" Type="http://schemas.openxmlformats.org/officeDocument/2006/relationships/hyperlink" Target="https://doi.org/10.3389/fradi.2024.1307586" TargetMode="External"/><Relationship Id="rId133" Type="http://schemas.openxmlformats.org/officeDocument/2006/relationships/hyperlink" Target="https://pubmed.ncbi.nlm.nih.gov/38445104/" TargetMode="External"/><Relationship Id="rId134" Type="http://schemas.openxmlformats.org/officeDocument/2006/relationships/hyperlink" Target="https://doi.org/10.1007/s43657-022-00081-y" TargetMode="External"/><Relationship Id="rId135" Type="http://schemas.openxmlformats.org/officeDocument/2006/relationships/hyperlink" Target="https://pubmed.ncbi.nlm.nih.gov/36939794/" TargetMode="External"/><Relationship Id="rId136" Type="http://schemas.openxmlformats.org/officeDocument/2006/relationships/hyperlink" Target="https://doi.org/10.3389/fphys.2026.1728065" TargetMode="External"/><Relationship Id="rId137" Type="http://schemas.openxmlformats.org/officeDocument/2006/relationships/hyperlink" Target="https://pubmed.ncbi.nlm.nih.gov/41852483/" TargetMode="External"/><Relationship Id="rId138" Type="http://schemas.openxmlformats.org/officeDocument/2006/relationships/hyperlink" Target="https://doi.org/10.1080/02688697.2025.2602629" TargetMode="External"/><Relationship Id="rId139" Type="http://schemas.openxmlformats.org/officeDocument/2006/relationships/hyperlink" Target="https://pubmed.ncbi.nlm.nih.gov/41403179/" TargetMode="External"/><Relationship Id="rId140" Type="http://schemas.openxmlformats.org/officeDocument/2006/relationships/hyperlink" Target="https://doi.org/10.1007/BF03027383" TargetMode="External"/><Relationship Id="rId141" Type="http://schemas.openxmlformats.org/officeDocument/2006/relationships/hyperlink" Target="https://pubmed.ncbi.nlm.nih.gov/15909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 Book 05 — Neuro Perfusion &amp; Metabolism Foundations</dc:title>
  <dc:subject>Corpus scientifique de niveau 2 du Scientific Program NXP-000003</dc:subject>
  <dc:creator>NOXIA Protocol Designer</dc:creator>
  <cp:keywords>neuro perfusion, CBF, CBV, MTT, Tmax, OEF, CMRO2, BBB, NXP-000003, RB-005</cp:keywords>
  <dc:description>Source maîtresse DOCX — version 1.0 — état des connaissances au 3 août 2026</dc:description>
  <cp:lastModifiedBy/>
  <cp:revision>1</cp:revision>
  <dcterms:created xsi:type="dcterms:W3CDTF">2013-12-23T23:15:00Z</dcterms:created>
  <dcterms:modified xsi:type="dcterms:W3CDTF">2013-12-23T23:15:00Z</dcterms:modified>
  <cp:category>Reasoning Book — NIVEAU_2</cp:category>
</cp:coreProperties>
</file>