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pPr>
    </w:p>
    <w:p>
      <w:pPr>
        <w:spacing w:after="80"/>
        <w:jc w:val="center"/>
      </w:pPr>
      <w:r>
        <w:rPr>
          <w:b/>
          <w:color w:val="22A6B3"/>
          <w:sz w:val="22"/>
        </w:rPr>
        <w:t>NOXIA PROTOCOL DESIGNER</w:t>
      </w:r>
    </w:p>
    <w:tbl>
      <w:tblPr>
        <w:tblW w:type="dxa" w:w="9360"/>
        <w:jc w:val="center"/>
        <w:tblLayout w:type="fixed"/>
        <w:tblLook w:firstColumn="1" w:firstRow="1" w:lastColumn="0" w:lastRow="0" w:noHBand="0" w:noVBand="1" w:val="04A0"/>
      </w:tblPr>
      <w:tblGrid>
        <w:gridCol w:w="3350"/>
        <w:gridCol w:w="2660"/>
        <w:gridCol w:w="3350"/>
      </w:tblGrid>
      <w:tr>
        <w:trPr>
          <w:trHeight w:val="80"/>
        </w:trPr>
        <w:tc>
          <w:tcPr>
            <w:tcW w:type="dxa" w:w="3350"/>
            <w:tcMar>
              <w:top w:w="0" w:type="dxa"/>
              <w:start w:w="0" w:type="dxa"/>
              <w:bottom w:w="0" w:type="dxa"/>
              <w:end w:w="0" w:type="dxa"/>
            </w:tcMar>
            <w:shd w:fill="FFFFFF"/>
          </w:tcPr>
          <w:p/>
        </w:tc>
        <w:tc>
          <w:tcPr>
            <w:tcW w:type="dxa" w:w="2660"/>
            <w:tcMar>
              <w:top w:w="0" w:type="dxa"/>
              <w:start w:w="0" w:type="dxa"/>
              <w:bottom w:w="0" w:type="dxa"/>
              <w:end w:w="0" w:type="dxa"/>
            </w:tcMar>
            <w:shd w:fill="22A6B3"/>
          </w:tcPr>
          <w:p/>
        </w:tc>
        <w:tc>
          <w:tcPr>
            <w:tcW w:type="dxa" w:w="3350"/>
            <w:tcMar>
              <w:top w:w="0" w:type="dxa"/>
              <w:start w:w="0" w:type="dxa"/>
              <w:bottom w:w="0" w:type="dxa"/>
              <w:end w:w="0" w:type="dxa"/>
            </w:tcMar>
            <w:shd w:fill="FFFFFF"/>
          </w:tcPr>
          <w:p/>
        </w:tc>
      </w:tr>
    </w:tbl>
    <w:p>
      <w:pPr>
        <w:spacing w:before="680" w:after="200"/>
        <w:jc w:val="center"/>
      </w:pPr>
      <w:r>
        <w:rPr>
          <w:b/>
          <w:color w:val="667085"/>
          <w:sz w:val="22"/>
        </w:rPr>
        <w:t>PD-002  /  REASONING BOOK 01</w:t>
      </w:r>
    </w:p>
    <w:p>
      <w:pPr>
        <w:pStyle w:val="Title"/>
        <w:spacing w:after="280" w:line="250" w:lineRule="auto"/>
        <w:jc w:val="center"/>
      </w:pPr>
      <w:r>
        <w:t>Mesurer la fibrose myocardique</w:t>
        <w:br/>
        <w:t>dans la maladie de Fabry</w:t>
      </w:r>
    </w:p>
    <w:p>
      <w:pPr>
        <w:spacing w:after="480"/>
        <w:jc w:val="center"/>
      </w:pPr>
      <w:r>
        <w:rPr>
          <w:i/>
          <w:color w:val="667085"/>
          <w:sz w:val="26"/>
        </w:rPr>
        <w:t>Cahier de raisonnement scientifique complet</w:t>
        <w:br/>
        <w:t>— en amont de tout protocole —</w:t>
      </w:r>
    </w:p>
    <w:tbl>
      <w:tblPr>
        <w:tblW w:type="dxa" w:w="7200"/>
        <w:jc w:val="center"/>
        <w:tblLayout w:type="fixed"/>
        <w:tblLook w:firstColumn="1" w:firstRow="1" w:lastColumn="0" w:lastRow="0" w:noHBand="0" w:noVBand="1" w:val="04A0"/>
      </w:tblPr>
      <w:tblGrid>
        <w:gridCol w:w="7200"/>
      </w:tblGrid>
      <w:tr>
        <w:tc>
          <w:tcPr>
            <w:tcW w:type="dxa" w:w="7200"/>
            <w:shd w:fill="E5F5F7"/>
            <w:tcMar>
              <w:top w:w="170" w:type="dxa"/>
              <w:start w:w="220" w:type="dxa"/>
              <w:bottom w:w="170" w:type="dxa"/>
              <w:end w:w="220" w:type="dxa"/>
            </w:tcMar>
          </w:tcPr>
          <w:p>
            <w:pPr>
              <w:jc w:val="center"/>
            </w:pPr>
            <w:r>
              <w:rPr>
                <w:b/>
                <w:color w:val="12344D"/>
                <w:sz w:val="21"/>
              </w:rPr>
              <w:t>AUCUN PROTOCOLE PRODUIT</w:t>
            </w:r>
          </w:p>
          <w:p>
            <w:pPr>
              <w:spacing w:after="0"/>
              <w:jc w:val="center"/>
            </w:pPr>
            <w:r>
              <w:rPr>
                <w:color w:val="667085"/>
                <w:sz w:val="18"/>
              </w:rPr>
              <w:t>Définitions • mécanismes • observables • pièges • hypothèses • décisions successives</w:t>
            </w:r>
          </w:p>
        </w:tc>
      </w:tr>
    </w:tbl>
    <w:p>
      <w:pPr>
        <w:spacing w:before="1440"/>
        <w:jc w:val="center"/>
      </w:pPr>
      <w:r>
        <w:rPr>
          <w:color w:val="667085"/>
          <w:sz w:val="18"/>
        </w:rPr>
        <w:t>VERSION 1.0</w:t>
        <w:br/>
        <w:t>État de la preuve arrêté au 2 août 2026</w:t>
      </w:r>
    </w:p>
    <w:p>
      <w:r>
        <w:br w:type="page"/>
      </w:r>
    </w:p>
    <w:p>
      <w:pPr>
        <w:pStyle w:val="Heading1"/>
        <w:pBdr>
          <w:bottom w:val="single" w:sz="12" w:space="7" w:color="22A6B3"/>
        </w:pBdr>
      </w:pPr>
      <w:r>
        <w:t>MODE D’EMPLOI</w:t>
      </w:r>
    </w:p>
    <w:p>
      <w:pPr>
        <w:spacing w:after="200"/>
      </w:pPr>
      <w:r>
        <w:rPr>
          <w:b w:val="0"/>
          <w:i w:val="0"/>
        </w:rPr>
        <w:t>Ce cahier ne répond pas par une recette. Il rend explicite la chaîne qui relie la question clinique au construit, puis le construit aux observables et enfin aux décisions. Les références [R01–R44] sont regroupées en fin de document.</w:t>
      </w:r>
    </w:p>
    <w:tbl>
      <w:tblPr>
        <w:tblW w:type="dxa" w:w="9360"/>
        <w:jc w:val="center"/>
        <w:tblLayout w:type="fixed"/>
        <w:tblLook w:firstColumn="1" w:firstRow="1" w:lastColumn="0" w:lastRow="0" w:noHBand="0" w:noVBand="1" w:val="04A0"/>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blGrid>
        <w:gridCol w:w="2200"/>
        <w:gridCol w:w="7160"/>
      </w:tblGrid>
      <w:tr>
        <w:tc>
          <w:tcPr>
            <w:tcW w:type="dxa" w:w="2200"/>
            <w:shd w:fill="12344D"/>
            <w:tcMar>
              <w:top w:w="130" w:type="dxa"/>
              <w:start w:w="150" w:type="dxa"/>
              <w:bottom w:w="130" w:type="dxa"/>
              <w:end w:w="150" w:type="dxa"/>
            </w:tcMar>
          </w:tcPr>
          <w:p>
            <w:r>
              <w:rPr>
                <w:b/>
                <w:color w:val="FFFFFF"/>
                <w:sz w:val="18"/>
              </w:rPr>
              <w:t>OBJET</w:t>
            </w:r>
          </w:p>
        </w:tc>
        <w:tc>
          <w:tcPr>
            <w:tcW w:type="dxa" w:w="7160"/>
            <w:shd w:fill="F2F8FA"/>
            <w:tcMar>
              <w:top w:w="130" w:type="dxa"/>
              <w:start w:w="170" w:type="dxa"/>
              <w:bottom w:w="130" w:type="dxa"/>
              <w:end w:w="170" w:type="dxa"/>
            </w:tcMar>
          </w:tcPr>
          <w:p>
            <w:pPr>
              <w:jc w:val="left"/>
            </w:pPr>
            <w:r>
              <w:rPr>
                <w:b w:val="0"/>
                <w:i w:val="0"/>
                <w:sz w:val="18"/>
              </w:rPr>
              <w:t>Fibrose de remplacement focale et expansion extracellulaire, sans fusion avec stockage, activité ou fonction.</w:t>
            </w:r>
          </w:p>
        </w:tc>
      </w:tr>
      <w:tr>
        <w:tc>
          <w:tcPr>
            <w:tcW w:type="dxa" w:w="2200"/>
            <w:shd w:fill="12344D"/>
            <w:tcMar>
              <w:top w:w="130" w:type="dxa"/>
              <w:start w:w="150" w:type="dxa"/>
              <w:bottom w:w="130" w:type="dxa"/>
              <w:end w:w="150" w:type="dxa"/>
            </w:tcMar>
          </w:tcPr>
          <w:p>
            <w:r>
              <w:rPr>
                <w:b/>
                <w:color w:val="FFFFFF"/>
                <w:sz w:val="18"/>
              </w:rPr>
              <w:t>PORTÉE</w:t>
            </w:r>
          </w:p>
        </w:tc>
        <w:tc>
          <w:tcPr>
            <w:tcW w:type="dxa" w:w="7160"/>
            <w:shd w:fill="FFFFFF"/>
            <w:tcMar>
              <w:top w:w="130" w:type="dxa"/>
              <w:start w:w="170" w:type="dxa"/>
              <w:bottom w:w="130" w:type="dxa"/>
              <w:end w:w="170" w:type="dxa"/>
            </w:tcMar>
          </w:tcPr>
          <w:p>
            <w:pPr>
              <w:jc w:val="left"/>
            </w:pPr>
            <w:r>
              <w:rPr>
                <w:b w:val="0"/>
                <w:i w:val="0"/>
                <w:sz w:val="18"/>
              </w:rPr>
              <w:t>Raisonnement scientifique complet ; ni recommandations individuelles ni paramètres d’acquisition.</w:t>
            </w:r>
          </w:p>
        </w:tc>
      </w:tr>
      <w:tr>
        <w:tc>
          <w:tcPr>
            <w:tcW w:type="dxa" w:w="2200"/>
            <w:shd w:fill="12344D"/>
            <w:tcMar>
              <w:top w:w="130" w:type="dxa"/>
              <w:start w:w="150" w:type="dxa"/>
              <w:bottom w:w="130" w:type="dxa"/>
              <w:end w:w="150" w:type="dxa"/>
            </w:tcMar>
          </w:tcPr>
          <w:p>
            <w:r>
              <w:rPr>
                <w:b/>
                <w:color w:val="FFFFFF"/>
                <w:sz w:val="18"/>
              </w:rPr>
              <w:t>SORTIE</w:t>
            </w:r>
          </w:p>
        </w:tc>
        <w:tc>
          <w:tcPr>
            <w:tcW w:type="dxa" w:w="7160"/>
            <w:shd w:fill="F2F8FA"/>
            <w:tcMar>
              <w:top w:w="130" w:type="dxa"/>
              <w:start w:w="170" w:type="dxa"/>
              <w:bottom w:w="130" w:type="dxa"/>
              <w:end w:w="170" w:type="dxa"/>
            </w:tcMar>
          </w:tcPr>
          <w:p>
            <w:pPr>
              <w:jc w:val="left"/>
            </w:pPr>
            <w:r>
              <w:rPr>
                <w:b w:val="0"/>
                <w:i w:val="0"/>
                <w:sz w:val="18"/>
              </w:rPr>
              <w:t>Bibliothèque d’objectifs, hypothèses réfutables, chaîne D0–D16 et porte de non-protocole.</w:t>
            </w:r>
          </w:p>
        </w:tc>
      </w:tr>
      <w:tr>
        <w:tc>
          <w:tcPr>
            <w:tcW w:type="dxa" w:w="2200"/>
            <w:shd w:fill="12344D"/>
            <w:tcMar>
              <w:top w:w="130" w:type="dxa"/>
              <w:start w:w="150" w:type="dxa"/>
              <w:bottom w:w="130" w:type="dxa"/>
              <w:end w:w="150" w:type="dxa"/>
            </w:tcMar>
          </w:tcPr>
          <w:p>
            <w:r>
              <w:rPr>
                <w:b/>
                <w:color w:val="FFFFFF"/>
                <w:sz w:val="18"/>
              </w:rPr>
              <w:t>LECTURE</w:t>
            </w:r>
          </w:p>
        </w:tc>
        <w:tc>
          <w:tcPr>
            <w:tcW w:type="dxa" w:w="7160"/>
            <w:shd w:fill="FFFFFF"/>
            <w:tcMar>
              <w:top w:w="130" w:type="dxa"/>
              <w:start w:w="170" w:type="dxa"/>
              <w:bottom w:w="130" w:type="dxa"/>
              <w:end w:w="170" w:type="dxa"/>
            </w:tcMar>
          </w:tcPr>
          <w:p>
            <w:pPr>
              <w:jc w:val="left"/>
            </w:pPr>
            <w:r>
              <w:rPr>
                <w:b w:val="0"/>
                <w:i w:val="0"/>
                <w:sz w:val="18"/>
              </w:rPr>
              <w:t>Commencer par les Parties I–II, puis utiliser les Parties V–VI selon la modalité ou le diagnostic différentiel.</w:t>
            </w:r>
          </w:p>
        </w:tc>
      </w:tr>
    </w:tbl>
    <w:p>
      <w:pPr>
        <w:pStyle w:val="Heading2"/>
        <w:spacing w:before="360"/>
      </w:pPr>
      <w:r>
        <w:t>ARCHITECTURE</w:t>
      </w:r>
    </w:p>
    <w:p>
      <w:pPr>
        <w:pStyle w:val="ListBullet"/>
        <w:spacing w:after="44"/>
      </w:pPr>
      <w:r>
        <w:rPr>
          <w:b w:val="0"/>
          <w:i w:val="0"/>
        </w:rPr>
        <w:t>I — Définir ce qui doit être mesuré</w:t>
      </w:r>
    </w:p>
    <w:p>
      <w:pPr>
        <w:pStyle w:val="ListBullet"/>
        <w:spacing w:after="44"/>
      </w:pPr>
      <w:r>
        <w:rPr>
          <w:b w:val="0"/>
          <w:i w:val="0"/>
        </w:rPr>
        <w:t>II — Du gène au myocarde</w:t>
      </w:r>
    </w:p>
    <w:p>
      <w:pPr>
        <w:pStyle w:val="ListBullet"/>
        <w:spacing w:after="44"/>
      </w:pPr>
      <w:r>
        <w:rPr>
          <w:b w:val="0"/>
          <w:i w:val="0"/>
        </w:rPr>
        <w:t>III — Mécanismes cardiaques et relations causales</w:t>
      </w:r>
    </w:p>
    <w:p>
      <w:pPr>
        <w:pStyle w:val="ListBullet"/>
        <w:spacing w:after="44"/>
      </w:pPr>
      <w:r>
        <w:rPr>
          <w:b w:val="0"/>
          <w:i w:val="0"/>
        </w:rPr>
        <w:t>IV — Cinétique des biomarqueurs</w:t>
      </w:r>
    </w:p>
    <w:p>
      <w:pPr>
        <w:pStyle w:val="ListBullet"/>
        <w:spacing w:after="44"/>
      </w:pPr>
      <w:r>
        <w:rPr>
          <w:b w:val="0"/>
          <w:i w:val="0"/>
        </w:rPr>
        <w:t>V — Raisonner chaque modalité</w:t>
      </w:r>
    </w:p>
    <w:p>
      <w:pPr>
        <w:pStyle w:val="ListBullet"/>
        <w:spacing w:after="44"/>
      </w:pPr>
      <w:r>
        <w:rPr>
          <w:b w:val="0"/>
          <w:i w:val="0"/>
        </w:rPr>
        <w:t>VI — Pièges, biais et diagnostics différentiels</w:t>
      </w:r>
    </w:p>
    <w:p>
      <w:pPr>
        <w:pStyle w:val="ListBullet"/>
        <w:spacing w:after="44"/>
      </w:pPr>
      <w:r>
        <w:rPr>
          <w:b w:val="0"/>
          <w:i w:val="0"/>
        </w:rPr>
        <w:t>VII — Bibliothèque d’objectifs possibles</w:t>
      </w:r>
    </w:p>
    <w:p>
      <w:pPr>
        <w:pStyle w:val="ListBullet"/>
        <w:spacing w:after="44"/>
      </w:pPr>
      <w:r>
        <w:rPr>
          <w:b w:val="0"/>
          <w:i w:val="0"/>
        </w:rPr>
        <w:t>VIII — Hypothèses scientifiques</w:t>
      </w:r>
    </w:p>
    <w:p>
      <w:pPr>
        <w:pStyle w:val="ListBullet"/>
        <w:spacing w:after="44"/>
      </w:pPr>
      <w:r>
        <w:rPr>
          <w:b w:val="0"/>
          <w:i w:val="0"/>
        </w:rPr>
        <w:t>IX — Décisions successives du Protocol Designer</w:t>
      </w:r>
    </w:p>
    <w:p>
      <w:pPr>
        <w:pStyle w:val="ListBullet"/>
        <w:spacing w:after="44"/>
      </w:pPr>
      <w:r>
        <w:rPr>
          <w:b w:val="0"/>
          <w:i w:val="0"/>
        </w:rPr>
        <w:t>X — Porte de non-protocole</w:t>
      </w:r>
    </w:p>
    <w:p>
      <w:pPr>
        <w:pStyle w:val="ListBullet"/>
        <w:spacing w:after="44"/>
      </w:pPr>
      <w:r>
        <w:rPr>
          <w:b w:val="0"/>
          <w:i w:val="0"/>
        </w:rPr>
        <w:t>XI — Carte d’évidence</w:t>
      </w:r>
    </w:p>
    <w:p>
      <w:pPr>
        <w:pStyle w:val="ListBullet"/>
        <w:spacing w:after="44"/>
      </w:pPr>
      <w:r>
        <w:rPr>
          <w:b w:val="0"/>
          <w:i w:val="0"/>
        </w:rPr>
        <w:t>XII — Questions non résolues</w:t>
      </w:r>
    </w:p>
    <w:p>
      <w:pPr>
        <w:pStyle w:val="ListBullet"/>
        <w:spacing w:after="44"/>
      </w:pPr>
      <w:r>
        <w:rPr>
          <w:b w:val="0"/>
          <w:i w:val="0"/>
        </w:rPr>
        <w:t>XIII — Glossaire opérationnel</w:t>
      </w:r>
    </w:p>
    <w:p>
      <w:pPr>
        <w:pStyle w:val="ListBullet"/>
        <w:spacing w:after="44"/>
      </w:pPr>
      <w:r>
        <w:rPr>
          <w:b w:val="0"/>
          <w:i w:val="0"/>
        </w:rPr>
        <w:t>Conclusion et références scientifiques</w:t>
      </w:r>
    </w:p>
    <w:p>
      <w:r>
        <w:br w:type="page"/>
      </w:r>
    </w:p>
    <w:p>
      <w:pPr>
        <w:pStyle w:val="Heading2"/>
      </w:pPr>
      <w:r>
        <w:t>Statut et mandat</w:t>
      </w:r>
    </w:p>
    <w:p>
      <w:pPr>
        <w:widowControl/>
      </w:pPr>
      <w:r>
        <w:rPr>
          <w:b w:val="0"/>
          <w:i w:val="0"/>
        </w:rPr>
        <w:t xml:space="preserve">Ce document constitue le premier cahier de raisonnement scientifique du NOXIA Protocol Designer. Il traite une question délibérément formulée avant toute décision technique : </w:t>
      </w:r>
      <w:r>
        <w:rPr>
          <w:b/>
          <w:i w:val="0"/>
        </w:rPr>
        <w:t>que signifie, chez une personne atteinte ou suspecte de maladie de Fabry, « mesurer la fibrose myocardique » ?</w:t>
      </w:r>
    </w:p>
    <w:p>
      <w:pPr>
        <w:widowControl/>
      </w:pPr>
      <w:r>
        <w:rPr>
          <w:b w:val="0"/>
          <w:i w:val="0"/>
        </w:rPr>
        <w:t>Il ne contient ni protocole d’acquisition, ni ordre de séquences, ni dose de produit de contraste, ni résolution spatiale ou temporelle, ni seuil universel, ni calendrier d’examen. Il établit le construit à mesurer, les mécanismes qui peuvent le produire, les observables disponibles, leurs confusions, les hypothèses concurrentes et les décisions qui devront précéder toute spécification future.</w:t>
      </w:r>
    </w:p>
    <w:p>
      <w:pPr>
        <w:widowControl/>
      </w:pPr>
      <w:r>
        <w:rPr>
          <w:b w:val="0"/>
          <w:i w:val="0"/>
        </w:rPr>
        <w:t xml:space="preserve">La maladie de Fabry est un cas fondateur pour le Protocol Designer parce qu’un même cœur peut associer un stockage intracellulaire abaissant le T1 natif, une hypertrophie, une expansion extracellulaire, une lésion myocytaire active augmentant le T2 et la troponine, puis une cicatrice de remplacement visible en rehaussement tardif. Une valeur « normale » peut ainsi résulter de phénomènes opposés qui s’annulent. L’enjeu n’est pas d’accumuler des biomarqueurs, mais d’éviter une erreur de catégorie entre </w:t>
      </w:r>
      <w:r>
        <w:rPr>
          <w:b/>
          <w:i w:val="0"/>
        </w:rPr>
        <w:t>substrat</w:t>
      </w:r>
      <w:r>
        <w:rPr>
          <w:b w:val="0"/>
          <w:i w:val="0"/>
        </w:rPr>
        <w:t xml:space="preserve">, </w:t>
      </w:r>
      <w:r>
        <w:rPr>
          <w:b/>
          <w:i w:val="0"/>
        </w:rPr>
        <w:t>activité</w:t>
      </w:r>
      <w:r>
        <w:rPr>
          <w:b w:val="0"/>
          <w:i w:val="0"/>
        </w:rPr>
        <w:t xml:space="preserve">, </w:t>
      </w:r>
      <w:r>
        <w:rPr>
          <w:b/>
          <w:i w:val="0"/>
        </w:rPr>
        <w:t>dommage</w:t>
      </w:r>
      <w:r>
        <w:rPr>
          <w:b w:val="0"/>
          <w:i w:val="0"/>
        </w:rPr>
        <w:t xml:space="preserve">, </w:t>
      </w:r>
      <w:r>
        <w:rPr>
          <w:b/>
          <w:i w:val="0"/>
        </w:rPr>
        <w:t>fibrose</w:t>
      </w:r>
      <w:r>
        <w:rPr>
          <w:b w:val="0"/>
          <w:i w:val="0"/>
        </w:rPr>
        <w:t xml:space="preserve"> et </w:t>
      </w:r>
      <w:r>
        <w:rPr>
          <w:b/>
          <w:i w:val="0"/>
        </w:rPr>
        <w:t>conséquence fonctionnelle</w:t>
      </w:r>
      <w:r>
        <w:rPr>
          <w:b w:val="0"/>
          <w:i w:val="0"/>
        </w:rPr>
        <w:t>. [R01–R04]</w:t>
      </w:r>
    </w:p>
    <w:p>
      <w:pPr>
        <w:spacing w:before="140" w:after="200" w:line="264" w:lineRule="auto"/>
        <w:ind w:left="173" w:right="86"/>
        <w:shd w:fill="E5F5F7"/>
        <w:pBdr>
          <w:left w:val="single" w:sz="24" w:space="9" w:color="22A6B3"/>
        </w:pBdr>
      </w:pPr>
      <w:r>
        <w:rPr>
          <w:b/>
          <w:i w:val="0"/>
          <w:color w:val="12344D"/>
          <w:sz w:val="19"/>
        </w:rPr>
        <w:t>Principe fondateur.</w:t>
      </w:r>
      <w:r>
        <w:rPr>
          <w:b w:val="0"/>
          <w:i w:val="0"/>
          <w:color w:val="12344D"/>
          <w:sz w:val="19"/>
        </w:rPr>
        <w:t xml:space="preserve"> Aucun signal d’imagerie ne doit être appelé « fibrose » sans préciser le compartiment visé, l’échelle spatiale, le mécanisme supposé, la référence de validation et les autres mécanismes capables de produire le même signal.</w:t>
      </w:r>
    </w:p>
    <w:p>
      <w:pPr>
        <w:pStyle w:val="Heading2"/>
      </w:pPr>
      <w:r>
        <w:t>Question directrice</w:t>
      </w:r>
    </w:p>
    <w:p>
      <w:pPr>
        <w:widowControl/>
      </w:pPr>
      <w:r>
        <w:rPr>
          <w:b w:val="0"/>
          <w:i w:val="0"/>
        </w:rPr>
        <w:t>La question générale — mesurer la fibrose myocardique dans la maladie de Fabry — se décompose en cinq questions irréductibles :</w:t>
      </w:r>
    </w:p>
    <w:p>
      <w:pPr>
        <w:pStyle w:val="ListNumber"/>
        <w:numPr>
          <w:ilvl w:val="0"/>
          <w:numId w:val="10"/>
        </w:numPr>
      </w:pPr>
      <w:r>
        <w:rPr>
          <w:b/>
          <w:i w:val="0"/>
        </w:rPr>
        <w:t>Quel objet ?</w:t>
      </w:r>
      <w:r>
        <w:rPr>
          <w:b w:val="0"/>
          <w:i w:val="0"/>
        </w:rPr>
        <w:t xml:space="preserve"> Cicatrice focale de remplacement, expansion interstitielle diffuse, charge fibreuse histologique, activité lésionnelle susceptible de conduire à une fibrose, ou retentissement mécanique d’un myocarde fibrosé ?</w:t>
      </w:r>
    </w:p>
    <w:p>
      <w:pPr>
        <w:pStyle w:val="ListNumber"/>
        <w:numPr>
          <w:ilvl w:val="0"/>
          <w:numId w:val="10"/>
        </w:numPr>
      </w:pPr>
      <w:r>
        <w:rPr>
          <w:b/>
          <w:i w:val="0"/>
        </w:rPr>
        <w:t>Chez qui ?</w:t>
      </w:r>
      <w:r>
        <w:rPr>
          <w:b w:val="0"/>
          <w:i w:val="0"/>
        </w:rPr>
        <w:t xml:space="preserve"> Homme hémizygote, femme hétérozygote, phénotype classique, variant à expression cardiaque tardive, variant de signification incertaine, patient traité ou non traité ?</w:t>
      </w:r>
    </w:p>
    <w:p>
      <w:pPr>
        <w:pStyle w:val="ListNumber"/>
        <w:numPr>
          <w:ilvl w:val="0"/>
          <w:numId w:val="10"/>
        </w:numPr>
      </w:pPr>
      <w:r>
        <w:rPr>
          <w:b/>
          <w:i w:val="0"/>
        </w:rPr>
        <w:t>À quel moment ?</w:t>
      </w:r>
      <w:r>
        <w:rPr>
          <w:b w:val="0"/>
          <w:i w:val="0"/>
        </w:rPr>
        <w:t xml:space="preserve"> Phase de stockage préhypertrophique, hypertrophie sans cicatrice visible, lésion active, fibrose établie, ou cardiomyopathie avancée ?</w:t>
      </w:r>
    </w:p>
    <w:p>
      <w:pPr>
        <w:pStyle w:val="ListNumber"/>
        <w:numPr>
          <w:ilvl w:val="0"/>
          <w:numId w:val="10"/>
        </w:numPr>
      </w:pPr>
      <w:r>
        <w:rPr>
          <w:b/>
          <w:i w:val="0"/>
        </w:rPr>
        <w:t>Par quel observable ?</w:t>
      </w:r>
      <w:r>
        <w:rPr>
          <w:b w:val="0"/>
          <w:i w:val="0"/>
        </w:rPr>
        <w:t xml:space="preserve"> LGE, ECV, T1 natif, T2, ciné, strain, biomarqueurs circulants, anatomopathologie, ou combinaison interprétative ?</w:t>
      </w:r>
    </w:p>
    <w:p>
      <w:pPr>
        <w:pStyle w:val="ListNumber"/>
        <w:numPr>
          <w:ilvl w:val="0"/>
          <w:numId w:val="10"/>
        </w:numPr>
      </w:pPr>
      <w:r>
        <w:rPr>
          <w:b/>
          <w:i w:val="0"/>
        </w:rPr>
        <w:t>Pour quelle décision ?</w:t>
      </w:r>
      <w:r>
        <w:rPr>
          <w:b w:val="0"/>
          <w:i w:val="0"/>
        </w:rPr>
        <w:t xml:space="preserve"> Décrire, diagnostiquer, phénotyper, suivre, comprendre un mécanisme, estimer un risque, qualifier un critère de recherche ou évaluer une intervention ?</w:t>
      </w:r>
    </w:p>
    <w:p>
      <w:pPr>
        <w:widowControl/>
      </w:pPr>
      <w:r>
        <w:rPr>
          <w:b w:val="0"/>
          <w:i w:val="0"/>
        </w:rPr>
        <w:t>Tant que ces cinq dimensions ne sont pas fixées, l’expression « mesurer la fibrose » reste ambiguë et ne peut légitimement conduire à un protocole.</w:t>
      </w:r>
    </w:p>
    <w:p>
      <w:pPr>
        <w:pStyle w:val="Heading2"/>
      </w:pPr>
      <w:r>
        <w:t>Périmètre scientifique</w:t>
      </w:r>
    </w:p>
    <w:p>
      <w:pPr>
        <w:widowControl/>
      </w:pPr>
      <w:r>
        <w:rPr>
          <w:b w:val="0"/>
          <w:i w:val="0"/>
        </w:rPr>
        <w:t>Le cœur du raisonnement concerne le ventricule gauche, où se concentrent les données sur le stockage, l’hypertrophie, le T1 natif et la cicatrice inférolatérale. Le ventricule droit, les oreillettes, les valves et l’aorte sont considérés lorsqu’ils modifient l’interprétation ou le pronostic, mais ils ne sont pas artificiellement assimilés au construit principal.</w:t>
      </w:r>
    </w:p>
    <w:p>
      <w:pPr>
        <w:widowControl/>
      </w:pPr>
      <w:r>
        <w:rPr>
          <w:b w:val="0"/>
          <w:i w:val="0"/>
        </w:rPr>
        <w:t>La littérature emploie le plus souvent les catégories « hommes » et « femmes » à partir du sexe enregistré et du nombre de chromosomes X. Le présent cahier restitue ces catégories biologiques parce qu’elles structurent l’hémizygotie, l’hétérozygotie et l’inactivation du chromosome X ; il ne les confond pas avec l’identité de genre. Les données publiées sont insuffisantes pour décrire correctement les personnes intersexes, les mosaïques chromosomiques ou les effets de parcours hormonaux. Cette limite appartient au domaine de validité du modèle.</w:t>
      </w:r>
    </w:p>
    <w:p>
      <w:pPr>
        <w:pStyle w:val="Heading2"/>
      </w:pPr>
      <w:r>
        <w:t>Niveaux de confiance utilisés</w:t>
      </w:r>
    </w:p>
    <w:p>
      <w:pPr>
        <w:widowControl/>
      </w:pPr>
      <w:r>
        <w:rPr>
          <w:b w:val="0"/>
          <w:i w:val="0"/>
        </w:rPr>
        <w:t>Les niveaux suivants qualifient les propositions, sans transformer une hiérarchie de sources en certitude individuelle :</w:t>
      </w:r>
    </w:p>
    <w:p>
      <w:pPr>
        <w:pStyle w:val="ListBullet"/>
      </w:pPr>
      <w:r>
        <w:rPr>
          <w:b/>
          <w:i w:val="0"/>
        </w:rPr>
        <w:t>Niveau A — établi pour l’usage considéré :</w:t>
      </w:r>
      <w:r>
        <w:rPr>
          <w:b w:val="0"/>
          <w:i w:val="0"/>
        </w:rPr>
        <w:t xml:space="preserve"> concordance entre physiopathologie, validation histologique ou analytique et recommandations/consensus, avec réplication suffisante.</w:t>
      </w:r>
    </w:p>
    <w:p>
      <w:pPr>
        <w:pStyle w:val="ListBullet"/>
      </w:pPr>
      <w:r>
        <w:rPr>
          <w:b/>
          <w:i w:val="0"/>
        </w:rPr>
        <w:t>Niveau B — convergent :</w:t>
      </w:r>
      <w:r>
        <w:rPr>
          <w:b w:val="0"/>
          <w:i w:val="0"/>
        </w:rPr>
        <w:t xml:space="preserve"> plusieurs cohortes observationnelles cohérentes, mais limites de sélection, de standardisation ou de causalité.</w:t>
      </w:r>
    </w:p>
    <w:p>
      <w:pPr>
        <w:pStyle w:val="ListBullet"/>
      </w:pPr>
      <w:r>
        <w:rPr>
          <w:b/>
          <w:i w:val="0"/>
        </w:rPr>
        <w:t>Niveau C — plausible et générateur d’hypothèses :</w:t>
      </w:r>
      <w:r>
        <w:rPr>
          <w:b w:val="0"/>
          <w:i w:val="0"/>
        </w:rPr>
        <w:t xml:space="preserve"> petite cohorte, analyse transversale, preuve indirecte ou mécanistique non encore validée comme mesure clinique.</w:t>
      </w:r>
    </w:p>
    <w:p>
      <w:pPr>
        <w:pStyle w:val="ListBullet"/>
      </w:pPr>
      <w:r>
        <w:rPr>
          <w:b/>
          <w:i w:val="0"/>
        </w:rPr>
        <w:t>Niveau D — non résolu :</w:t>
      </w:r>
      <w:r>
        <w:rPr>
          <w:b w:val="0"/>
          <w:i w:val="0"/>
        </w:rPr>
        <w:t xml:space="preserve"> résultats contradictoires, absence de validation appropriée ou transposition spéculative.</w:t>
      </w:r>
    </w:p>
    <w:p>
      <w:pPr>
        <w:widowControl/>
      </w:pPr>
      <w:r>
        <w:rPr>
          <w:b w:val="0"/>
          <w:i w:val="0"/>
        </w:rPr>
        <w:t>Un niveau élevé ne rend pas un biomarqueur spécifique. Par exemple, l’association entre LGE et cicatrice de remplacement est solide ; le LGE reste néanmoins une mesure relative dépendante de la distribution du gadolinium et de la méthode de segmentation.</w:t>
      </w:r>
    </w:p>
    <w:p>
      <w:r>
        <w:br w:type="page"/>
      </w:r>
    </w:p>
    <w:p>
      <w:pPr>
        <w:pStyle w:val="Heading1"/>
        <w:pBdr>
          <w:bottom w:val="single" w:sz="12" w:space="7" w:color="22A6B3"/>
        </w:pBdr>
      </w:pPr>
      <w:r>
        <w:t>PARTIE I — DÉFINIR CE QUI DOIT ÊTRE MESURÉ</w:t>
      </w:r>
    </w:p>
    <w:p>
      <w:pPr>
        <w:pStyle w:val="Heading2"/>
      </w:pPr>
      <w:r>
        <w:t>1. Les quatre construits souvent confondus</w:t>
      </w:r>
    </w:p>
    <w:p>
      <w:pPr>
        <w:pStyle w:val="Heading3"/>
      </w:pPr>
      <w:r>
        <w:t>1.1 Fibrose de remplacement focale</w:t>
      </w:r>
    </w:p>
    <w:p>
      <w:pPr>
        <w:widowControl/>
      </w:pPr>
      <w:r>
        <w:rPr>
          <w:b w:val="0"/>
          <w:i w:val="0"/>
        </w:rPr>
        <w:t>La fibrose de remplacement apparaît lorsque des cardiomyocytes perdus sont remplacés par une matrice extracellulaire riche en collagène. Elle est spatialement hétérogène et forme une cicatrice régionale. Dans la maladie de Fabry, le motif le plus caractéristique est un rehaussement mésopariétal de la paroi basale inférolatérale, pouvant s’étendre à d’autres segments et devenir plus confluent aux stades avancés. Une validation anatomopathologique sur cœur entier a relié ce motif à une cicatrice collagénique, ce qui fournit une preuve directe mais issue d’un nombre très limité de spécimens. [R13]</w:t>
      </w:r>
    </w:p>
    <w:p>
      <w:pPr>
        <w:widowControl/>
      </w:pPr>
      <w:r>
        <w:rPr>
          <w:b w:val="0"/>
          <w:i w:val="0"/>
        </w:rPr>
        <w:t>Le LGE est l’observable non invasif principal de cette cicatrice régionale. Il ne compte pas directement les fibres de collagène : il met en contraste des régions où le volume de distribution extracellulaire du gadolinium et sa rétention relative diffèrent du myocarde de référence. La distinction est décisive lorsque l’atteinte devient diffuse ou lorsque la région « de référence » n’est plus normale.</w:t>
      </w:r>
    </w:p>
    <w:p>
      <w:pPr>
        <w:pStyle w:val="Heading3"/>
      </w:pPr>
      <w:r>
        <w:t>1.2 Expansion interstitielle diffuse</w:t>
      </w:r>
    </w:p>
    <w:p>
      <w:pPr>
        <w:widowControl/>
      </w:pPr>
      <w:r>
        <w:rPr>
          <w:b w:val="0"/>
          <w:i w:val="0"/>
        </w:rPr>
        <w:t xml:space="preserve">L’expansion interstitielle désigne une augmentation distribuée du compartiment extracellulaire. Elle peut inclure du collagène interstitiel, mais aussi de l’œdème, une infiltration protéique, une modification du volume plasmatique capillaire ou d’autres composantes de la matrice. L’ECV est un estimateur de fraction extracellulaire ; </w:t>
      </w:r>
      <w:r>
        <w:rPr>
          <w:b/>
          <w:i w:val="0"/>
        </w:rPr>
        <w:t>il n’est pas un dosage spécifique du collagène</w:t>
      </w:r>
      <w:r>
        <w:rPr>
          <w:b w:val="0"/>
          <w:i w:val="0"/>
        </w:rPr>
        <w:t>. [R30]</w:t>
      </w:r>
    </w:p>
    <w:p>
      <w:pPr>
        <w:widowControl/>
      </w:pPr>
      <w:r>
        <w:rPr>
          <w:b w:val="0"/>
          <w:i w:val="0"/>
        </w:rPr>
        <w:t>Dans Fabry, le stockage initial est surtout intracellulaire. Une ECV globale normale ou basse au début est donc biologiquement compatible avec une maladie active. Une ECV régionale augmentée dans un territoire cicatriciel peut ensuite coexister avec une ECV distante normale. L’absence d’expansion macroscopique détectable n’exclut ni une fibrose microscopique ni une fibrose focale située hors des régions échantillonnées.</w:t>
      </w:r>
    </w:p>
    <w:p>
      <w:pPr>
        <w:pStyle w:val="Heading3"/>
      </w:pPr>
      <w:r>
        <w:t>1.3 Activité lésionnelle profibrosante</w:t>
      </w:r>
    </w:p>
    <w:p>
      <w:pPr>
        <w:widowControl/>
      </w:pPr>
      <w:r>
        <w:rPr>
          <w:b w:val="0"/>
          <w:i w:val="0"/>
        </w:rPr>
        <w:t>Une hausse régionale du T2, une troponine ultrasensible chroniquement élevée, une altération microvasculaire ou des infiltrats inflammatoires sur biopsie peuvent indiquer une lésion myocytaire active. Ces observables renseignent un processus susceptible d’aboutir à davantage de fibrose ; ils ne sont pas la fibrose elle-même. Dans les segments inférolatéraux avec LGE, l’association T2–troponine suggère que certaines zones de cicatrice ne sont pas nécessairement inertes. L’IRM ne permet toutefois pas, à elle seule, de diagnostiquer une myocardite histologique. [R14–R16, R25]</w:t>
      </w:r>
    </w:p>
    <w:p>
      <w:pPr>
        <w:pStyle w:val="Heading3"/>
      </w:pPr>
      <w:r>
        <w:t>1.4 Conséquence structurelle et mécanique</w:t>
      </w:r>
    </w:p>
    <w:p>
      <w:pPr>
        <w:widowControl/>
      </w:pPr>
      <w:r>
        <w:rPr>
          <w:b w:val="0"/>
          <w:i w:val="0"/>
        </w:rPr>
        <w:t>L’augmentation de masse, l’épaisseur pariétale, le remodelage, la dysfonction diastolique, le strain anormal, la dilatation atriale ou la réduction tardive de la fraction d’éjection décrivent des conséquences. Elles peuvent être influencées par le stockage, l’hypertrophie cellulaire, la pression artérielle, la valvulopathie, l’ischémie microvasculaire, la fibrose et le rythme. Leur valeur pronostique ne les rend pas spécifiques de la fibrose.</w:t>
      </w:r>
    </w:p>
    <w:p>
      <w:pPr>
        <w:pStyle w:val="Heading2"/>
      </w:pPr>
      <w:r>
        <w:t>2. Matrice « construit–observable »</w:t>
      </w:r>
    </w:p>
    <w:tbl>
      <w:tblPr>
        <w:tblStyle w:val="TableGrid"/>
        <w:tblW w:type="dxa" w:w="9360"/>
        <w:jc w:val="center"/>
        <w:tblLayout w:type="fixed"/>
        <w:tblLook w:firstColumn="1" w:firstRow="1" w:lastColumn="0" w:lastRow="0" w:noHBand="0" w:noVBand="1" w:val="04A0"/>
        <w:tblBorders>
          <w:top w:val="single" w:sz="5" w:space="0" w:color="CCD9DF"/>
          <w:left w:val="single" w:sz="5" w:space="0" w:color="CCD9DF"/>
          <w:bottom w:val="single" w:sz="5" w:space="0" w:color="CCD9DF"/>
          <w:right w:val="single" w:sz="5" w:space="0" w:color="CCD9DF"/>
          <w:insideH w:val="single" w:sz="5" w:space="0" w:color="CCD9DF"/>
          <w:insideV w:val="single" w:sz="5" w:space="0" w:color="CCD9DF"/>
        </w:tblBorders>
      </w:tblPr>
      <w:tblGrid>
        <w:gridCol w:w="1900"/>
        <w:gridCol w:w="2000"/>
        <w:gridCol w:w="2500"/>
        <w:gridCol w:w="2960"/>
      </w:tblGrid>
      <w:tr>
        <w:trPr>
          <w:cantSplit/>
          <w:tblHeader w:val="true"/>
        </w:trPr>
        <w:tc>
          <w:tcPr>
            <w:tcW w:type="dxa" w:w="1900"/>
            <w:vAlign w:val="center"/>
            <w:tcMar>
              <w:top w:w="92" w:type="dxa"/>
              <w:start w:w="105" w:type="dxa"/>
              <w:bottom w:w="92" w:type="dxa"/>
              <w:end w:w="105" w:type="dxa"/>
            </w:tcMar>
            <w:shd w:fill="12344D"/>
          </w:tcPr>
          <w:p>
            <w:pPr>
              <w:spacing w:after="0" w:line="240" w:lineRule="auto"/>
              <w:jc w:val="left"/>
            </w:pPr>
            <w:r>
              <w:rPr>
                <w:b/>
                <w:i w:val="0"/>
                <w:color w:val="FFFFFF"/>
                <w:sz w:val="15"/>
              </w:rPr>
              <w:t>Construit visé</w:t>
            </w:r>
          </w:p>
        </w:tc>
        <w:tc>
          <w:tcPr>
            <w:tcW w:type="dxa" w:w="2000"/>
            <w:vAlign w:val="center"/>
            <w:tcMar>
              <w:top w:w="92" w:type="dxa"/>
              <w:start w:w="105" w:type="dxa"/>
              <w:bottom w:w="92" w:type="dxa"/>
              <w:end w:w="105" w:type="dxa"/>
            </w:tcMar>
            <w:shd w:fill="12344D"/>
          </w:tcPr>
          <w:p>
            <w:pPr>
              <w:spacing w:after="0" w:line="240" w:lineRule="auto"/>
              <w:jc w:val="left"/>
            </w:pPr>
            <w:r>
              <w:rPr>
                <w:b/>
                <w:i w:val="0"/>
                <w:color w:val="FFFFFF"/>
                <w:sz w:val="15"/>
              </w:rPr>
              <w:t>Observable le plus proche</w:t>
            </w:r>
          </w:p>
        </w:tc>
        <w:tc>
          <w:tcPr>
            <w:tcW w:type="dxa" w:w="2500"/>
            <w:vAlign w:val="center"/>
            <w:tcMar>
              <w:top w:w="92" w:type="dxa"/>
              <w:start w:w="105" w:type="dxa"/>
              <w:bottom w:w="92" w:type="dxa"/>
              <w:end w:w="105" w:type="dxa"/>
            </w:tcMar>
            <w:shd w:fill="12344D"/>
          </w:tcPr>
          <w:p>
            <w:pPr>
              <w:spacing w:after="0" w:line="240" w:lineRule="auto"/>
              <w:jc w:val="left"/>
            </w:pPr>
            <w:r>
              <w:rPr>
                <w:b/>
                <w:i w:val="0"/>
                <w:color w:val="FFFFFF"/>
                <w:sz w:val="15"/>
              </w:rPr>
              <w:t>Ce qu’il soutient</w:t>
            </w:r>
          </w:p>
        </w:tc>
        <w:tc>
          <w:tcPr>
            <w:tcW w:type="dxa" w:w="2960"/>
            <w:vAlign w:val="center"/>
            <w:tcMar>
              <w:top w:w="92" w:type="dxa"/>
              <w:start w:w="105" w:type="dxa"/>
              <w:bottom w:w="92" w:type="dxa"/>
              <w:end w:w="105" w:type="dxa"/>
            </w:tcMar>
            <w:shd w:fill="12344D"/>
          </w:tcPr>
          <w:p>
            <w:pPr>
              <w:spacing w:after="0" w:line="240" w:lineRule="auto"/>
              <w:jc w:val="left"/>
            </w:pPr>
            <w:r>
              <w:rPr>
                <w:b/>
                <w:i w:val="0"/>
                <w:color w:val="FFFFFF"/>
                <w:sz w:val="15"/>
              </w:rPr>
              <w:t>Ce qu’il ne permet pas d’affirmer seul</w:t>
            </w:r>
          </w:p>
        </w:tc>
      </w:tr>
      <w:tr>
        <w:trPr>
          <w:cantSplit/>
        </w:trPr>
        <w:tc>
          <w:tcPr>
            <w:tcW w:type="dxa" w:w="1900"/>
            <w:vAlign w:val="center"/>
            <w:tcMar>
              <w:top w:w="92" w:type="dxa"/>
              <w:start w:w="105" w:type="dxa"/>
              <w:bottom w:w="92" w:type="dxa"/>
              <w:end w:w="105" w:type="dxa"/>
            </w:tcMar>
            <w:shd w:fill="FFFFFF"/>
          </w:tcPr>
          <w:p>
            <w:pPr>
              <w:spacing w:after="0" w:line="240" w:lineRule="auto"/>
              <w:jc w:val="left"/>
            </w:pPr>
            <w:r>
              <w:rPr>
                <w:b w:val="0"/>
                <w:i w:val="0"/>
                <w:color w:val="24323D"/>
                <w:sz w:val="15"/>
              </w:rPr>
              <w:t>Cicatrice focale de remplacement</w:t>
            </w:r>
          </w:p>
        </w:tc>
        <w:tc>
          <w:tcPr>
            <w:tcW w:type="dxa" w:w="2000"/>
            <w:vAlign w:val="center"/>
            <w:tcMar>
              <w:top w:w="92" w:type="dxa"/>
              <w:start w:w="105" w:type="dxa"/>
              <w:bottom w:w="92" w:type="dxa"/>
              <w:end w:w="105" w:type="dxa"/>
            </w:tcMar>
            <w:shd w:fill="FFFFFF"/>
          </w:tcPr>
          <w:p>
            <w:pPr>
              <w:spacing w:after="0" w:line="240" w:lineRule="auto"/>
              <w:jc w:val="left"/>
            </w:pPr>
            <w:r>
              <w:rPr>
                <w:b w:val="0"/>
                <w:i w:val="0"/>
                <w:color w:val="24323D"/>
                <w:sz w:val="15"/>
              </w:rPr>
              <w:t>LGE segmenté et quantifié selon une méthode préspécifiée</w:t>
            </w:r>
          </w:p>
        </w:tc>
        <w:tc>
          <w:tcPr>
            <w:tcW w:type="dxa" w:w="2500"/>
            <w:vAlign w:val="center"/>
            <w:tcMar>
              <w:top w:w="92" w:type="dxa"/>
              <w:start w:w="105" w:type="dxa"/>
              <w:bottom w:w="92" w:type="dxa"/>
              <w:end w:w="105" w:type="dxa"/>
            </w:tcMar>
            <w:shd w:fill="FFFFFF"/>
          </w:tcPr>
          <w:p>
            <w:pPr>
              <w:spacing w:after="0" w:line="240" w:lineRule="auto"/>
              <w:jc w:val="left"/>
            </w:pPr>
            <w:r>
              <w:rPr>
                <w:b w:val="0"/>
                <w:i w:val="0"/>
                <w:color w:val="24323D"/>
                <w:sz w:val="15"/>
              </w:rPr>
              <w:t>Présence, distribution et étendue relative d’un dommage extracellulaire régional ; forte plausibilité de cicatrice dans le contexte adéquat</w:t>
            </w:r>
          </w:p>
        </w:tc>
        <w:tc>
          <w:tcPr>
            <w:tcW w:type="dxa" w:w="2960"/>
            <w:vAlign w:val="center"/>
            <w:tcMar>
              <w:top w:w="92" w:type="dxa"/>
              <w:start w:w="105" w:type="dxa"/>
              <w:bottom w:w="92" w:type="dxa"/>
              <w:end w:w="105" w:type="dxa"/>
            </w:tcMar>
            <w:shd w:fill="FFFFFF"/>
          </w:tcPr>
          <w:p>
            <w:pPr>
              <w:spacing w:after="0" w:line="240" w:lineRule="auto"/>
              <w:jc w:val="left"/>
            </w:pPr>
            <w:r>
              <w:rPr>
                <w:b w:val="0"/>
                <w:i w:val="0"/>
                <w:color w:val="24323D"/>
                <w:sz w:val="15"/>
              </w:rPr>
              <w:t>Quantité histologique absolue de collagène ; activité lésionnelle ; absence de fibrose diffuse si LGE négatif</w:t>
            </w:r>
          </w:p>
        </w:tc>
      </w:tr>
      <w:tr>
        <w:trPr>
          <w:cantSplit/>
        </w:trPr>
        <w:tc>
          <w:tcPr>
            <w:tcW w:type="dxa" w:w="1900"/>
            <w:vAlign w:val="center"/>
            <w:tcMar>
              <w:top w:w="92" w:type="dxa"/>
              <w:start w:w="105" w:type="dxa"/>
              <w:bottom w:w="92" w:type="dxa"/>
              <w:end w:w="105" w:type="dxa"/>
            </w:tcMar>
            <w:shd w:fill="F2F8FA"/>
          </w:tcPr>
          <w:p>
            <w:pPr>
              <w:spacing w:after="0" w:line="240" w:lineRule="auto"/>
              <w:jc w:val="left"/>
            </w:pPr>
            <w:r>
              <w:rPr>
                <w:b w:val="0"/>
                <w:i w:val="0"/>
                <w:color w:val="24323D"/>
                <w:sz w:val="15"/>
              </w:rPr>
              <w:t>Expansion extracellulaire diffuse/régionale</w:t>
            </w:r>
          </w:p>
        </w:tc>
        <w:tc>
          <w:tcPr>
            <w:tcW w:type="dxa" w:w="2000"/>
            <w:vAlign w:val="center"/>
            <w:tcMar>
              <w:top w:w="92" w:type="dxa"/>
              <w:start w:w="105" w:type="dxa"/>
              <w:bottom w:w="92" w:type="dxa"/>
              <w:end w:w="105" w:type="dxa"/>
            </w:tcMar>
            <w:shd w:fill="F2F8FA"/>
          </w:tcPr>
          <w:p>
            <w:pPr>
              <w:spacing w:after="0" w:line="240" w:lineRule="auto"/>
              <w:jc w:val="left"/>
            </w:pPr>
            <w:r>
              <w:rPr>
                <w:b w:val="0"/>
                <w:i w:val="0"/>
                <w:color w:val="24323D"/>
                <w:sz w:val="15"/>
              </w:rPr>
              <w:t>ECV avec hématocrite contemporain</w:t>
            </w:r>
          </w:p>
        </w:tc>
        <w:tc>
          <w:tcPr>
            <w:tcW w:type="dxa" w:w="2500"/>
            <w:vAlign w:val="center"/>
            <w:tcMar>
              <w:top w:w="92" w:type="dxa"/>
              <w:start w:w="105" w:type="dxa"/>
              <w:bottom w:w="92" w:type="dxa"/>
              <w:end w:w="105" w:type="dxa"/>
            </w:tcMar>
            <w:shd w:fill="F2F8FA"/>
          </w:tcPr>
          <w:p>
            <w:pPr>
              <w:spacing w:after="0" w:line="240" w:lineRule="auto"/>
              <w:jc w:val="left"/>
            </w:pPr>
            <w:r>
              <w:rPr>
                <w:b w:val="0"/>
                <w:i w:val="0"/>
                <w:color w:val="24323D"/>
                <w:sz w:val="15"/>
              </w:rPr>
              <w:t>Fraction extracellulaire moyenne dans les régions mesurées</w:t>
            </w:r>
          </w:p>
        </w:tc>
        <w:tc>
          <w:tcPr>
            <w:tcW w:type="dxa" w:w="2960"/>
            <w:vAlign w:val="center"/>
            <w:tcMar>
              <w:top w:w="92" w:type="dxa"/>
              <w:start w:w="105" w:type="dxa"/>
              <w:bottom w:w="92" w:type="dxa"/>
              <w:end w:w="105" w:type="dxa"/>
            </w:tcMar>
            <w:shd w:fill="F2F8FA"/>
          </w:tcPr>
          <w:p>
            <w:pPr>
              <w:spacing w:after="0" w:line="240" w:lineRule="auto"/>
              <w:jc w:val="left"/>
            </w:pPr>
            <w:r>
              <w:rPr>
                <w:b w:val="0"/>
                <w:i w:val="0"/>
                <w:color w:val="24323D"/>
                <w:sz w:val="15"/>
              </w:rPr>
              <w:t>Collagène spécifique ; étiologie de l’expansion ; exclusion d’une fibrose microscopique</w:t>
            </w:r>
          </w:p>
        </w:tc>
      </w:tr>
      <w:tr>
        <w:trPr>
          <w:cantSplit/>
        </w:trPr>
        <w:tc>
          <w:tcPr>
            <w:tcW w:type="dxa" w:w="1900"/>
            <w:vAlign w:val="center"/>
            <w:tcMar>
              <w:top w:w="92" w:type="dxa"/>
              <w:start w:w="105" w:type="dxa"/>
              <w:bottom w:w="92" w:type="dxa"/>
              <w:end w:w="105" w:type="dxa"/>
            </w:tcMar>
            <w:shd w:fill="FFFFFF"/>
          </w:tcPr>
          <w:p>
            <w:pPr>
              <w:spacing w:after="0" w:line="240" w:lineRule="auto"/>
              <w:jc w:val="left"/>
            </w:pPr>
            <w:r>
              <w:rPr>
                <w:b w:val="0"/>
                <w:i w:val="0"/>
                <w:color w:val="24323D"/>
                <w:sz w:val="15"/>
              </w:rPr>
              <w:t>Stockage intracellulaire</w:t>
            </w:r>
          </w:p>
        </w:tc>
        <w:tc>
          <w:tcPr>
            <w:tcW w:type="dxa" w:w="2000"/>
            <w:vAlign w:val="center"/>
            <w:tcMar>
              <w:top w:w="92" w:type="dxa"/>
              <w:start w:w="105" w:type="dxa"/>
              <w:bottom w:w="92" w:type="dxa"/>
              <w:end w:w="105" w:type="dxa"/>
            </w:tcMar>
            <w:shd w:fill="FFFFFF"/>
          </w:tcPr>
          <w:p>
            <w:pPr>
              <w:spacing w:after="0" w:line="240" w:lineRule="auto"/>
              <w:jc w:val="left"/>
            </w:pPr>
            <w:r>
              <w:rPr>
                <w:b w:val="0"/>
                <w:i w:val="0"/>
                <w:color w:val="24323D"/>
                <w:sz w:val="15"/>
              </w:rPr>
              <w:t>T1 natif bas dans un contexte technique et biologique contrôlé</w:t>
            </w:r>
          </w:p>
        </w:tc>
        <w:tc>
          <w:tcPr>
            <w:tcW w:type="dxa" w:w="2500"/>
            <w:vAlign w:val="center"/>
            <w:tcMar>
              <w:top w:w="92" w:type="dxa"/>
              <w:start w:w="105" w:type="dxa"/>
              <w:bottom w:w="92" w:type="dxa"/>
              <w:end w:w="105" w:type="dxa"/>
            </w:tcMar>
            <w:shd w:fill="FFFFFF"/>
          </w:tcPr>
          <w:p>
            <w:pPr>
              <w:spacing w:after="0" w:line="240" w:lineRule="auto"/>
              <w:jc w:val="left"/>
            </w:pPr>
            <w:r>
              <w:rPr>
                <w:b w:val="0"/>
                <w:i w:val="0"/>
                <w:color w:val="24323D"/>
                <w:sz w:val="15"/>
              </w:rPr>
              <w:t>Signature tissulaire compatible avec accumulation sphingolipidique</w:t>
            </w:r>
          </w:p>
        </w:tc>
        <w:tc>
          <w:tcPr>
            <w:tcW w:type="dxa" w:w="2960"/>
            <w:vAlign w:val="center"/>
            <w:tcMar>
              <w:top w:w="92" w:type="dxa"/>
              <w:start w:w="105" w:type="dxa"/>
              <w:bottom w:w="92" w:type="dxa"/>
              <w:end w:w="105" w:type="dxa"/>
            </w:tcMar>
            <w:shd w:fill="FFFFFF"/>
          </w:tcPr>
          <w:p>
            <w:pPr>
              <w:spacing w:after="0" w:line="240" w:lineRule="auto"/>
              <w:jc w:val="left"/>
            </w:pPr>
            <w:r>
              <w:rPr>
                <w:b w:val="0"/>
                <w:i w:val="0"/>
                <w:color w:val="24323D"/>
                <w:sz w:val="15"/>
              </w:rPr>
              <w:t>Fibrose ; diagnostic génétique ; absence de maladie si T1 normal</w:t>
            </w:r>
          </w:p>
        </w:tc>
      </w:tr>
      <w:tr>
        <w:trPr>
          <w:cantSplit/>
        </w:trPr>
        <w:tc>
          <w:tcPr>
            <w:tcW w:type="dxa" w:w="1900"/>
            <w:vAlign w:val="center"/>
            <w:tcMar>
              <w:top w:w="92" w:type="dxa"/>
              <w:start w:w="105" w:type="dxa"/>
              <w:bottom w:w="92" w:type="dxa"/>
              <w:end w:w="105" w:type="dxa"/>
            </w:tcMar>
            <w:shd w:fill="F2F8FA"/>
          </w:tcPr>
          <w:p>
            <w:pPr>
              <w:spacing w:after="0" w:line="240" w:lineRule="auto"/>
              <w:jc w:val="left"/>
            </w:pPr>
            <w:r>
              <w:rPr>
                <w:b w:val="0"/>
                <w:i w:val="0"/>
                <w:color w:val="24323D"/>
                <w:sz w:val="15"/>
              </w:rPr>
              <w:t>Eau tissulaire/lésion active</w:t>
            </w:r>
          </w:p>
        </w:tc>
        <w:tc>
          <w:tcPr>
            <w:tcW w:type="dxa" w:w="2000"/>
            <w:vAlign w:val="center"/>
            <w:tcMar>
              <w:top w:w="92" w:type="dxa"/>
              <w:start w:w="105" w:type="dxa"/>
              <w:bottom w:w="92" w:type="dxa"/>
              <w:end w:w="105" w:type="dxa"/>
            </w:tcMar>
            <w:shd w:fill="F2F8FA"/>
          </w:tcPr>
          <w:p>
            <w:pPr>
              <w:spacing w:after="0" w:line="240" w:lineRule="auto"/>
              <w:jc w:val="left"/>
            </w:pPr>
            <w:r>
              <w:rPr>
                <w:b w:val="0"/>
                <w:i w:val="0"/>
                <w:color w:val="24323D"/>
                <w:sz w:val="15"/>
              </w:rPr>
              <w:t>T2 régional, contextualisé par troponine et clinique</w:t>
            </w:r>
          </w:p>
        </w:tc>
        <w:tc>
          <w:tcPr>
            <w:tcW w:type="dxa" w:w="2500"/>
            <w:vAlign w:val="center"/>
            <w:tcMar>
              <w:top w:w="92" w:type="dxa"/>
              <w:start w:w="105" w:type="dxa"/>
              <w:bottom w:w="92" w:type="dxa"/>
              <w:end w:w="105" w:type="dxa"/>
            </w:tcMar>
            <w:shd w:fill="F2F8FA"/>
          </w:tcPr>
          <w:p>
            <w:pPr>
              <w:spacing w:after="0" w:line="240" w:lineRule="auto"/>
              <w:jc w:val="left"/>
            </w:pPr>
            <w:r>
              <w:rPr>
                <w:b w:val="0"/>
                <w:i w:val="0"/>
                <w:color w:val="24323D"/>
                <w:sz w:val="15"/>
              </w:rPr>
              <w:t>Augmentation d’eau compatible avec œdème ou lésion active</w:t>
            </w:r>
          </w:p>
        </w:tc>
        <w:tc>
          <w:tcPr>
            <w:tcW w:type="dxa" w:w="2960"/>
            <w:vAlign w:val="center"/>
            <w:tcMar>
              <w:top w:w="92" w:type="dxa"/>
              <w:start w:w="105" w:type="dxa"/>
              <w:bottom w:w="92" w:type="dxa"/>
              <w:end w:w="105" w:type="dxa"/>
            </w:tcMar>
            <w:shd w:fill="F2F8FA"/>
          </w:tcPr>
          <w:p>
            <w:pPr>
              <w:spacing w:after="0" w:line="240" w:lineRule="auto"/>
              <w:jc w:val="left"/>
            </w:pPr>
            <w:r>
              <w:rPr>
                <w:b w:val="0"/>
                <w:i w:val="0"/>
                <w:color w:val="24323D"/>
                <w:sz w:val="15"/>
              </w:rPr>
              <w:t>Inflammation histologique ; fibrose ; cause de la hausse</w:t>
            </w:r>
          </w:p>
        </w:tc>
      </w:tr>
      <w:tr>
        <w:trPr>
          <w:cantSplit/>
        </w:trPr>
        <w:tc>
          <w:tcPr>
            <w:tcW w:type="dxa" w:w="1900"/>
            <w:vAlign w:val="center"/>
            <w:tcMar>
              <w:top w:w="92" w:type="dxa"/>
              <w:start w:w="105" w:type="dxa"/>
              <w:bottom w:w="92" w:type="dxa"/>
              <w:end w:w="105" w:type="dxa"/>
            </w:tcMar>
            <w:shd w:fill="FFFFFF"/>
          </w:tcPr>
          <w:p>
            <w:pPr>
              <w:spacing w:after="0" w:line="240" w:lineRule="auto"/>
              <w:jc w:val="left"/>
            </w:pPr>
            <w:r>
              <w:rPr>
                <w:b w:val="0"/>
                <w:i w:val="0"/>
                <w:color w:val="24323D"/>
                <w:sz w:val="15"/>
              </w:rPr>
              <w:t>Hypertrophie/remodelage</w:t>
            </w:r>
          </w:p>
        </w:tc>
        <w:tc>
          <w:tcPr>
            <w:tcW w:type="dxa" w:w="2000"/>
            <w:vAlign w:val="center"/>
            <w:tcMar>
              <w:top w:w="92" w:type="dxa"/>
              <w:start w:w="105" w:type="dxa"/>
              <w:bottom w:w="92" w:type="dxa"/>
              <w:end w:w="105" w:type="dxa"/>
            </w:tcMar>
            <w:shd w:fill="FFFFFF"/>
          </w:tcPr>
          <w:p>
            <w:pPr>
              <w:spacing w:after="0" w:line="240" w:lineRule="auto"/>
              <w:jc w:val="left"/>
            </w:pPr>
            <w:r>
              <w:rPr>
                <w:b w:val="0"/>
                <w:i w:val="0"/>
                <w:color w:val="24323D"/>
                <w:sz w:val="15"/>
              </w:rPr>
              <w:t>Ciné : masse, volumes, épaisseur, fonction</w:t>
            </w:r>
          </w:p>
        </w:tc>
        <w:tc>
          <w:tcPr>
            <w:tcW w:type="dxa" w:w="2500"/>
            <w:vAlign w:val="center"/>
            <w:tcMar>
              <w:top w:w="92" w:type="dxa"/>
              <w:start w:w="105" w:type="dxa"/>
              <w:bottom w:w="92" w:type="dxa"/>
              <w:end w:w="105" w:type="dxa"/>
            </w:tcMar>
            <w:shd w:fill="FFFFFF"/>
          </w:tcPr>
          <w:p>
            <w:pPr>
              <w:spacing w:after="0" w:line="240" w:lineRule="auto"/>
              <w:jc w:val="left"/>
            </w:pPr>
            <w:r>
              <w:rPr>
                <w:b w:val="0"/>
                <w:i w:val="0"/>
                <w:color w:val="24323D"/>
                <w:sz w:val="15"/>
              </w:rPr>
              <w:t>Phénotype morphologique et évolution structurelle</w:t>
            </w:r>
          </w:p>
        </w:tc>
        <w:tc>
          <w:tcPr>
            <w:tcW w:type="dxa" w:w="2960"/>
            <w:vAlign w:val="center"/>
            <w:tcMar>
              <w:top w:w="92" w:type="dxa"/>
              <w:start w:w="105" w:type="dxa"/>
              <w:bottom w:w="92" w:type="dxa"/>
              <w:end w:w="105" w:type="dxa"/>
            </w:tcMar>
            <w:shd w:fill="FFFFFF"/>
          </w:tcPr>
          <w:p>
            <w:pPr>
              <w:spacing w:after="0" w:line="240" w:lineRule="auto"/>
              <w:jc w:val="left"/>
            </w:pPr>
            <w:r>
              <w:rPr>
                <w:b w:val="0"/>
                <w:i w:val="0"/>
                <w:color w:val="24323D"/>
                <w:sz w:val="15"/>
              </w:rPr>
              <w:t>Mécanisme unique de l’hypertrophie ; charge fibreuse</w:t>
            </w:r>
          </w:p>
        </w:tc>
      </w:tr>
      <w:tr>
        <w:trPr>
          <w:cantSplit/>
        </w:trPr>
        <w:tc>
          <w:tcPr>
            <w:tcW w:type="dxa" w:w="1900"/>
            <w:vAlign w:val="center"/>
            <w:tcMar>
              <w:top w:w="92" w:type="dxa"/>
              <w:start w:w="105" w:type="dxa"/>
              <w:bottom w:w="92" w:type="dxa"/>
              <w:end w:w="105" w:type="dxa"/>
            </w:tcMar>
            <w:shd w:fill="F2F8FA"/>
          </w:tcPr>
          <w:p>
            <w:pPr>
              <w:spacing w:after="0" w:line="240" w:lineRule="auto"/>
              <w:jc w:val="left"/>
            </w:pPr>
            <w:r>
              <w:rPr>
                <w:b w:val="0"/>
                <w:i w:val="0"/>
                <w:color w:val="24323D"/>
                <w:sz w:val="15"/>
              </w:rPr>
              <w:t>Retentissement mécanique</w:t>
            </w:r>
          </w:p>
        </w:tc>
        <w:tc>
          <w:tcPr>
            <w:tcW w:type="dxa" w:w="2000"/>
            <w:vAlign w:val="center"/>
            <w:tcMar>
              <w:top w:w="92" w:type="dxa"/>
              <w:start w:w="105" w:type="dxa"/>
              <w:bottom w:w="92" w:type="dxa"/>
              <w:end w:w="105" w:type="dxa"/>
            </w:tcMar>
            <w:shd w:fill="F2F8FA"/>
          </w:tcPr>
          <w:p>
            <w:pPr>
              <w:spacing w:after="0" w:line="240" w:lineRule="auto"/>
              <w:jc w:val="left"/>
            </w:pPr>
            <w:r>
              <w:rPr>
                <w:b w:val="0"/>
                <w:i w:val="0"/>
                <w:color w:val="24323D"/>
                <w:sz w:val="15"/>
              </w:rPr>
              <w:t>Strain échographique ou CMR</w:t>
            </w:r>
          </w:p>
        </w:tc>
        <w:tc>
          <w:tcPr>
            <w:tcW w:type="dxa" w:w="2500"/>
            <w:vAlign w:val="center"/>
            <w:tcMar>
              <w:top w:w="92" w:type="dxa"/>
              <w:start w:w="105" w:type="dxa"/>
              <w:bottom w:w="92" w:type="dxa"/>
              <w:end w:w="105" w:type="dxa"/>
            </w:tcMar>
            <w:shd w:fill="F2F8FA"/>
          </w:tcPr>
          <w:p>
            <w:pPr>
              <w:spacing w:after="0" w:line="240" w:lineRule="auto"/>
              <w:jc w:val="left"/>
            </w:pPr>
            <w:r>
              <w:rPr>
                <w:b w:val="0"/>
                <w:i w:val="0"/>
                <w:color w:val="24323D"/>
                <w:sz w:val="15"/>
              </w:rPr>
              <w:t>Dysfonction globale ou régionale parfois précoce</w:t>
            </w:r>
          </w:p>
        </w:tc>
        <w:tc>
          <w:tcPr>
            <w:tcW w:type="dxa" w:w="2960"/>
            <w:vAlign w:val="center"/>
            <w:tcMar>
              <w:top w:w="92" w:type="dxa"/>
              <w:start w:w="105" w:type="dxa"/>
              <w:bottom w:w="92" w:type="dxa"/>
              <w:end w:w="105" w:type="dxa"/>
            </w:tcMar>
            <w:shd w:fill="F2F8FA"/>
          </w:tcPr>
          <w:p>
            <w:pPr>
              <w:spacing w:after="0" w:line="240" w:lineRule="auto"/>
              <w:jc w:val="left"/>
            </w:pPr>
            <w:r>
              <w:rPr>
                <w:b w:val="0"/>
                <w:i w:val="0"/>
                <w:color w:val="24323D"/>
                <w:sz w:val="15"/>
              </w:rPr>
              <w:t>Fibrose spécifique ; interchangeabilité entre plateformes</w:t>
            </w:r>
          </w:p>
        </w:tc>
      </w:tr>
      <w:tr>
        <w:trPr>
          <w:cantSplit/>
        </w:trPr>
        <w:tc>
          <w:tcPr>
            <w:tcW w:type="dxa" w:w="1900"/>
            <w:vAlign w:val="center"/>
            <w:tcMar>
              <w:top w:w="92" w:type="dxa"/>
              <w:start w:w="105" w:type="dxa"/>
              <w:bottom w:w="92" w:type="dxa"/>
              <w:end w:w="105" w:type="dxa"/>
            </w:tcMar>
            <w:shd w:fill="FFFFFF"/>
          </w:tcPr>
          <w:p>
            <w:pPr>
              <w:spacing w:after="0" w:line="240" w:lineRule="auto"/>
              <w:jc w:val="left"/>
            </w:pPr>
            <w:r>
              <w:rPr>
                <w:b w:val="0"/>
                <w:i w:val="0"/>
                <w:color w:val="24323D"/>
                <w:sz w:val="15"/>
              </w:rPr>
              <w:t>Cicatrice microscopique</w:t>
            </w:r>
          </w:p>
        </w:tc>
        <w:tc>
          <w:tcPr>
            <w:tcW w:type="dxa" w:w="2000"/>
            <w:vAlign w:val="center"/>
            <w:tcMar>
              <w:top w:w="92" w:type="dxa"/>
              <w:start w:w="105" w:type="dxa"/>
              <w:bottom w:w="92" w:type="dxa"/>
              <w:end w:w="105" w:type="dxa"/>
            </w:tcMar>
            <w:shd w:fill="FFFFFF"/>
          </w:tcPr>
          <w:p>
            <w:pPr>
              <w:spacing w:after="0" w:line="240" w:lineRule="auto"/>
              <w:jc w:val="left"/>
            </w:pPr>
            <w:r>
              <w:rPr>
                <w:b w:val="0"/>
                <w:i w:val="0"/>
                <w:color w:val="24323D"/>
                <w:sz w:val="15"/>
              </w:rPr>
              <w:t>Histologie quantitative sur prélèvement représentatif</w:t>
            </w:r>
          </w:p>
        </w:tc>
        <w:tc>
          <w:tcPr>
            <w:tcW w:type="dxa" w:w="2500"/>
            <w:vAlign w:val="center"/>
            <w:tcMar>
              <w:top w:w="92" w:type="dxa"/>
              <w:start w:w="105" w:type="dxa"/>
              <w:bottom w:w="92" w:type="dxa"/>
              <w:end w:w="105" w:type="dxa"/>
            </w:tcMar>
            <w:shd w:fill="FFFFFF"/>
          </w:tcPr>
          <w:p>
            <w:pPr>
              <w:spacing w:after="0" w:line="240" w:lineRule="auto"/>
              <w:jc w:val="left"/>
            </w:pPr>
            <w:r>
              <w:rPr>
                <w:b w:val="0"/>
                <w:i w:val="0"/>
                <w:color w:val="24323D"/>
                <w:sz w:val="15"/>
              </w:rPr>
              <w:t>Collagène et architecture à l’échelle du prélèvement</w:t>
            </w:r>
          </w:p>
        </w:tc>
        <w:tc>
          <w:tcPr>
            <w:tcW w:type="dxa" w:w="2960"/>
            <w:vAlign w:val="center"/>
            <w:tcMar>
              <w:top w:w="92" w:type="dxa"/>
              <w:start w:w="105" w:type="dxa"/>
              <w:bottom w:w="92" w:type="dxa"/>
              <w:end w:w="105" w:type="dxa"/>
            </w:tcMar>
            <w:shd w:fill="FFFFFF"/>
          </w:tcPr>
          <w:p>
            <w:pPr>
              <w:spacing w:after="0" w:line="240" w:lineRule="auto"/>
              <w:jc w:val="left"/>
            </w:pPr>
            <w:r>
              <w:rPr>
                <w:b w:val="0"/>
                <w:i w:val="0"/>
                <w:color w:val="24323D"/>
                <w:sz w:val="15"/>
              </w:rPr>
              <w:t>Charge du cœur entier ; innocuité ; répétabilité longitudinale</w:t>
            </w:r>
          </w:p>
        </w:tc>
      </w:tr>
    </w:tbl>
    <w:p>
      <w:pPr>
        <w:spacing w:after="20"/>
      </w:pPr>
    </w:p>
    <w:p>
      <w:pPr>
        <w:pStyle w:val="Heading2"/>
      </w:pPr>
      <w:r>
        <w:t>3. Conséquence sémantique</w:t>
      </w:r>
    </w:p>
    <w:p>
      <w:pPr>
        <w:widowControl/>
      </w:pPr>
      <w:r>
        <w:rPr>
          <w:b w:val="0"/>
          <w:i w:val="0"/>
        </w:rPr>
        <w:t xml:space="preserve">Le terme </w:t>
      </w:r>
      <w:r>
        <w:rPr>
          <w:b/>
          <w:i w:val="0"/>
        </w:rPr>
        <w:t>mesure de fibrose</w:t>
      </w:r>
      <w:r>
        <w:rPr>
          <w:b w:val="0"/>
          <w:i w:val="0"/>
        </w:rPr>
        <w:t xml:space="preserve"> doit être réservé à un résultat dont le libellé contient au minimum :</w:t>
      </w:r>
    </w:p>
    <w:p>
      <w:pPr>
        <w:pStyle w:val="ListBullet"/>
      </w:pPr>
      <w:r>
        <w:rPr>
          <w:b w:val="0"/>
          <w:i w:val="0"/>
        </w:rPr>
        <w:t>le compartiment : remplacement focal ou expansion extracellulaire ;</w:t>
      </w:r>
    </w:p>
    <w:p>
      <w:pPr>
        <w:pStyle w:val="ListBullet"/>
      </w:pPr>
      <w:r>
        <w:rPr>
          <w:b w:val="0"/>
          <w:i w:val="0"/>
        </w:rPr>
        <w:t>l’échelle : segment, territoire, ventricule ou prélèvement ;</w:t>
      </w:r>
    </w:p>
    <w:p>
      <w:pPr>
        <w:pStyle w:val="ListBullet"/>
      </w:pPr>
      <w:r>
        <w:rPr>
          <w:b w:val="0"/>
          <w:i w:val="0"/>
        </w:rPr>
        <w:t>l’observable : LGE, ECV ou histologie ;</w:t>
      </w:r>
    </w:p>
    <w:p>
      <w:pPr>
        <w:pStyle w:val="ListBullet"/>
      </w:pPr>
      <w:r>
        <w:rPr>
          <w:b w:val="0"/>
          <w:i w:val="0"/>
        </w:rPr>
        <w:t>la méthode analytique : présence/absence, nombre de segments, masse ou pourcentage, seuil ou contour ;</w:t>
      </w:r>
    </w:p>
    <w:p>
      <w:pPr>
        <w:pStyle w:val="ListBullet"/>
      </w:pPr>
      <w:r>
        <w:rPr>
          <w:b w:val="0"/>
          <w:i w:val="0"/>
        </w:rPr>
        <w:t>les conditions d’interprétation : contraste, hématocrite, qualité, rythme, fonction rénale, méthode de référence ;</w:t>
      </w:r>
    </w:p>
    <w:p>
      <w:pPr>
        <w:pStyle w:val="ListBullet"/>
      </w:pPr>
      <w:r>
        <w:rPr>
          <w:b w:val="0"/>
          <w:i w:val="0"/>
        </w:rPr>
        <w:t>l’incertitude : précision, reproductibilité, données manquantes et mécanismes concurrents.</w:t>
      </w:r>
    </w:p>
    <w:p>
      <w:pPr>
        <w:widowControl/>
      </w:pPr>
      <w:r>
        <w:rPr>
          <w:b w:val="0"/>
          <w:i w:val="0"/>
        </w:rPr>
        <w:t>Une formulation acceptable serait : « étendue relative du LGE non ischémique du ventricule gauche, quantifiée selon une méthode figée ». Une formulation inacceptable serait : « pourcentage de fibrose » sans autre qualification.</w:t>
      </w:r>
    </w:p>
    <w:p>
      <w:pPr>
        <w:spacing w:before="140" w:after="200" w:line="264" w:lineRule="auto"/>
        <w:ind w:left="173" w:right="86"/>
        <w:shd w:fill="E5F5F7"/>
        <w:pBdr>
          <w:left w:val="single" w:sz="24" w:space="9" w:color="22A6B3"/>
        </w:pBdr>
      </w:pPr>
      <w:r>
        <w:rPr>
          <w:b/>
          <w:i w:val="0"/>
          <w:color w:val="12344D"/>
          <w:sz w:val="19"/>
        </w:rPr>
        <w:t>Décision de construit.</w:t>
      </w:r>
      <w:r>
        <w:rPr>
          <w:b w:val="0"/>
          <w:i w:val="0"/>
          <w:color w:val="12344D"/>
          <w:sz w:val="19"/>
        </w:rPr>
        <w:t xml:space="preserve"> En l’état des preuves, le LGE est le marqueur de référence non invasif de la cicatrice focale de remplacement dans Fabry ; l’ECV évalue l’expansion extracellulaire et peut explorer une composante diffuse ; T1, T2, ciné, strain et biomarqueurs décrivent le substrat, l’activité ou les conséquences. Ces rôles ne sont pas interchangeables.</w:t>
      </w:r>
    </w:p>
    <w:p>
      <w:r>
        <w:br w:type="page"/>
      </w:r>
    </w:p>
    <w:p>
      <w:pPr>
        <w:pStyle w:val="Heading1"/>
        <w:pBdr>
          <w:bottom w:val="single" w:sz="12" w:space="7" w:color="22A6B3"/>
        </w:pBdr>
      </w:pPr>
      <w:r>
        <w:t>PARTIE II — DU GÈNE AU MYOCARDE</w:t>
      </w:r>
    </w:p>
    <w:p>
      <w:pPr>
        <w:pStyle w:val="Heading2"/>
      </w:pPr>
      <w:r>
        <w:t>4. Base génétique et biochimique</w:t>
      </w:r>
    </w:p>
    <w:p>
      <w:pPr>
        <w:pStyle w:val="Heading3"/>
      </w:pPr>
      <w:r>
        <w:t>4.1 GLA, α-galactosidase A et sphingolipides</w:t>
      </w:r>
    </w:p>
    <w:p>
      <w:pPr>
        <w:widowControl/>
      </w:pPr>
      <w:r>
        <w:rPr>
          <w:b w:val="0"/>
          <w:i w:val="0"/>
        </w:rPr>
        <w:t xml:space="preserve">La maladie de Fabry est une maladie lysosomale liée à l’X causée par un variant pathogène ou probablement pathogène de </w:t>
      </w:r>
      <w:r>
        <w:rPr>
          <w:b/>
          <w:i w:val="0"/>
        </w:rPr>
        <w:t>GLA</w:t>
      </w:r>
      <w:r>
        <w:rPr>
          <w:b w:val="0"/>
          <w:i w:val="0"/>
        </w:rPr>
        <w:t>, codant l’α-galactosidase A. Le déficit enzymatique entraîne l’accumulation de globotriaosylcéramide (Gb3) et de dérivés déacylés, en particulier globotriaosylsphingosine (lyso-Gb3), dans plusieurs types cellulaires. Le cœur est atteint par le stockage cardiomyocytaire, mais aussi par des modifications des cellules endothéliales, du muscle lisse vasculaire, des fibroblastes et de l’environnement inflammatoire. [R01–R04, R43–R44]</w:t>
      </w:r>
    </w:p>
    <w:p>
      <w:pPr>
        <w:widowControl/>
      </w:pPr>
      <w:r>
        <w:rPr>
          <w:b w:val="0"/>
          <w:i w:val="0"/>
        </w:rPr>
        <w:t>La chaîne ne doit pas être réduite à « stockage puis paroi épaisse ». Le volume physique des inclusions lysosomales ne suffit pas à expliquer toute l’hypertrophie. Des réponses hypertrophiques, des perturbations énergétiques et autophagiques, du stress oxydatif, des signaux inflammatoires, une dysfonction endothéliale et microvasculaire et une mort cellulaire progressive sont proposés. La contribution relative de chacun varie selon le variant, le sexe chromosomique, l’âge, les organes, le traitement et les comorbidités. Plusieurs maillons demeurent surtout étayés par des modèles expérimentaux : ils expliquent une plausibilité, pas une causalité clinique quantifiée. [R44]</w:t>
      </w:r>
    </w:p>
    <w:p>
      <w:pPr>
        <w:pStyle w:val="Heading3"/>
      </w:pPr>
      <w:r>
        <w:t>4.2 Transmission liée à l’X</w:t>
      </w:r>
    </w:p>
    <w:p>
      <w:pPr>
        <w:widowControl/>
      </w:pPr>
      <w:r>
        <w:rPr>
          <w:b w:val="0"/>
          <w:i w:val="0"/>
        </w:rPr>
        <w:t>Un homme porteur d’un variant pathogène sur son unique chromosome X est hémizygote : toutes ses cellules portent ce chromosome, sous réserve de situations exceptionnelles. Une femme hétérozygote possède deux chromosomes X et son phénotype dépend en partie de l’inactivation aléatoire ou biaisée du X, potentiellement différente d’un tissu à l’autre. Une activité enzymatique plasmatique ou leucocytaire normale peut donc coexister chez elle avec une atteinte cardiaque. [R04]</w:t>
      </w:r>
    </w:p>
    <w:p>
      <w:pPr>
        <w:widowControl/>
      </w:pPr>
      <w:r>
        <w:rPr>
          <w:b w:val="0"/>
          <w:i w:val="0"/>
        </w:rPr>
        <w:t>Les conséquences diagnostiques sont asymétriques :</w:t>
      </w:r>
    </w:p>
    <w:p>
      <w:pPr>
        <w:pStyle w:val="ListBullet"/>
      </w:pPr>
      <w:r>
        <w:rPr>
          <w:b w:val="0"/>
          <w:i w:val="0"/>
        </w:rPr>
        <w:t>chez l’homme, une activité α-galactosidase A très basse est un signal diagnostique puissant, à confirmer et interpréter avec le génotype ;</w:t>
      </w:r>
    </w:p>
    <w:p>
      <w:pPr>
        <w:pStyle w:val="ListBullet"/>
      </w:pPr>
      <w:r>
        <w:rPr>
          <w:b w:val="0"/>
          <w:i w:val="0"/>
        </w:rPr>
        <w:t>chez la femme, l’activité enzymatique ne peut exclure la maladie et l’analyse moléculaire de GLA est centrale ;</w:t>
      </w:r>
    </w:p>
    <w:p>
      <w:pPr>
        <w:pStyle w:val="ListBullet"/>
      </w:pPr>
      <w:r>
        <w:rPr>
          <w:b w:val="0"/>
          <w:i w:val="0"/>
        </w:rPr>
        <w:t>dans les deux sexes, un variant de signification incertaine ne doit pas être transformé en diagnostic par la seule présence d’une hypertrophie ou d’un T1 atypique.</w:t>
      </w:r>
    </w:p>
    <w:p>
      <w:pPr>
        <w:pStyle w:val="Heading3"/>
      </w:pPr>
      <w:r>
        <w:t>4.3 Nature des variants et hétérogénéité</w:t>
      </w:r>
    </w:p>
    <w:p>
      <w:pPr>
        <w:widowControl/>
      </w:pPr>
      <w:r>
        <w:rPr>
          <w:b w:val="0"/>
          <w:i w:val="0"/>
        </w:rPr>
        <w:t>Plus d’un millier de variants de GLA ont été décrits ; une grande proportion est privée à une famille ou rare. Variants faux-sens, non-sens, affectant l’épissage, petites insertions/délétions et réarrangements plus larges peuvent être rencontrés. L’absence d’un variant dans une liste courte ne constitue donc pas une preuve d’absence. Une analyse qui ne recherche que les substitutions codantes peut manquer certaines délétions, duplications ou anomalies d’épissage. [R03–R04]</w:t>
      </w:r>
    </w:p>
    <w:p>
      <w:pPr>
        <w:widowControl/>
      </w:pPr>
      <w:r>
        <w:rPr>
          <w:b w:val="0"/>
          <w:i w:val="0"/>
        </w:rPr>
        <w:t>La classification doit être datée et sourcée. Elle repose sur des critères génétiques, biochimiques, de ségrégation et de phénotype ; elle peut évoluer. Un variant ne doit pas être appelé « classique », « cardiaque » ou « bénin » sur la base d’une seule publication ou d’un taux enzymatique isolé.</w:t>
      </w:r>
    </w:p>
    <w:p>
      <w:pPr>
        <w:pStyle w:val="Heading3"/>
      </w:pPr>
      <w:r>
        <w:t>4.4 Phénotype classique et formes d’expression tardive</w:t>
      </w:r>
    </w:p>
    <w:p>
      <w:pPr>
        <w:widowControl/>
      </w:pPr>
      <w:r>
        <w:rPr>
          <w:b w:val="0"/>
          <w:i w:val="0"/>
        </w:rPr>
        <w:t>Le phénotype classique, souvent associé chez l’homme à une activité enzymatique résiduelle très faible, peut associer manifestations neuropathiques, cutanées, rénales, cérébrovasculaires et cardiaques dès l’enfance ou le jeune âge adulte. Les formes d’expression tardive peuvent être dominées par le cœur et apparaître plus tard, parfois sans signes extra-cardiaques typiques.</w:t>
      </w:r>
    </w:p>
    <w:p>
      <w:pPr>
        <w:widowControl/>
      </w:pPr>
      <w:r>
        <w:rPr>
          <w:b w:val="0"/>
          <w:i w:val="0"/>
        </w:rPr>
        <w:t xml:space="preserve">Le variant </w:t>
      </w:r>
      <w:r>
        <w:rPr>
          <w:b/>
          <w:i w:val="0"/>
        </w:rPr>
        <w:t>p.Asn215Ser (p.N215S)</w:t>
      </w:r>
      <w:r>
        <w:rPr>
          <w:b w:val="0"/>
          <w:i w:val="0"/>
        </w:rPr>
        <w:t xml:space="preserve"> est l’exemple le mieux documenté d’un phénotype à prédominance cardiaque tardive, avec une atteinte généralement plus précoce et plus sévère chez les hommes que chez les femmes. </w:t>
      </w:r>
      <w:r>
        <w:rPr>
          <w:b/>
          <w:i w:val="0"/>
        </w:rPr>
        <w:t>IVS4+919G&gt;A</w:t>
      </w:r>
      <w:r>
        <w:rPr>
          <w:b w:val="0"/>
          <w:i w:val="0"/>
        </w:rPr>
        <w:t xml:space="preserve"> est un variant fondateur associé à une expression cardiaque tardive dans certaines populations d’Asie de l’Est. Ces exemples ne créent pas deux classes étanches : l’expression reste variable et un libellé de variant ne remplace pas le phénotypage individuel. [R05]</w:t>
      </w:r>
    </w:p>
    <w:p>
      <w:pPr>
        <w:widowControl/>
      </w:pPr>
      <w:r>
        <w:rPr>
          <w:b w:val="0"/>
          <w:i w:val="0"/>
        </w:rPr>
        <w:t xml:space="preserve">À l’inverse, </w:t>
      </w:r>
      <w:r>
        <w:rPr>
          <w:b/>
          <w:i w:val="0"/>
        </w:rPr>
        <w:t>p.Ala143Thr</w:t>
      </w:r>
      <w:r>
        <w:rPr>
          <w:b w:val="0"/>
          <w:i w:val="0"/>
        </w:rPr>
        <w:t xml:space="preserve"> et </w:t>
      </w:r>
      <w:r>
        <w:rPr>
          <w:b/>
          <w:i w:val="0"/>
        </w:rPr>
        <w:t>p.Asp313Tyr (D313Y)</w:t>
      </w:r>
      <w:r>
        <w:rPr>
          <w:b w:val="0"/>
          <w:i w:val="0"/>
        </w:rPr>
        <w:t xml:space="preserve"> illustrent le danger d’une causalité excessive. Leur interprétation a été débattue ; des travaux modernes n’ont pas retrouvé, dans plusieurs groupes, un phénotype CMR multiparamétrique comparable à celui d’une maladie de Fabry établie. Ils ne doivent pas être rangés par défaut parmi les « Fabry légers ». [R35–R37]</w:t>
      </w:r>
    </w:p>
    <w:p>
      <w:pPr>
        <w:pStyle w:val="Heading3"/>
      </w:pPr>
      <w:r>
        <w:t>4.5 Génotype, substrat et fibrose : trois niveaux distincts</w:t>
      </w:r>
    </w:p>
    <w:p>
      <w:pPr>
        <w:widowControl/>
      </w:pPr>
      <w:r>
        <w:rPr>
          <w:b w:val="0"/>
          <w:i w:val="0"/>
        </w:rPr>
        <w:t>Le génotype définit une possibilité causale. L’activité enzymatique et le lyso-Gb3 renseignent le défaut biochimique et l’exposition systémique. Le phénotype cardiaque démontre une expression d’organe. La fibrose myocardique est un dommage tissulaire en aval. Aucune équivalence simple ne relie ces quatre niveaux.</w:t>
      </w:r>
    </w:p>
    <w:p>
      <w:pPr>
        <w:widowControl/>
      </w:pPr>
      <w:r>
        <w:rPr>
          <w:b w:val="0"/>
          <w:i w:val="0"/>
        </w:rPr>
        <w:t>Un lyso-Gb3 élevé peut précéder la cicatrice ; une baisse sous traitement peut survenir plus vite qu’une modification de la masse ou du LGE ; une femme peut présenter une fibrose avec un lyso-Gb3 moins élevé qu’un homme classique ; une cicatrice établie peut progresser ou persister malgré une réduction du substrat circulant. La cinétique dissociée est un élément de raisonnement, non une incohérence biologique.</w:t>
      </w:r>
    </w:p>
    <w:p>
      <w:pPr>
        <w:pStyle w:val="Heading2"/>
      </w:pPr>
      <w:r>
        <w:t>5. Différences entre hommes et femmes</w:t>
      </w:r>
    </w:p>
    <w:p>
      <w:pPr>
        <w:pStyle w:val="Heading3"/>
      </w:pPr>
      <w:r>
        <w:t>5.1 Une maladie liée à l’X, non une maladie « récessive » simple</w:t>
      </w:r>
    </w:p>
    <w:p>
      <w:pPr>
        <w:widowControl/>
      </w:pPr>
      <w:r>
        <w:rPr>
          <w:b w:val="0"/>
          <w:i w:val="0"/>
        </w:rPr>
        <w:t>L’ancienne représentation de la femme « conductrice » est incorrecte. Les femmes hétérozygotes peuvent développer une hypertrophie, une fibrose, des troubles du rythme, une insuffisance cardiaque ou des événements majeurs. Leur expression est en moyenne plus tardive et plus hétérogène, mais une moyenne de groupe ne protège aucun individu. [R01, R04, R07]</w:t>
      </w:r>
    </w:p>
    <w:p>
      <w:pPr>
        <w:pStyle w:val="Heading3"/>
      </w:pPr>
      <w:r>
        <w:t>5.2 Vitesse et trajectoire</w:t>
      </w:r>
    </w:p>
    <w:p>
      <w:pPr>
        <w:widowControl/>
      </w:pPr>
      <w:r>
        <w:rPr>
          <w:b w:val="0"/>
          <w:i w:val="0"/>
        </w:rPr>
        <w:t>Chez les hommes ayant un phénotype classique, le stockage paraît en moyenne plus rapide, le T1 natif s’abaisse plus tôt et l’hypertrophie survient plus jeune. Chez les femmes, la mosaïque d’inactivation du X peut produire des territoires myocardiques inégalement atteints. Cette hétérogénéité fournit une explication plausible à une cicatrice régionale survenant sans augmentation globale de masse.</w:t>
      </w:r>
    </w:p>
    <w:p>
      <w:pPr>
        <w:widowControl/>
      </w:pPr>
      <w:r>
        <w:rPr>
          <w:b w:val="0"/>
          <w:i w:val="0"/>
        </w:rPr>
        <w:t>Dans une cohorte transversale de 104 patients, 23 % des femmes présentaient du LGE en l’absence d’hypertrophie, situation non observée chez les hommes de masse normale dans cette cohorte. Cette observation interdit d’exiger une hypertrophie comme porte d’entrée de la recherche de fibrose chez la femme. Elle ne prouve pas à elle seule une séquence temporelle universelle, car une photographie transversale ne remplace pas un suivi individuel. [R07]</w:t>
      </w:r>
    </w:p>
    <w:p>
      <w:pPr>
        <w:pStyle w:val="Heading3"/>
      </w:pPr>
      <w:r>
        <w:t>5.3 Conséquence pour les biomarqueurs</w:t>
      </w:r>
    </w:p>
    <w:p>
      <w:pPr>
        <w:pStyle w:val="ListBullet"/>
      </w:pPr>
      <w:r>
        <w:rPr>
          <w:b w:val="0"/>
          <w:i w:val="0"/>
        </w:rPr>
        <w:t>Une activité α-galactosidase A normale n’exclut pas Fabry chez une femme.</w:t>
      </w:r>
    </w:p>
    <w:p>
      <w:pPr>
        <w:pStyle w:val="ListBullet"/>
      </w:pPr>
      <w:r>
        <w:rPr>
          <w:b w:val="0"/>
          <w:i w:val="0"/>
        </w:rPr>
        <w:t>Un T1 global normal n’exclut pas un stockage mosaïque ni une cicatrice focale.</w:t>
      </w:r>
    </w:p>
    <w:p>
      <w:pPr>
        <w:pStyle w:val="ListBullet"/>
      </w:pPr>
      <w:r>
        <w:rPr>
          <w:b w:val="0"/>
          <w:i w:val="0"/>
        </w:rPr>
        <w:t>L’absence d’hypertrophie n’exclut pas le LGE.</w:t>
      </w:r>
    </w:p>
    <w:p>
      <w:pPr>
        <w:pStyle w:val="ListBullet"/>
      </w:pPr>
      <w:r>
        <w:rPr>
          <w:b w:val="0"/>
          <w:i w:val="0"/>
        </w:rPr>
        <w:t>Une valeur absolue de troponine ou de lyso-Gb3 doit être interprétée avec la fonction rénale, l’âge, le variant, le sexe biologique étudié et l’état thérapeutique.</w:t>
      </w:r>
    </w:p>
    <w:p>
      <w:pPr>
        <w:pStyle w:val="ListBullet"/>
      </w:pPr>
      <w:r>
        <w:rPr>
          <w:b w:val="0"/>
          <w:i w:val="0"/>
        </w:rPr>
        <w:t>Une analyse de groupe qui ajuste simplement sur « sexe » sans tester les interactions peut masquer des trajectoires différentes.</w:t>
      </w:r>
    </w:p>
    <w:p>
      <w:pPr>
        <w:pStyle w:val="Heading3"/>
      </w:pPr>
      <w:r>
        <w:t>5.4 Limites des données</w:t>
      </w:r>
    </w:p>
    <w:p>
      <w:pPr>
        <w:widowControl/>
      </w:pPr>
      <w:r>
        <w:rPr>
          <w:b w:val="0"/>
          <w:i w:val="0"/>
        </w:rPr>
        <w:t>Les cohortes historiques sont souvent petites, monocentriques, enrichies en patients référés et mélangent variants classiques, tardifs et incertains. L’âge au diagnostic, l’accès au traitement et la définition de l’hypertrophie diffèrent. Les analyses de l’inactivation du X myocardique sont rares. Les comparaisons homme–femme doivent donc être formulées comme des différences de distribution et de trajectoire, non comme deux lois déterministes.</w:t>
      </w:r>
    </w:p>
    <w:p>
      <w:pPr>
        <w:pStyle w:val="Heading2"/>
      </w:pPr>
      <w:r>
        <w:t>6. Modèle temporel raisonné</w:t>
      </w:r>
    </w:p>
    <w:p>
      <w:pPr>
        <w:pStyle w:val="Heading3"/>
      </w:pPr>
      <w:r>
        <w:t>6.1 Un modèle utile, non une horloge universelle</w:t>
      </w:r>
    </w:p>
    <w:p>
      <w:pPr>
        <w:widowControl/>
      </w:pPr>
      <w:r>
        <w:rPr>
          <w:b w:val="0"/>
          <w:i w:val="0"/>
        </w:rPr>
        <w:t>Le modèle en trois phases proposé à partir de données CMR — accumulation, hypertrophie/inflammation, fibrose/altération — est une charpente conceptuelle utile. Il est surtout dérivé de cohortes observationnelles et transversales ; les phases se chevauchent, certaines personnes sautent des manifestations détectables et les femmes peuvent développer un LGE avant une hypertrophie globale. [R06]</w:t>
      </w:r>
    </w:p>
    <w:p>
      <w:pPr>
        <w:pStyle w:val="Heading3"/>
      </w:pPr>
      <w:r>
        <w:t>6.2 Phase de susceptibilité et de stockage</w:t>
      </w:r>
    </w:p>
    <w:p>
      <w:pPr>
        <w:widowControl/>
      </w:pPr>
      <w:r>
        <w:rPr>
          <w:b w:val="0"/>
          <w:i w:val="0"/>
        </w:rPr>
        <w:t>Le variant pathogène et le déficit enzymatique précèdent le dommage visible. Le lyso-Gb3 peut être élevé, surtout chez les hommes classiques. Le T1 natif peut s’abaisser avant l’hypertrophie ; de petites études ont associé ce T1 bas préhypertrophique à une altération subtile du strain longitudinal ou de la fonction diastolique. Ces observations soutiennent un phénotype cardiaque précoce, mais le T1 bas reste un marqueur de composition tissulaire compatible avec le stockage, pas une mesure de fibrose. [R08–R12]</w:t>
      </w:r>
    </w:p>
    <w:p>
      <w:pPr>
        <w:pStyle w:val="Heading3"/>
      </w:pPr>
      <w:r>
        <w:t>6.3 Phase d’hypertrophie et de stress</w:t>
      </w:r>
    </w:p>
    <w:p>
      <w:pPr>
        <w:widowControl/>
      </w:pPr>
      <w:r>
        <w:rPr>
          <w:b w:val="0"/>
          <w:i w:val="0"/>
        </w:rPr>
        <w:t>L’accumulation s’accompagne d’hypertrophie cardiomyocytaire, d’une augmentation de masse, d’une contribution importante des muscles papillaires et des trabéculations, et parfois d’une dysfonction microvasculaire. La fraction d’éjection peut rester normale ou supranormale. Une troponine chronique, un T2 régional élevé et une altération du strain peuvent apparaître. La fibrose focale peut être absente, débutante ou déjà présente.</w:t>
      </w:r>
    </w:p>
    <w:p>
      <w:pPr>
        <w:pStyle w:val="Heading3"/>
      </w:pPr>
      <w:r>
        <w:t>6.4 Phase de lésion active et de cicatrice</w:t>
      </w:r>
    </w:p>
    <w:p>
      <w:pPr>
        <w:widowControl/>
      </w:pPr>
      <w:r>
        <w:rPr>
          <w:b w:val="0"/>
          <w:i w:val="0"/>
        </w:rPr>
        <w:t>Le territoire basal inférolatéral est fréquemment le premier siège visible du LGE. Une augmentation régionale du T2 et une troponine élevée dans ce contexte sont compatibles avec une lésion persistante. La cicatrice peut s’étendre, la masse continuer d’augmenter, la fonction diastolique se dégrader, puis la fonction systolique globale diminuer. Les arythmies et l’insuffisance cardiaque deviennent plus probables, mais leur survenue n’est pas déterminée par un biomarqueur unique. [R14–R19, R22–R25]</w:t>
      </w:r>
    </w:p>
    <w:p>
      <w:pPr>
        <w:pStyle w:val="Heading3"/>
      </w:pPr>
      <w:r>
        <w:t>6.5 Pseudonormalisation et trajectoire en U du T1</w:t>
      </w:r>
    </w:p>
    <w:p>
      <w:pPr>
        <w:widowControl/>
      </w:pPr>
      <w:r>
        <w:rPr>
          <w:b w:val="0"/>
          <w:i w:val="0"/>
        </w:rPr>
        <w:t>Au début, le stockage intracellulaire abaisse le T1 natif. Plus tard, l’expansion extracellulaire, l’œdème et la cicatrice peuvent l’augmenter dans les régions lésées. La moyenne globale peut alors revenir dans l’intervalle « normal » : ce n’est pas une guérison, mais la somme de signaux opposés. Dans des maladies avancées, le T1 peut même être plus élevé dans les segments cicatriciels tandis qu’il reste bas à distance. Cette trajectoire non monotone rend le T1 inadapté comme compteur linéaire de progression de la fibrose.</w:t>
      </w:r>
    </w:p>
    <w:p>
      <w:pPr>
        <w:pStyle w:val="Heading3"/>
      </w:pPr>
      <w:r>
        <w:t>6.6 Vitesse observable</w:t>
      </w:r>
    </w:p>
    <w:p>
      <w:pPr>
        <w:widowControl/>
      </w:pPr>
      <w:r>
        <w:rPr>
          <w:b w:val="0"/>
          <w:i w:val="0"/>
        </w:rPr>
        <w:t>Une cohorte longitudinale de 100 patients suivis environ trois ans a rapporté une augmentation annuelle moyenne plus importante de la masse et de la charge LGE chez les hommes que chez les femmes, avec des rythmes très dispersés. La quantification du LGE y reposait sur une méthode donnée ; les traitements et les génotypes n’étaient pas aléatoires. Ces taux décrivent une cohorte et ne sont ni une constante naturelle ni une différence minimale cliniquement importante. [R19]</w:t>
      </w:r>
    </w:p>
    <w:p>
      <w:pPr>
        <w:spacing w:before="140" w:after="200" w:line="264" w:lineRule="auto"/>
        <w:ind w:left="173" w:right="86"/>
        <w:shd w:fill="E5F5F7"/>
        <w:pBdr>
          <w:left w:val="single" w:sz="24" w:space="9" w:color="22A6B3"/>
        </w:pBdr>
      </w:pPr>
      <w:r>
        <w:rPr>
          <w:b/>
          <w:i w:val="0"/>
          <w:color w:val="12344D"/>
          <w:sz w:val="19"/>
        </w:rPr>
        <w:t>Règle temporelle.</w:t>
      </w:r>
      <w:r>
        <w:rPr>
          <w:b w:val="0"/>
          <w:i w:val="0"/>
          <w:color w:val="12344D"/>
          <w:sz w:val="19"/>
        </w:rPr>
        <w:t xml:space="preserve"> Le raisonnement doit préserver la date de chaque mesure, le statut thérapeutique, la méthode analytique et la région myocardique. Comparer deux nombres sans vérifier ces quatre dimensions fabrique une fausse cinétique.</w:t>
      </w:r>
    </w:p>
    <w:p>
      <w:pPr>
        <w:pStyle w:val="Heading1"/>
        <w:spacing w:before="360"/>
        <w:pBdr>
          <w:bottom w:val="single" w:sz="12" w:space="7" w:color="22A6B3"/>
        </w:pBdr>
      </w:pPr>
      <w:r>
        <w:t>PARTIE III — MÉCANISMES CARDIAQUES ET RELATIONS CAUSALES</w:t>
      </w:r>
    </w:p>
    <w:p>
      <w:pPr>
        <w:pStyle w:val="Heading2"/>
      </w:pPr>
      <w:r>
        <w:t>7. Stockage : substrat initial, signal composite</w:t>
      </w:r>
    </w:p>
    <w:p>
      <w:pPr>
        <w:pStyle w:val="Heading3"/>
      </w:pPr>
      <w:r>
        <w:t>7.1 Compartiments cellulaires</w:t>
      </w:r>
    </w:p>
    <w:p>
      <w:pPr>
        <w:widowControl/>
      </w:pPr>
      <w:r>
        <w:rPr>
          <w:b w:val="0"/>
          <w:i w:val="0"/>
        </w:rPr>
        <w:t>Le Gb3 et le lyso-Gb3 ne s’accumulent pas dans un compartiment cardiaque unique. Les inclusions lysosomales cardiomyocytaires sont emblématiques, mais les cellules vasculaires, les cellules de conduction et d’autres cellules cardiaques peuvent participer au phénotype. Le stockage n’est donc pas seulement une surcharge volumique ; il modifie le fonctionnement cellulaire et l’environnement tissulaire.</w:t>
      </w:r>
    </w:p>
    <w:p>
      <w:pPr>
        <w:widowControl/>
      </w:pPr>
      <w:r>
        <w:rPr>
          <w:b w:val="0"/>
          <w:i w:val="0"/>
        </w:rPr>
        <w:t>Les modèles expérimentaux attribuent au lyso-Gb3 des effets de signalisation profibrotique, inflammatoire et proliférative. Ces mécanismes sont plausibles et cohérents avec certaines observations humaines, mais un taux circulant de lyso-Gb3 n’est ni une mesure locale de son exposition myocardique ni une mesure de collagène. [R44]</w:t>
      </w:r>
    </w:p>
    <w:p>
      <w:pPr>
        <w:pStyle w:val="Heading3"/>
      </w:pPr>
      <w:r>
        <w:t>7.2 Relation au T1 natif</w:t>
      </w:r>
    </w:p>
    <w:p>
      <w:pPr>
        <w:widowControl/>
      </w:pPr>
      <w:r>
        <w:rPr>
          <w:b w:val="0"/>
          <w:i w:val="0"/>
        </w:rPr>
        <w:t>La réduction du T1 natif est l’une des signatures les plus reproductibles de la cardiomyopathie de Fabry. Elle est cohérente avec une modification de composition tissulaire par accumulation sphingolipidique et a été observée avant l’hypertrophie. Une étude combinant mapping et spectroscopie a renforcé la plausibilité d’un lien avec un signal lipidique. La relation reste toutefois indirecte : le T1 est une propriété de relaxation influencée par tous les constituants du voxel, pas un dosage moléculaire du Gb3. [R08–R10]</w:t>
      </w:r>
    </w:p>
    <w:p>
      <w:pPr>
        <w:pStyle w:val="Heading3"/>
      </w:pPr>
      <w:r>
        <w:t>7.3 Effets du traitement et dissociation des échelles</w:t>
      </w:r>
    </w:p>
    <w:p>
      <w:pPr>
        <w:widowControl/>
      </w:pPr>
      <w:r>
        <w:rPr>
          <w:b w:val="0"/>
          <w:i w:val="0"/>
        </w:rPr>
        <w:t>La substitution enzymatique peut réduire rapidement certains marqueurs plasmatiques et éliminer des dépôts dans certains compartiments vasculaires, sans nettoyer au même rythme les cardiomyocytes ni résorber une cicatrice collagénique. Des données histologiques de traitement ont montré cette différence de réponse entre endothélium microvasculaire et cardiomyocytes. [R43]</w:t>
      </w:r>
    </w:p>
    <w:p>
      <w:pPr>
        <w:widowControl/>
      </w:pPr>
      <w:r>
        <w:rPr>
          <w:b w:val="0"/>
          <w:i w:val="0"/>
        </w:rPr>
        <w:t>Une petite étude CMR après un an de traitement a observé des changements modestes de géométrie et de T1 dans certains groupes, tandis que les études sur maladie avancée suggèrent une capacité limitée à inverser le dommage établi. Les méta-analyses restent hétérogènes. Il est donc incorrect d’utiliser une baisse de lyso-Gb3 comme preuve de régression de fibrose, ou une stabilité du LGE à court terme comme preuve d’absence d’effet biologique. [R20–R21, R33]</w:t>
      </w:r>
    </w:p>
    <w:p>
      <w:pPr>
        <w:pStyle w:val="Heading2"/>
      </w:pPr>
      <w:r>
        <w:t>8. Hypertrophie : phénotype, pas mécanisme unique</w:t>
      </w:r>
    </w:p>
    <w:p>
      <w:pPr>
        <w:pStyle w:val="Heading3"/>
      </w:pPr>
      <w:r>
        <w:t>8.1 Morphologie habituelle et variantes</w:t>
      </w:r>
    </w:p>
    <w:p>
      <w:pPr>
        <w:widowControl/>
      </w:pPr>
      <w:r>
        <w:rPr>
          <w:b w:val="0"/>
          <w:i w:val="0"/>
        </w:rPr>
        <w:t>L’hypertrophie concentrique du ventricule gauche est fréquente, mais des géométries asymétriques septales, apicales ou plus focales existent. Une obstruction dynamique est possible sans être la signature dominante. Le ventricule droit peut également être hypertrophié. La variété morphologique impose de ne pas déduire l’étiologie de la seule distribution de l’épaisseur.</w:t>
      </w:r>
    </w:p>
    <w:p>
      <w:pPr>
        <w:widowControl/>
      </w:pPr>
      <w:r>
        <w:rPr>
          <w:b w:val="0"/>
          <w:i w:val="0"/>
        </w:rPr>
        <w:t>La masse ventriculaire inclut des choix analytiques. Les muscles papillaires et les trabéculations peuvent représenter une fraction disproportionnée de la masse dans Fabry. Les inclure dans le myocarde ou les attribuer au sang modifie la masse, les volumes et parfois la classification de l’hypertrophie. Des cohortes ont estimé cette contribution autour d’un cinquième de la masse chez certains patients, supérieure aux témoins. [R26–R27]</w:t>
      </w:r>
    </w:p>
    <w:p>
      <w:pPr>
        <w:pStyle w:val="Heading3"/>
      </w:pPr>
      <w:r>
        <w:t>8.2 Stockage, hypertrophie cellulaire et fibrose</w:t>
      </w:r>
    </w:p>
    <w:p>
      <w:pPr>
        <w:widowControl/>
      </w:pPr>
      <w:r>
        <w:rPr>
          <w:b w:val="0"/>
          <w:i w:val="0"/>
        </w:rPr>
        <w:t>Trois composantes contribuent à l’épaississement observé : contenu intracellulaire stocké, hypertrophie réelle des cardiomyocytes et expansion extracellulaire régionale. Leur proportion change avec le stade. Une hausse de masse n’est donc pas une hausse équivalente de stockage ni de fibrose.</w:t>
      </w:r>
    </w:p>
    <w:p>
      <w:pPr>
        <w:widowControl/>
      </w:pPr>
      <w:r>
        <w:rPr>
          <w:b w:val="0"/>
          <w:i w:val="0"/>
        </w:rPr>
        <w:t xml:space="preserve">Une masse stable peut masquer une substitution de myocytes par de la cicatrice ou une modification opposée de plusieurs compartiments. À l’inverse, une masse en hausse peut survenir sans nouveau LGE. Une analyse longitudinale doit éviter d’interpréter les trajectoires séparément : </w:t>
      </w:r>
      <w:r>
        <w:rPr>
          <w:b/>
          <w:i w:val="0"/>
        </w:rPr>
        <w:t>masse, T1, ECV, LGE et fonction forment un système de contraintes</w:t>
      </w:r>
      <w:r>
        <w:rPr>
          <w:b w:val="0"/>
          <w:i w:val="0"/>
        </w:rPr>
        <w:t>.</w:t>
      </w:r>
    </w:p>
    <w:p>
      <w:pPr>
        <w:pStyle w:val="Heading3"/>
      </w:pPr>
      <w:r>
        <w:t>8.3 Fraction d’éjection préservée</w:t>
      </w:r>
    </w:p>
    <w:p>
      <w:pPr>
        <w:widowControl/>
      </w:pPr>
      <w:r>
        <w:rPr>
          <w:b w:val="0"/>
          <w:i w:val="0"/>
        </w:rPr>
        <w:t>La fraction d’éjection est fréquemment préservée, voire élevée, aux stades précoces et intermédiaires. Cela reflète la géométrie et la contraction radiale globale ; cela n’exclut ni dysfonction longitudinale, ni élévation des pressions de remplissage, ni cicatrice régionale. Une baisse de fraction d’éjection est plutôt un signe tardif de décompensation ou de pathologie associée et ne convient pas pour détecter la fibrose précoce.</w:t>
      </w:r>
    </w:p>
    <w:p>
      <w:pPr>
        <w:pStyle w:val="Heading2"/>
      </w:pPr>
      <w:r>
        <w:t>9. Microcirculation, ischémie et dommage</w:t>
      </w:r>
    </w:p>
    <w:p>
      <w:pPr>
        <w:pStyle w:val="Heading3"/>
      </w:pPr>
      <w:r>
        <w:t>9.1 Dysfonction microvasculaire</w:t>
      </w:r>
    </w:p>
    <w:p>
      <w:pPr>
        <w:widowControl/>
      </w:pPr>
      <w:r>
        <w:rPr>
          <w:b w:val="0"/>
          <w:i w:val="0"/>
        </w:rPr>
        <w:t>Des études de perfusion quantitative ont montré une réduction du débit myocardique sous stress, parfois avant l’hypertrophie, associée à l’épaisseur, au T1, au T2 ou au LGE selon les cohortes. De petites séries anatomopathologiques chez des patients symptomatiques ont décrit un rétrécissement des artérioles et une fibrose. [R17–R18]</w:t>
      </w:r>
    </w:p>
    <w:p>
      <w:pPr>
        <w:widowControl/>
      </w:pPr>
      <w:r>
        <w:rPr>
          <w:b w:val="0"/>
          <w:i w:val="0"/>
        </w:rPr>
        <w:t>Cette chaîne rend plausible une contribution ischémique microvasculaire au dommage inférolatéral, mais elle n’établit pas que toute cicatrice de Fabry est « ischémique ». Les données sont observationnelles, les populations parfois sélectionnées pour angor, et la vulnérabilité régionale de la paroi inférolatérale n’est pas entièrement expliquée.</w:t>
      </w:r>
    </w:p>
    <w:p>
      <w:pPr>
        <w:pStyle w:val="Heading3"/>
      </w:pPr>
      <w:r>
        <w:t>9.2 Maladie coronarienne épicardique coexistante</w:t>
      </w:r>
    </w:p>
    <w:p>
      <w:pPr>
        <w:widowControl/>
      </w:pPr>
      <w:r>
        <w:rPr>
          <w:b w:val="0"/>
          <w:i w:val="0"/>
        </w:rPr>
        <w:t>Un patient Fabry peut également avoir une athérosclérose, une embolie coronaire ou un infarctus. Un LGE sous-endocardique ou transmural suivant un territoire coronaire doit être arbitré comme ischémique jusqu’à preuve du contraire ; il ne doit pas être absorbé dans une « charge de fibrose Fabry ». L’âge, les facteurs de risque, les symptômes, l’électrocardiogramme et l’imagerie coronaire peuvent modifier l’attribution causale.</w:t>
      </w:r>
    </w:p>
    <w:p>
      <w:pPr>
        <w:pStyle w:val="Heading3"/>
      </w:pPr>
      <w:r>
        <w:t>9.3 Lésion répétée et remplacement</w:t>
      </w:r>
    </w:p>
    <w:p>
      <w:pPr>
        <w:widowControl/>
      </w:pPr>
      <w:r>
        <w:rPr>
          <w:b w:val="0"/>
          <w:i w:val="0"/>
        </w:rPr>
        <w:t>Le modèle causal minimal est le suivant : vulnérabilité cellulaire et vasculaire → stress/lésion myocytaire répétés → mort cellulaire → remplacement collagénique. Ce modèle explique la relation entre troponine chronique, T2 régional et LGE, mais ne spécifie pas la contribution de chaque voie. Il doit rester ouvert aux mécanismes concurrents : toxicité directe du substrat, inflammation, ischémie microvasculaire, surcharge mécanique et facteurs génétiques modificateurs.</w:t>
      </w:r>
    </w:p>
    <w:p>
      <w:pPr>
        <w:pStyle w:val="Heading2"/>
      </w:pPr>
      <w:r>
        <w:t>10. Inflammation : preuve, signal et vocabulaire</w:t>
      </w:r>
    </w:p>
    <w:p>
      <w:pPr>
        <w:pStyle w:val="Heading3"/>
      </w:pPr>
      <w:r>
        <w:t>10.1 Ce que montre le T2</w:t>
      </w:r>
    </w:p>
    <w:p>
      <w:pPr>
        <w:widowControl/>
      </w:pPr>
      <w:r>
        <w:rPr>
          <w:b w:val="0"/>
          <w:i w:val="0"/>
        </w:rPr>
        <w:t>Le T2 augmente principalement avec la fraction d’eau mobile du tissu. Dans Fabry, une hausse focale du T2 dans la paroi basale inférolatérale, surtout lorsqu’elle coïncide avec LGE et troponine, soutient l’existence d’un dommage actif ou d’un œdème. Une moyenne globale peut diluer ce signal focal. [R14–R15]</w:t>
      </w:r>
    </w:p>
    <w:p>
      <w:pPr>
        <w:widowControl/>
      </w:pPr>
      <w:r>
        <w:rPr>
          <w:b w:val="0"/>
          <w:i w:val="0"/>
        </w:rPr>
        <w:t>Le T2 n’identifie ni la cellule inflammatoire, ni la cause, ni la chronicité exacte. Une infection, une myocardite d’une autre cause, un infarctus, une sarcoïdose, une surcharge systémique ou un artefact peuvent aussi augmenter le T2. Le libellé correct est « augmentation d’eau tissulaire compatible avec activité lésionnelle », non « inflammation prouvée ».</w:t>
      </w:r>
    </w:p>
    <w:p>
      <w:pPr>
        <w:pStyle w:val="Heading3"/>
      </w:pPr>
      <w:r>
        <w:t>10.2 Ce que montre la biopsie</w:t>
      </w:r>
    </w:p>
    <w:p>
      <w:pPr>
        <w:widowControl/>
      </w:pPr>
      <w:r>
        <w:rPr>
          <w:b w:val="0"/>
          <w:i w:val="0"/>
        </w:rPr>
        <w:t>Une cohorte de biopsies endomyocardiques a rapporté des critères histologiques de myocardite chez une proportion importante de patients sélectionnés et une association avec la sévérité. Cette observation prouve que des infiltrats inflammatoires peuvent exister ; elle ne fournit pas une prévalence populationnelle, car la décision de biopsier sélectionne les cas. [R16]</w:t>
      </w:r>
    </w:p>
    <w:p>
      <w:pPr>
        <w:widowControl/>
      </w:pPr>
      <w:r>
        <w:rPr>
          <w:b w:val="0"/>
          <w:i w:val="0"/>
        </w:rPr>
        <w:t>La biopsie elle-même échantillonne quelques fragments, souvent septaux, tandis que le LGE de Fabry est fréquemment inférolatéral. Une biopsie négative n’exclut donc pas un processus focal hors prélèvement. Une biopsie positive doit distinguer inflammation spécifique, dommage secondaire et pathologie coexistante.</w:t>
      </w:r>
    </w:p>
    <w:p>
      <w:pPr>
        <w:pStyle w:val="Heading3"/>
      </w:pPr>
      <w:r>
        <w:t>10.3 Inflammation et fibrose ne sont pas exclusives</w:t>
      </w:r>
    </w:p>
    <w:p>
      <w:pPr>
        <w:widowControl/>
      </w:pPr>
      <w:r>
        <w:rPr>
          <w:b w:val="0"/>
          <w:i w:val="0"/>
        </w:rPr>
        <w:t>Une région peut contenir simultanément cicatrice, myocytes encore viables, œdème et inflammation. Le LGE et le T2 ne forment pas une opposition binaire « chronique versus aigu ». La question scientifiquement utile devient : quelle part du signal correspond à une cicatrice établie et quelle part indique un tissu encore actif ? Cette séparation est importante pour une hypothèse de réversibilité, mais elle n’est pas résolue par un seul contraste.</w:t>
      </w:r>
    </w:p>
    <w:p>
      <w:pPr>
        <w:pStyle w:val="Heading2"/>
      </w:pPr>
      <w:r>
        <w:t>11. Fibrogenèse et architecture de la cicatrice</w:t>
      </w:r>
    </w:p>
    <w:p>
      <w:pPr>
        <w:pStyle w:val="Heading3"/>
      </w:pPr>
      <w:r>
        <w:t>11.1 De la matrice à la cicatrice</w:t>
      </w:r>
    </w:p>
    <w:p>
      <w:pPr>
        <w:widowControl/>
      </w:pPr>
      <w:r>
        <w:rPr>
          <w:b w:val="0"/>
          <w:i w:val="0"/>
        </w:rPr>
        <w:t>La fibrogenèse implique activation des fibroblastes, dépôt et réorganisation de matrice, avec des signaux issus des cardiomyocytes, de l’endothélium, de l’immunité et de la charge mécanique. Dans Fabry, l’importance de chaque voie chez l’humain reste incomplètement quantifiée. Les marqueurs circulants de renouvellement du collagène ne sont pas validés comme substituts de charge myocardique spécifique.</w:t>
      </w:r>
    </w:p>
    <w:p>
      <w:pPr>
        <w:pStyle w:val="Heading3"/>
      </w:pPr>
      <w:r>
        <w:t>11.2 Distribution basale inférolatérale</w:t>
      </w:r>
    </w:p>
    <w:p>
      <w:pPr>
        <w:widowControl/>
      </w:pPr>
      <w:r>
        <w:rPr>
          <w:b w:val="0"/>
          <w:i w:val="0"/>
        </w:rPr>
        <w:t>Le LGE basal inférolatéral mésopariétal est un signal d’orientation fort mais non pathognomonique. Une myocardite ancienne peut produire un motif proche ; la dystrophinopathie, la sarcoïdose et certaines cardiomyopathies génétiques peuvent toucher la même région. Aux stades avancés de Fabry, le LGE peut dépasser cette localisation. Une règle qui n’accepte que le motif « classique » perdrait les formes avancées ; une règle qui attribue tout LGE non ischémique à Fabry perdrait la spécificité.</w:t>
      </w:r>
    </w:p>
    <w:p>
      <w:pPr>
        <w:pStyle w:val="Heading3"/>
      </w:pPr>
      <w:r>
        <w:t>11.3 Fibrose diffuse et limites de la preuve</w:t>
      </w:r>
    </w:p>
    <w:p>
      <w:pPr>
        <w:widowControl/>
      </w:pPr>
      <w:r>
        <w:rPr>
          <w:b w:val="0"/>
          <w:i w:val="0"/>
        </w:rPr>
        <w:t>L’ECV globale souvent normale dans les phases précoces est cohérente avec un stockage intracellulaire. Elle ne clôt pas la question d’une fibrose interstitielle microscopique. Les études histologiques systématiques, quantitatives et couplées à un mapping régional sont rares. L’existence, l’ampleur et la cinétique d’une composante diffuse hors LGE restent moins bien établies que celles de la cicatrice focale.</w:t>
      </w:r>
    </w:p>
    <w:p>
      <w:pPr>
        <w:pStyle w:val="Heading3"/>
      </w:pPr>
      <w:r>
        <w:t>11.4 Arythmogénicité</w:t>
      </w:r>
    </w:p>
    <w:p>
      <w:pPr>
        <w:widowControl/>
      </w:pPr>
      <w:r>
        <w:rPr>
          <w:b w:val="0"/>
          <w:i w:val="0"/>
        </w:rPr>
        <w:t>Une cicatrice hétérogène peut former un substrat de réentrée ; l’hypertrophie, la maladie de conduction, l’atteinte atriale et les perturbations autonomes contribuent aussi au risque rythmique. Le LGE est associé aux événements dans des cohortes, mais la causalité individuelle et les seuils décisionnels ne peuvent être importés d’autres cardiomyopathies sans validation Fabry.</w:t>
      </w:r>
    </w:p>
    <w:p>
      <w:pPr>
        <w:pStyle w:val="Heading2"/>
      </w:pPr>
      <w:r>
        <w:t>12. Modèle causal explicite</w:t>
      </w:r>
    </w:p>
    <w:p>
      <w:pPr>
        <w:widowControl/>
      </w:pPr>
      <w:r>
        <w:rPr>
          <w:b w:val="0"/>
          <w:i w:val="0"/>
        </w:rPr>
        <w:t>Le modèle de travail relie les niveaux sans les fusionner :</w:t>
      </w:r>
    </w:p>
    <w:p>
      <w:pPr>
        <w:widowControl/>
      </w:pPr>
      <w:r>
        <w:rPr>
          <w:b/>
          <w:i w:val="0"/>
        </w:rPr>
        <w:t>Variant GLA pathogène → déficit α-galactosidase A → accumulation Gb3/lyso-Gb3 → perturbation cardiomyocytaire et vasculaire → stockage détectable et hypertrophie → stress microvasculaire/inflammatoire et lésion myocytaire → mort cellulaire → fibrose de remplacement → dysfonction mécanique, arythmies et insuffisance cardiaque.</w:t>
      </w:r>
    </w:p>
    <w:p>
      <w:pPr>
        <w:widowControl/>
      </w:pPr>
      <w:r>
        <w:rPr>
          <w:b w:val="0"/>
          <w:i w:val="0"/>
        </w:rPr>
        <w:t>Chaque flèche possède des modificateurs : inactivation du X, activité résiduelle, âge, variant, pression artérielle, fonction rénale, coronaropathie, rythme, traitement spécifique, anticorps neutralisants, délai diagnostique et autres variants cardiomyopathiques.</w:t>
      </w:r>
    </w:p>
    <w:p>
      <w:pPr>
        <w:widowControl/>
      </w:pPr>
      <w:r>
        <w:rPr>
          <w:b w:val="0"/>
          <w:i w:val="0"/>
        </w:rPr>
        <w:t>Le modèle fait quatre prédictions réfutables :</w:t>
      </w:r>
    </w:p>
    <w:p>
      <w:pPr>
        <w:pStyle w:val="ListNumber"/>
        <w:numPr>
          <w:ilvl w:val="0"/>
          <w:numId w:val="11"/>
        </w:numPr>
      </w:pPr>
      <w:r>
        <w:rPr>
          <w:b w:val="0"/>
          <w:i w:val="0"/>
        </w:rPr>
        <w:t>les marqueurs de substrat ne doivent pas être parfaitement corrélés à la cicatrice ;</w:t>
      </w:r>
    </w:p>
    <w:p>
      <w:pPr>
        <w:pStyle w:val="ListNumber"/>
        <w:numPr>
          <w:ilvl w:val="0"/>
          <w:numId w:val="11"/>
        </w:numPr>
      </w:pPr>
      <w:r>
        <w:rPr>
          <w:b w:val="0"/>
          <w:i w:val="0"/>
        </w:rPr>
        <w:t>l’activité lésionnelle peut précéder, accompagner ou persister au bord d’une cicatrice ;</w:t>
      </w:r>
    </w:p>
    <w:p>
      <w:pPr>
        <w:pStyle w:val="ListNumber"/>
        <w:numPr>
          <w:ilvl w:val="0"/>
          <w:numId w:val="11"/>
        </w:numPr>
      </w:pPr>
      <w:r>
        <w:rPr>
          <w:b w:val="0"/>
          <w:i w:val="0"/>
        </w:rPr>
        <w:t>une intervention réduisant le substrat peut modifier tôt les biomarqueurs circulants mais tardivement — ou jamais — une cicatrice établie ;</w:t>
      </w:r>
    </w:p>
    <w:p>
      <w:pPr>
        <w:pStyle w:val="ListNumber"/>
        <w:numPr>
          <w:ilvl w:val="0"/>
          <w:numId w:val="11"/>
        </w:numPr>
      </w:pPr>
      <w:r>
        <w:rPr>
          <w:b w:val="0"/>
          <w:i w:val="0"/>
        </w:rPr>
        <w:t>les trajectoires diffèrent entre hommes et femmes et ne se résument pas à un simple décalage d’âge.</w:t>
      </w:r>
    </w:p>
    <w:p>
      <w:r>
        <w:br w:type="page"/>
      </w:r>
    </w:p>
    <w:p>
      <w:pPr>
        <w:pStyle w:val="Heading1"/>
        <w:pBdr>
          <w:bottom w:val="single" w:sz="12" w:space="7" w:color="22A6B3"/>
        </w:pBdr>
      </w:pPr>
      <w:r>
        <w:t>PARTIE IV — CINÉTIQUE DES BIOMARQUEURS</w:t>
      </w:r>
    </w:p>
    <w:p>
      <w:pPr>
        <w:pStyle w:val="Heading2"/>
      </w:pPr>
      <w:r>
        <w:t>13. Pourquoi la cinétique appartient au construit</w:t>
      </w:r>
    </w:p>
    <w:p>
      <w:pPr>
        <w:widowControl/>
      </w:pPr>
      <w:r>
        <w:rPr>
          <w:b w:val="0"/>
          <w:i w:val="0"/>
        </w:rPr>
        <w:t>Un biomarqueur instantané peut répondre en quelques heures à une lésion, en quelques semaines à une charge hémodynamique, en quelques mois à un changement cellulaire ou en plusieurs années à une progression cicatricielle. La comparaison de marqueurs à des échelles temporelles incompatibles produit des conclusions causales erronées.</w:t>
      </w:r>
    </w:p>
    <w:p>
      <w:pPr>
        <w:widowControl/>
      </w:pPr>
      <w:r>
        <w:rPr>
          <w:b w:val="0"/>
          <w:i w:val="0"/>
        </w:rPr>
        <w:t>Le mot « évolution » doit donc toujours préciser : variation absolue ou relative, délai, variabilité analytique, variabilité biologique, événement intercurrent, modification thérapeutique et seuil de changement dépassant l’erreur de mesure.</w:t>
      </w:r>
    </w:p>
    <w:p>
      <w:pPr>
        <w:pStyle w:val="Heading2"/>
      </w:pPr>
      <w:r>
        <w:t>14. Matrice de cinétique et de signification</w:t>
      </w:r>
    </w:p>
    <w:tbl>
      <w:tblPr>
        <w:tblStyle w:val="TableGrid"/>
        <w:tblW w:type="dxa" w:w="9360"/>
        <w:jc w:val="center"/>
        <w:tblLayout w:type="fixed"/>
        <w:tblLook w:firstColumn="1" w:firstRow="1" w:lastColumn="0" w:lastRow="0" w:noHBand="0" w:noVBand="1" w:val="04A0"/>
        <w:tblBorders>
          <w:top w:val="single" w:sz="5" w:space="0" w:color="CCD9DF"/>
          <w:left w:val="single" w:sz="5" w:space="0" w:color="CCD9DF"/>
          <w:bottom w:val="single" w:sz="5" w:space="0" w:color="CCD9DF"/>
          <w:right w:val="single" w:sz="5" w:space="0" w:color="CCD9DF"/>
          <w:insideH w:val="single" w:sz="5" w:space="0" w:color="CCD9DF"/>
          <w:insideV w:val="single" w:sz="5" w:space="0" w:color="CCD9DF"/>
        </w:tblBorders>
      </w:tblPr>
      <w:tblGrid>
        <w:gridCol w:w="1400"/>
        <w:gridCol w:w="1700"/>
        <w:gridCol w:w="1700"/>
        <w:gridCol w:w="2260"/>
        <w:gridCol w:w="2300"/>
      </w:tblGrid>
      <w:tr>
        <w:trPr>
          <w:cantSplit/>
          <w:tblHeader w:val="true"/>
        </w:trPr>
        <w:tc>
          <w:tcPr>
            <w:tcW w:type="dxa" w:w="1400"/>
            <w:vAlign w:val="center"/>
            <w:tcMar>
              <w:top w:w="92" w:type="dxa"/>
              <w:start w:w="105" w:type="dxa"/>
              <w:bottom w:w="92" w:type="dxa"/>
              <w:end w:w="105" w:type="dxa"/>
            </w:tcMar>
            <w:shd w:fill="12344D"/>
          </w:tcPr>
          <w:p>
            <w:pPr>
              <w:spacing w:after="0" w:line="240" w:lineRule="auto"/>
              <w:jc w:val="left"/>
            </w:pPr>
            <w:r>
              <w:rPr>
                <w:b/>
                <w:i w:val="0"/>
                <w:color w:val="FFFFFF"/>
                <w:sz w:val="15"/>
              </w:rPr>
              <w:t>Marqueur</w:t>
            </w:r>
          </w:p>
        </w:tc>
        <w:tc>
          <w:tcPr>
            <w:tcW w:type="dxa" w:w="1700"/>
            <w:vAlign w:val="center"/>
            <w:tcMar>
              <w:top w:w="92" w:type="dxa"/>
              <w:start w:w="105" w:type="dxa"/>
              <w:bottom w:w="92" w:type="dxa"/>
              <w:end w:w="105" w:type="dxa"/>
            </w:tcMar>
            <w:shd w:fill="12344D"/>
          </w:tcPr>
          <w:p>
            <w:pPr>
              <w:spacing w:after="0" w:line="240" w:lineRule="auto"/>
              <w:jc w:val="left"/>
            </w:pPr>
            <w:r>
              <w:rPr>
                <w:b/>
                <w:i w:val="0"/>
                <w:color w:val="FFFFFF"/>
                <w:sz w:val="15"/>
              </w:rPr>
              <w:t>Niveau biologique principal</w:t>
            </w:r>
          </w:p>
        </w:tc>
        <w:tc>
          <w:tcPr>
            <w:tcW w:type="dxa" w:w="1700"/>
            <w:vAlign w:val="center"/>
            <w:tcMar>
              <w:top w:w="92" w:type="dxa"/>
              <w:start w:w="105" w:type="dxa"/>
              <w:bottom w:w="92" w:type="dxa"/>
              <w:end w:w="105" w:type="dxa"/>
            </w:tcMar>
            <w:shd w:fill="12344D"/>
          </w:tcPr>
          <w:p>
            <w:pPr>
              <w:spacing w:after="0" w:line="240" w:lineRule="auto"/>
              <w:jc w:val="left"/>
            </w:pPr>
            <w:r>
              <w:rPr>
                <w:b/>
                <w:i w:val="0"/>
                <w:color w:val="FFFFFF"/>
                <w:sz w:val="15"/>
              </w:rPr>
              <w:t>Cinétique plausible</w:t>
            </w:r>
          </w:p>
        </w:tc>
        <w:tc>
          <w:tcPr>
            <w:tcW w:type="dxa" w:w="2260"/>
            <w:vAlign w:val="center"/>
            <w:tcMar>
              <w:top w:w="92" w:type="dxa"/>
              <w:start w:w="105" w:type="dxa"/>
              <w:bottom w:w="92" w:type="dxa"/>
              <w:end w:w="105" w:type="dxa"/>
            </w:tcMar>
            <w:shd w:fill="12344D"/>
          </w:tcPr>
          <w:p>
            <w:pPr>
              <w:spacing w:after="0" w:line="240" w:lineRule="auto"/>
              <w:jc w:val="left"/>
            </w:pPr>
            <w:r>
              <w:rPr>
                <w:b/>
                <w:i w:val="0"/>
                <w:color w:val="FFFFFF"/>
                <w:sz w:val="15"/>
              </w:rPr>
              <w:t>Confusions majeures</w:t>
            </w:r>
          </w:p>
        </w:tc>
        <w:tc>
          <w:tcPr>
            <w:tcW w:type="dxa" w:w="2300"/>
            <w:vAlign w:val="center"/>
            <w:tcMar>
              <w:top w:w="92" w:type="dxa"/>
              <w:start w:w="105" w:type="dxa"/>
              <w:bottom w:w="92" w:type="dxa"/>
              <w:end w:w="105" w:type="dxa"/>
            </w:tcMar>
            <w:shd w:fill="12344D"/>
          </w:tcPr>
          <w:p>
            <w:pPr>
              <w:spacing w:after="0" w:line="240" w:lineRule="auto"/>
              <w:jc w:val="left"/>
            </w:pPr>
            <w:r>
              <w:rPr>
                <w:b/>
                <w:i w:val="0"/>
                <w:color w:val="FFFFFF"/>
                <w:sz w:val="15"/>
              </w:rPr>
              <w:t>Relation légitime à la fibrose</w:t>
            </w:r>
          </w:p>
        </w:tc>
      </w:tr>
      <w:tr>
        <w:trPr>
          <w:cantSplit/>
        </w:trPr>
        <w:tc>
          <w:tcPr>
            <w:tcW w:type="dxa" w:w="1400"/>
            <w:vAlign w:val="center"/>
            <w:tcMar>
              <w:top w:w="92" w:type="dxa"/>
              <w:start w:w="105" w:type="dxa"/>
              <w:bottom w:w="92" w:type="dxa"/>
              <w:end w:w="105" w:type="dxa"/>
            </w:tcMar>
            <w:shd w:fill="FFFFFF"/>
          </w:tcPr>
          <w:p>
            <w:pPr>
              <w:spacing w:after="0" w:line="240" w:lineRule="auto"/>
              <w:jc w:val="left"/>
            </w:pPr>
            <w:r>
              <w:rPr>
                <w:b w:val="0"/>
                <w:i w:val="0"/>
                <w:color w:val="24323D"/>
                <w:sz w:val="15"/>
              </w:rPr>
              <w:t>Activité α-galactosidase A</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5"/>
              </w:rPr>
              <w:t>Fonction enzymatique systémique</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5"/>
              </w:rPr>
              <w:t>Stable par génotype hors traitement ; pic transitoire après infusion selon prélèvement</w:t>
            </w:r>
          </w:p>
        </w:tc>
        <w:tc>
          <w:tcPr>
            <w:tcW w:type="dxa" w:w="2260"/>
            <w:vAlign w:val="center"/>
            <w:tcMar>
              <w:top w:w="92" w:type="dxa"/>
              <w:start w:w="105" w:type="dxa"/>
              <w:bottom w:w="92" w:type="dxa"/>
              <w:end w:w="105" w:type="dxa"/>
            </w:tcMar>
            <w:shd w:fill="FFFFFF"/>
          </w:tcPr>
          <w:p>
            <w:pPr>
              <w:spacing w:after="0" w:line="240" w:lineRule="auto"/>
              <w:jc w:val="left"/>
            </w:pPr>
            <w:r>
              <w:rPr>
                <w:b w:val="0"/>
                <w:i w:val="0"/>
                <w:color w:val="24323D"/>
                <w:sz w:val="15"/>
              </w:rPr>
              <w:t>Méthode, tissu dosé, moment post-infusion, activité parfois normale chez la femme</w:t>
            </w:r>
          </w:p>
        </w:tc>
        <w:tc>
          <w:tcPr>
            <w:tcW w:type="dxa" w:w="2300"/>
            <w:vAlign w:val="center"/>
            <w:tcMar>
              <w:top w:w="92" w:type="dxa"/>
              <w:start w:w="105" w:type="dxa"/>
              <w:bottom w:w="92" w:type="dxa"/>
              <w:end w:w="105" w:type="dxa"/>
            </w:tcMar>
            <w:shd w:fill="FFFFFF"/>
          </w:tcPr>
          <w:p>
            <w:pPr>
              <w:spacing w:after="0" w:line="240" w:lineRule="auto"/>
              <w:jc w:val="left"/>
            </w:pPr>
            <w:r>
              <w:rPr>
                <w:b w:val="0"/>
                <w:i w:val="0"/>
                <w:color w:val="24323D"/>
                <w:sz w:val="15"/>
              </w:rPr>
              <w:t>Contexte étiologique, non charge fibreuse</w:t>
            </w:r>
          </w:p>
        </w:tc>
      </w:tr>
      <w:tr>
        <w:trPr>
          <w:cantSplit/>
        </w:trPr>
        <w:tc>
          <w:tcPr>
            <w:tcW w:type="dxa" w:w="1400"/>
            <w:vAlign w:val="center"/>
            <w:tcMar>
              <w:top w:w="92" w:type="dxa"/>
              <w:start w:w="105" w:type="dxa"/>
              <w:bottom w:w="92" w:type="dxa"/>
              <w:end w:w="105" w:type="dxa"/>
            </w:tcMar>
            <w:shd w:fill="F2F8FA"/>
          </w:tcPr>
          <w:p>
            <w:pPr>
              <w:spacing w:after="0" w:line="240" w:lineRule="auto"/>
              <w:jc w:val="left"/>
            </w:pPr>
            <w:r>
              <w:rPr>
                <w:b w:val="0"/>
                <w:i w:val="0"/>
                <w:color w:val="24323D"/>
                <w:sz w:val="15"/>
              </w:rPr>
              <w:t>Lyso-Gb3</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5"/>
              </w:rPr>
              <w:t>Exposition/substrat systémique</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5"/>
              </w:rPr>
              <w:t>Peut diminuer relativement tôt sous traitement ; trajectoire dépendant du variant et du sexe</w:t>
            </w:r>
          </w:p>
        </w:tc>
        <w:tc>
          <w:tcPr>
            <w:tcW w:type="dxa" w:w="2260"/>
            <w:vAlign w:val="center"/>
            <w:tcMar>
              <w:top w:w="92" w:type="dxa"/>
              <w:start w:w="105" w:type="dxa"/>
              <w:bottom w:w="92" w:type="dxa"/>
              <w:end w:w="105" w:type="dxa"/>
            </w:tcMar>
            <w:shd w:fill="F2F8FA"/>
          </w:tcPr>
          <w:p>
            <w:pPr>
              <w:spacing w:after="0" w:line="240" w:lineRule="auto"/>
              <w:jc w:val="left"/>
            </w:pPr>
            <w:r>
              <w:rPr>
                <w:b w:val="0"/>
                <w:i w:val="0"/>
                <w:color w:val="24323D"/>
                <w:sz w:val="15"/>
              </w:rPr>
              <w:t>Fonction rénale, méthode, anticorps, timing, faible niveau dans formes tardives/femmes</w:t>
            </w:r>
          </w:p>
        </w:tc>
        <w:tc>
          <w:tcPr>
            <w:tcW w:type="dxa" w:w="2300"/>
            <w:vAlign w:val="center"/>
            <w:tcMar>
              <w:top w:w="92" w:type="dxa"/>
              <w:start w:w="105" w:type="dxa"/>
              <w:bottom w:w="92" w:type="dxa"/>
              <w:end w:w="105" w:type="dxa"/>
            </w:tcMar>
            <w:shd w:fill="F2F8FA"/>
          </w:tcPr>
          <w:p>
            <w:pPr>
              <w:spacing w:after="0" w:line="240" w:lineRule="auto"/>
              <w:jc w:val="left"/>
            </w:pPr>
            <w:r>
              <w:rPr>
                <w:b w:val="0"/>
                <w:i w:val="0"/>
                <w:color w:val="24323D"/>
                <w:sz w:val="15"/>
              </w:rPr>
              <w:t>En amont ; ni mesure myocardique ni preuve de régression de cicatrice</w:t>
            </w:r>
          </w:p>
        </w:tc>
      </w:tr>
      <w:tr>
        <w:trPr>
          <w:cantSplit/>
        </w:trPr>
        <w:tc>
          <w:tcPr>
            <w:tcW w:type="dxa" w:w="1400"/>
            <w:vAlign w:val="center"/>
            <w:tcMar>
              <w:top w:w="92" w:type="dxa"/>
              <w:start w:w="105" w:type="dxa"/>
              <w:bottom w:w="92" w:type="dxa"/>
              <w:end w:w="105" w:type="dxa"/>
            </w:tcMar>
            <w:shd w:fill="FFFFFF"/>
          </w:tcPr>
          <w:p>
            <w:pPr>
              <w:spacing w:after="0" w:line="240" w:lineRule="auto"/>
              <w:jc w:val="left"/>
            </w:pPr>
            <w:r>
              <w:rPr>
                <w:b w:val="0"/>
                <w:i w:val="0"/>
                <w:color w:val="24323D"/>
                <w:sz w:val="15"/>
              </w:rPr>
              <w:t>hs-troponine</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5"/>
              </w:rPr>
              <w:t>Lésion cardiomyocytaire</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5"/>
              </w:rPr>
              <w:t>Variations aiguës heures–jours ; plateau chronique possible</w:t>
            </w:r>
          </w:p>
        </w:tc>
        <w:tc>
          <w:tcPr>
            <w:tcW w:type="dxa" w:w="2260"/>
            <w:vAlign w:val="center"/>
            <w:tcMar>
              <w:top w:w="92" w:type="dxa"/>
              <w:start w:w="105" w:type="dxa"/>
              <w:bottom w:w="92" w:type="dxa"/>
              <w:end w:w="105" w:type="dxa"/>
            </w:tcMar>
            <w:shd w:fill="FFFFFF"/>
          </w:tcPr>
          <w:p>
            <w:pPr>
              <w:spacing w:after="0" w:line="240" w:lineRule="auto"/>
              <w:jc w:val="left"/>
            </w:pPr>
            <w:r>
              <w:rPr>
                <w:b w:val="0"/>
                <w:i w:val="0"/>
                <w:color w:val="24323D"/>
                <w:sz w:val="15"/>
              </w:rPr>
              <w:t>Syndrome coronaire, tachyarythmie, myocardite, insuffisance rénale, effort</w:t>
            </w:r>
          </w:p>
        </w:tc>
        <w:tc>
          <w:tcPr>
            <w:tcW w:type="dxa" w:w="2300"/>
            <w:vAlign w:val="center"/>
            <w:tcMar>
              <w:top w:w="92" w:type="dxa"/>
              <w:start w:w="105" w:type="dxa"/>
              <w:bottom w:w="92" w:type="dxa"/>
              <w:end w:w="105" w:type="dxa"/>
            </w:tcMar>
            <w:shd w:fill="FFFFFF"/>
          </w:tcPr>
          <w:p>
            <w:pPr>
              <w:spacing w:after="0" w:line="240" w:lineRule="auto"/>
              <w:jc w:val="left"/>
            </w:pPr>
            <w:r>
              <w:rPr>
                <w:b w:val="0"/>
                <w:i w:val="0"/>
                <w:color w:val="24323D"/>
                <w:sz w:val="15"/>
              </w:rPr>
              <w:t>Activité/dommage associé au LGE/T2, pas collagène</w:t>
            </w:r>
          </w:p>
        </w:tc>
      </w:tr>
      <w:tr>
        <w:trPr>
          <w:cantSplit/>
        </w:trPr>
        <w:tc>
          <w:tcPr>
            <w:tcW w:type="dxa" w:w="1400"/>
            <w:vAlign w:val="center"/>
            <w:tcMar>
              <w:top w:w="92" w:type="dxa"/>
              <w:start w:w="105" w:type="dxa"/>
              <w:bottom w:w="92" w:type="dxa"/>
              <w:end w:w="105" w:type="dxa"/>
            </w:tcMar>
            <w:shd w:fill="F2F8FA"/>
          </w:tcPr>
          <w:p>
            <w:pPr>
              <w:spacing w:after="0" w:line="240" w:lineRule="auto"/>
              <w:jc w:val="left"/>
            </w:pPr>
            <w:r>
              <w:rPr>
                <w:b w:val="0"/>
                <w:i w:val="0"/>
                <w:color w:val="24323D"/>
                <w:sz w:val="15"/>
              </w:rPr>
              <w:t>NT-proBNP</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5"/>
              </w:rPr>
              <w:t>Stress pariétal et pression de remplissage</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5"/>
              </w:rPr>
              <w:t>Heures–semaines ; dépend du rythme et du volume</w:t>
            </w:r>
          </w:p>
        </w:tc>
        <w:tc>
          <w:tcPr>
            <w:tcW w:type="dxa" w:w="2260"/>
            <w:vAlign w:val="center"/>
            <w:tcMar>
              <w:top w:w="92" w:type="dxa"/>
              <w:start w:w="105" w:type="dxa"/>
              <w:bottom w:w="92" w:type="dxa"/>
              <w:end w:w="105" w:type="dxa"/>
            </w:tcMar>
            <w:shd w:fill="F2F8FA"/>
          </w:tcPr>
          <w:p>
            <w:pPr>
              <w:spacing w:after="0" w:line="240" w:lineRule="auto"/>
              <w:jc w:val="left"/>
            </w:pPr>
            <w:r>
              <w:rPr>
                <w:b w:val="0"/>
                <w:i w:val="0"/>
                <w:color w:val="24323D"/>
                <w:sz w:val="15"/>
              </w:rPr>
              <w:t>Âge, fibrillation atriale, fonction rénale, obésité, valvulopathie</w:t>
            </w:r>
          </w:p>
        </w:tc>
        <w:tc>
          <w:tcPr>
            <w:tcW w:type="dxa" w:w="2300"/>
            <w:vAlign w:val="center"/>
            <w:tcMar>
              <w:top w:w="92" w:type="dxa"/>
              <w:start w:w="105" w:type="dxa"/>
              <w:bottom w:w="92" w:type="dxa"/>
              <w:end w:w="105" w:type="dxa"/>
            </w:tcMar>
            <w:shd w:fill="F2F8FA"/>
          </w:tcPr>
          <w:p>
            <w:pPr>
              <w:spacing w:after="0" w:line="240" w:lineRule="auto"/>
              <w:jc w:val="left"/>
            </w:pPr>
            <w:r>
              <w:rPr>
                <w:b w:val="0"/>
                <w:i w:val="0"/>
                <w:color w:val="24323D"/>
                <w:sz w:val="15"/>
              </w:rPr>
              <w:t>Retentissement hémodynamique, non fibrose spécifique</w:t>
            </w:r>
          </w:p>
        </w:tc>
      </w:tr>
      <w:tr>
        <w:trPr>
          <w:cantSplit/>
        </w:trPr>
        <w:tc>
          <w:tcPr>
            <w:tcW w:type="dxa" w:w="1400"/>
            <w:vAlign w:val="center"/>
            <w:tcMar>
              <w:top w:w="92" w:type="dxa"/>
              <w:start w:w="105" w:type="dxa"/>
              <w:bottom w:w="92" w:type="dxa"/>
              <w:end w:w="105" w:type="dxa"/>
            </w:tcMar>
            <w:shd w:fill="FFFFFF"/>
          </w:tcPr>
          <w:p>
            <w:pPr>
              <w:spacing w:after="0" w:line="240" w:lineRule="auto"/>
              <w:jc w:val="left"/>
            </w:pPr>
            <w:r>
              <w:rPr>
                <w:b w:val="0"/>
                <w:i w:val="0"/>
                <w:color w:val="24323D"/>
                <w:sz w:val="15"/>
              </w:rPr>
              <w:t>T1 natif</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5"/>
              </w:rPr>
              <w:t>Composition tissulaire composite</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5"/>
              </w:rPr>
              <w:t>Changement attendu lent, mais sensible à technique et hémodynamique</w:t>
            </w:r>
          </w:p>
        </w:tc>
        <w:tc>
          <w:tcPr>
            <w:tcW w:type="dxa" w:w="2260"/>
            <w:vAlign w:val="center"/>
            <w:tcMar>
              <w:top w:w="92" w:type="dxa"/>
              <w:start w:w="105" w:type="dxa"/>
              <w:bottom w:w="92" w:type="dxa"/>
              <w:end w:w="105" w:type="dxa"/>
            </w:tcMar>
            <w:shd w:fill="FFFFFF"/>
          </w:tcPr>
          <w:p>
            <w:pPr>
              <w:spacing w:after="0" w:line="240" w:lineRule="auto"/>
              <w:jc w:val="left"/>
            </w:pPr>
            <w:r>
              <w:rPr>
                <w:b w:val="0"/>
                <w:i w:val="0"/>
                <w:color w:val="24323D"/>
                <w:sz w:val="15"/>
              </w:rPr>
              <w:t>Stockage, fibrose, œdème, fer, champ, séquence, sang, volume partiel</w:t>
            </w:r>
          </w:p>
        </w:tc>
        <w:tc>
          <w:tcPr>
            <w:tcW w:type="dxa" w:w="2300"/>
            <w:vAlign w:val="center"/>
            <w:tcMar>
              <w:top w:w="92" w:type="dxa"/>
              <w:start w:w="105" w:type="dxa"/>
              <w:bottom w:w="92" w:type="dxa"/>
              <w:end w:w="105" w:type="dxa"/>
            </w:tcMar>
            <w:shd w:fill="FFFFFF"/>
          </w:tcPr>
          <w:p>
            <w:pPr>
              <w:spacing w:after="0" w:line="240" w:lineRule="auto"/>
              <w:jc w:val="left"/>
            </w:pPr>
            <w:r>
              <w:rPr>
                <w:b w:val="0"/>
                <w:i w:val="0"/>
                <w:color w:val="24323D"/>
                <w:sz w:val="15"/>
              </w:rPr>
              <w:t>Contexte de stockage et pseudonormalisation, non mesure linéaire de fibrose</w:t>
            </w:r>
          </w:p>
        </w:tc>
      </w:tr>
      <w:tr>
        <w:trPr>
          <w:cantSplit/>
        </w:trPr>
        <w:tc>
          <w:tcPr>
            <w:tcW w:type="dxa" w:w="1400"/>
            <w:vAlign w:val="center"/>
            <w:tcMar>
              <w:top w:w="92" w:type="dxa"/>
              <w:start w:w="105" w:type="dxa"/>
              <w:bottom w:w="92" w:type="dxa"/>
              <w:end w:w="105" w:type="dxa"/>
            </w:tcMar>
            <w:shd w:fill="F2F8FA"/>
          </w:tcPr>
          <w:p>
            <w:pPr>
              <w:spacing w:after="0" w:line="240" w:lineRule="auto"/>
              <w:jc w:val="left"/>
            </w:pPr>
            <w:r>
              <w:rPr>
                <w:b w:val="0"/>
                <w:i w:val="0"/>
                <w:color w:val="24323D"/>
                <w:sz w:val="15"/>
              </w:rPr>
              <w:t>T2</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5"/>
              </w:rPr>
              <w:t>Eau tissulaire</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5"/>
              </w:rPr>
              <w:t>Peut changer avec activité lésionnelle sur des jours–mois ; chronique possible</w:t>
            </w:r>
          </w:p>
        </w:tc>
        <w:tc>
          <w:tcPr>
            <w:tcW w:type="dxa" w:w="2260"/>
            <w:vAlign w:val="center"/>
            <w:tcMar>
              <w:top w:w="92" w:type="dxa"/>
              <w:start w:w="105" w:type="dxa"/>
              <w:bottom w:w="92" w:type="dxa"/>
              <w:end w:w="105" w:type="dxa"/>
            </w:tcMar>
            <w:shd w:fill="F2F8FA"/>
          </w:tcPr>
          <w:p>
            <w:pPr>
              <w:spacing w:after="0" w:line="240" w:lineRule="auto"/>
              <w:jc w:val="left"/>
            </w:pPr>
            <w:r>
              <w:rPr>
                <w:b w:val="0"/>
                <w:i w:val="0"/>
                <w:color w:val="24323D"/>
                <w:sz w:val="15"/>
              </w:rPr>
              <w:t>Artefact, rythme, myocardite, infarctus, congestion</w:t>
            </w:r>
          </w:p>
        </w:tc>
        <w:tc>
          <w:tcPr>
            <w:tcW w:type="dxa" w:w="2300"/>
            <w:vAlign w:val="center"/>
            <w:tcMar>
              <w:top w:w="92" w:type="dxa"/>
              <w:start w:w="105" w:type="dxa"/>
              <w:bottom w:w="92" w:type="dxa"/>
              <w:end w:w="105" w:type="dxa"/>
            </w:tcMar>
            <w:shd w:fill="F2F8FA"/>
          </w:tcPr>
          <w:p>
            <w:pPr>
              <w:spacing w:after="0" w:line="240" w:lineRule="auto"/>
              <w:jc w:val="left"/>
            </w:pPr>
            <w:r>
              <w:rPr>
                <w:b w:val="0"/>
                <w:i w:val="0"/>
                <w:color w:val="24323D"/>
                <w:sz w:val="15"/>
              </w:rPr>
              <w:t>Activité associée, non cicatrice</w:t>
            </w:r>
          </w:p>
        </w:tc>
      </w:tr>
      <w:tr>
        <w:trPr>
          <w:cantSplit/>
        </w:trPr>
        <w:tc>
          <w:tcPr>
            <w:tcW w:type="dxa" w:w="1400"/>
            <w:vAlign w:val="center"/>
            <w:tcMar>
              <w:top w:w="92" w:type="dxa"/>
              <w:start w:w="105" w:type="dxa"/>
              <w:bottom w:w="92" w:type="dxa"/>
              <w:end w:w="105" w:type="dxa"/>
            </w:tcMar>
            <w:shd w:fill="FFFFFF"/>
          </w:tcPr>
          <w:p>
            <w:pPr>
              <w:spacing w:after="0" w:line="240" w:lineRule="auto"/>
              <w:jc w:val="left"/>
            </w:pPr>
            <w:r>
              <w:rPr>
                <w:b w:val="0"/>
                <w:i w:val="0"/>
                <w:color w:val="24323D"/>
                <w:sz w:val="15"/>
              </w:rPr>
              <w:t>ECV</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5"/>
              </w:rPr>
              <w:t>Fraction extracellulaire</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5"/>
              </w:rPr>
              <w:t>Lent pour matrice ; plus rapide si œdème ou variation d’hématocrite</w:t>
            </w:r>
          </w:p>
        </w:tc>
        <w:tc>
          <w:tcPr>
            <w:tcW w:type="dxa" w:w="2260"/>
            <w:vAlign w:val="center"/>
            <w:tcMar>
              <w:top w:w="92" w:type="dxa"/>
              <w:start w:w="105" w:type="dxa"/>
              <w:bottom w:w="92" w:type="dxa"/>
              <w:end w:w="105" w:type="dxa"/>
            </w:tcMar>
            <w:shd w:fill="FFFFFF"/>
          </w:tcPr>
          <w:p>
            <w:pPr>
              <w:spacing w:after="0" w:line="240" w:lineRule="auto"/>
              <w:jc w:val="left"/>
            </w:pPr>
            <w:r>
              <w:rPr>
                <w:b w:val="0"/>
                <w:i w:val="0"/>
                <w:color w:val="24323D"/>
                <w:sz w:val="15"/>
              </w:rPr>
              <w:t>Hématocrite, contraste, rein, amylose, inflammation, volume capillaire</w:t>
            </w:r>
          </w:p>
        </w:tc>
        <w:tc>
          <w:tcPr>
            <w:tcW w:type="dxa" w:w="2300"/>
            <w:vAlign w:val="center"/>
            <w:tcMar>
              <w:top w:w="92" w:type="dxa"/>
              <w:start w:w="105" w:type="dxa"/>
              <w:bottom w:w="92" w:type="dxa"/>
              <w:end w:w="105" w:type="dxa"/>
            </w:tcMar>
            <w:shd w:fill="FFFFFF"/>
          </w:tcPr>
          <w:p>
            <w:pPr>
              <w:spacing w:after="0" w:line="240" w:lineRule="auto"/>
              <w:jc w:val="left"/>
            </w:pPr>
            <w:r>
              <w:rPr>
                <w:b w:val="0"/>
                <w:i w:val="0"/>
                <w:color w:val="24323D"/>
                <w:sz w:val="15"/>
              </w:rPr>
              <w:t>Expansion extracellulaire, pas collagène spécifique</w:t>
            </w:r>
          </w:p>
        </w:tc>
      </w:tr>
      <w:tr>
        <w:trPr>
          <w:cantSplit/>
        </w:trPr>
        <w:tc>
          <w:tcPr>
            <w:tcW w:type="dxa" w:w="1400"/>
            <w:vAlign w:val="center"/>
            <w:tcMar>
              <w:top w:w="92" w:type="dxa"/>
              <w:start w:w="105" w:type="dxa"/>
              <w:bottom w:w="92" w:type="dxa"/>
              <w:end w:w="105" w:type="dxa"/>
            </w:tcMar>
            <w:shd w:fill="F2F8FA"/>
          </w:tcPr>
          <w:p>
            <w:pPr>
              <w:spacing w:after="0" w:line="240" w:lineRule="auto"/>
              <w:jc w:val="left"/>
            </w:pPr>
            <w:r>
              <w:rPr>
                <w:b w:val="0"/>
                <w:i w:val="0"/>
                <w:color w:val="24323D"/>
                <w:sz w:val="15"/>
              </w:rPr>
              <w:t>LGE</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5"/>
              </w:rPr>
              <w:t>Contraste régional du volume extracellulaire</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5"/>
              </w:rPr>
              <w:t>Cicatrice supposée lente ; détection/quantification dépendante de la méthode</w:t>
            </w:r>
          </w:p>
        </w:tc>
        <w:tc>
          <w:tcPr>
            <w:tcW w:type="dxa" w:w="2260"/>
            <w:vAlign w:val="center"/>
            <w:tcMar>
              <w:top w:w="92" w:type="dxa"/>
              <w:start w:w="105" w:type="dxa"/>
              <w:bottom w:w="92" w:type="dxa"/>
              <w:end w:w="105" w:type="dxa"/>
            </w:tcMar>
            <w:shd w:fill="F2F8FA"/>
          </w:tcPr>
          <w:p>
            <w:pPr>
              <w:spacing w:after="0" w:line="240" w:lineRule="auto"/>
              <w:jc w:val="left"/>
            </w:pPr>
            <w:r>
              <w:rPr>
                <w:b w:val="0"/>
                <w:i w:val="0"/>
                <w:color w:val="24323D"/>
                <w:sz w:val="15"/>
              </w:rPr>
              <w:t>Technique, seuillage, référence, infarctus, myocardite, artefact</w:t>
            </w:r>
          </w:p>
        </w:tc>
        <w:tc>
          <w:tcPr>
            <w:tcW w:type="dxa" w:w="2300"/>
            <w:vAlign w:val="center"/>
            <w:tcMar>
              <w:top w:w="92" w:type="dxa"/>
              <w:start w:w="105" w:type="dxa"/>
              <w:bottom w:w="92" w:type="dxa"/>
              <w:end w:w="105" w:type="dxa"/>
            </w:tcMar>
            <w:shd w:fill="F2F8FA"/>
          </w:tcPr>
          <w:p>
            <w:pPr>
              <w:spacing w:after="0" w:line="240" w:lineRule="auto"/>
              <w:jc w:val="left"/>
            </w:pPr>
            <w:r>
              <w:rPr>
                <w:b w:val="0"/>
                <w:i w:val="0"/>
                <w:color w:val="24323D"/>
                <w:sz w:val="15"/>
              </w:rPr>
              <w:t>Meilleur substitut non invasif de cicatrice focale de remplacement</w:t>
            </w:r>
          </w:p>
        </w:tc>
      </w:tr>
      <w:tr>
        <w:trPr>
          <w:cantSplit/>
        </w:trPr>
        <w:tc>
          <w:tcPr>
            <w:tcW w:type="dxa" w:w="1400"/>
            <w:vAlign w:val="center"/>
            <w:tcMar>
              <w:top w:w="92" w:type="dxa"/>
              <w:start w:w="105" w:type="dxa"/>
              <w:bottom w:w="92" w:type="dxa"/>
              <w:end w:w="105" w:type="dxa"/>
            </w:tcMar>
            <w:shd w:fill="FFFFFF"/>
          </w:tcPr>
          <w:p>
            <w:pPr>
              <w:spacing w:after="0" w:line="240" w:lineRule="auto"/>
              <w:jc w:val="left"/>
            </w:pPr>
            <w:r>
              <w:rPr>
                <w:b w:val="0"/>
                <w:i w:val="0"/>
                <w:color w:val="24323D"/>
                <w:sz w:val="15"/>
              </w:rPr>
              <w:t>Masse VG</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5"/>
              </w:rPr>
              <w:t>Remodelage structurel composite</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5"/>
              </w:rPr>
              <w:t>Mois–années</w:t>
            </w:r>
          </w:p>
        </w:tc>
        <w:tc>
          <w:tcPr>
            <w:tcW w:type="dxa" w:w="2260"/>
            <w:vAlign w:val="center"/>
            <w:tcMar>
              <w:top w:w="92" w:type="dxa"/>
              <w:start w:w="105" w:type="dxa"/>
              <w:bottom w:w="92" w:type="dxa"/>
              <w:end w:w="105" w:type="dxa"/>
            </w:tcMar>
            <w:shd w:fill="FFFFFF"/>
          </w:tcPr>
          <w:p>
            <w:pPr>
              <w:spacing w:after="0" w:line="240" w:lineRule="auto"/>
              <w:jc w:val="left"/>
            </w:pPr>
            <w:r>
              <w:rPr>
                <w:b w:val="0"/>
                <w:i w:val="0"/>
                <w:color w:val="24323D"/>
                <w:sz w:val="15"/>
              </w:rPr>
              <w:t>Pression, valvule, contour, papillaires/trabécules, hydratation</w:t>
            </w:r>
          </w:p>
        </w:tc>
        <w:tc>
          <w:tcPr>
            <w:tcW w:type="dxa" w:w="2300"/>
            <w:vAlign w:val="center"/>
            <w:tcMar>
              <w:top w:w="92" w:type="dxa"/>
              <w:start w:w="105" w:type="dxa"/>
              <w:bottom w:w="92" w:type="dxa"/>
              <w:end w:w="105" w:type="dxa"/>
            </w:tcMar>
            <w:shd w:fill="FFFFFF"/>
          </w:tcPr>
          <w:p>
            <w:pPr>
              <w:spacing w:after="0" w:line="240" w:lineRule="auto"/>
              <w:jc w:val="left"/>
            </w:pPr>
            <w:r>
              <w:rPr>
                <w:b w:val="0"/>
                <w:i w:val="0"/>
                <w:color w:val="24323D"/>
                <w:sz w:val="15"/>
              </w:rPr>
              <w:t>Conséquence, pas charge fibreuse</w:t>
            </w:r>
          </w:p>
        </w:tc>
      </w:tr>
      <w:tr>
        <w:trPr>
          <w:cantSplit/>
        </w:trPr>
        <w:tc>
          <w:tcPr>
            <w:tcW w:type="dxa" w:w="1400"/>
            <w:vAlign w:val="center"/>
            <w:tcMar>
              <w:top w:w="92" w:type="dxa"/>
              <w:start w:w="105" w:type="dxa"/>
              <w:bottom w:w="92" w:type="dxa"/>
              <w:end w:w="105" w:type="dxa"/>
            </w:tcMar>
            <w:shd w:fill="F2F8FA"/>
          </w:tcPr>
          <w:p>
            <w:pPr>
              <w:spacing w:after="0" w:line="240" w:lineRule="auto"/>
              <w:jc w:val="left"/>
            </w:pPr>
            <w:r>
              <w:rPr>
                <w:b w:val="0"/>
                <w:i w:val="0"/>
                <w:color w:val="24323D"/>
                <w:sz w:val="15"/>
              </w:rPr>
              <w:t>Strain</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5"/>
              </w:rPr>
              <w:t>Performance mécanique</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5"/>
              </w:rPr>
              <w:t>Peut varier rapidement avec charge et rythme ; remodelage lent</w:t>
            </w:r>
          </w:p>
        </w:tc>
        <w:tc>
          <w:tcPr>
            <w:tcW w:type="dxa" w:w="2260"/>
            <w:vAlign w:val="center"/>
            <w:tcMar>
              <w:top w:w="92" w:type="dxa"/>
              <w:start w:w="105" w:type="dxa"/>
              <w:bottom w:w="92" w:type="dxa"/>
              <w:end w:w="105" w:type="dxa"/>
            </w:tcMar>
            <w:shd w:fill="F2F8FA"/>
          </w:tcPr>
          <w:p>
            <w:pPr>
              <w:spacing w:after="0" w:line="240" w:lineRule="auto"/>
              <w:jc w:val="left"/>
            </w:pPr>
            <w:r>
              <w:rPr>
                <w:b w:val="0"/>
                <w:i w:val="0"/>
                <w:color w:val="24323D"/>
                <w:sz w:val="15"/>
              </w:rPr>
              <w:t>Précharge, postcharge, fréquence, logiciel, méthode, image</w:t>
            </w:r>
          </w:p>
        </w:tc>
        <w:tc>
          <w:tcPr>
            <w:tcW w:type="dxa" w:w="2300"/>
            <w:vAlign w:val="center"/>
            <w:tcMar>
              <w:top w:w="92" w:type="dxa"/>
              <w:start w:w="105" w:type="dxa"/>
              <w:bottom w:w="92" w:type="dxa"/>
              <w:end w:w="105" w:type="dxa"/>
            </w:tcMar>
            <w:shd w:fill="F2F8FA"/>
          </w:tcPr>
          <w:p>
            <w:pPr>
              <w:spacing w:after="0" w:line="240" w:lineRule="auto"/>
              <w:jc w:val="left"/>
            </w:pPr>
            <w:r>
              <w:rPr>
                <w:b w:val="0"/>
                <w:i w:val="0"/>
                <w:color w:val="24323D"/>
                <w:sz w:val="15"/>
              </w:rPr>
              <w:t>Retentissement fonctionnel, non spécifique</w:t>
            </w:r>
          </w:p>
        </w:tc>
      </w:tr>
    </w:tbl>
    <w:p>
      <w:pPr>
        <w:spacing w:after="20"/>
      </w:pPr>
    </w:p>
    <w:p>
      <w:pPr>
        <w:pStyle w:val="Heading2"/>
      </w:pPr>
      <w:r>
        <w:t>15. Biomarqueurs circulants détaillés</w:t>
      </w:r>
    </w:p>
    <w:p>
      <w:pPr>
        <w:pStyle w:val="Heading3"/>
      </w:pPr>
      <w:r>
        <w:t>15.1 α-galactosidase A</w:t>
      </w:r>
    </w:p>
    <w:p>
      <w:pPr>
        <w:widowControl/>
      </w:pPr>
      <w:r>
        <w:rPr>
          <w:b w:val="0"/>
          <w:i w:val="0"/>
        </w:rPr>
        <w:t>L’activité enzymatique répond d’abord à la question diagnostique biochimique. Chez l’homme classique non traité, une activité très basse est attendue. Chez la femme, une valeur dans l’intervalle de référence ne permet pas d’exclure. Sous enzyme de substitution, le moment du prélèvement par rapport à l’infusion modifie radicalement la signification. Elle ne doit jamais être modélisée comme un continuum de fibrose.</w:t>
      </w:r>
    </w:p>
    <w:p>
      <w:pPr>
        <w:pStyle w:val="Heading3"/>
      </w:pPr>
      <w:r>
        <w:t>15.2 Lyso-Gb3</w:t>
      </w:r>
    </w:p>
    <w:p>
      <w:pPr>
        <w:widowControl/>
      </w:pPr>
      <w:r>
        <w:rPr>
          <w:b w:val="0"/>
          <w:i w:val="0"/>
        </w:rPr>
        <w:t>Le lyso-Gb3 est utile pour soutenir le caractère classique, contextualiser certains variants, suivre l’effet biochimique et parfois stratifier une exposition. Ses distributions se chevauchent entre sexe, variants et stades. Une concentration basse n’exclut pas une cardiomyopathie tardive ni une cicatrice chez une femme ; une concentration élevée n’indique pas le nombre de grammes de fibrose. La variation doit être lue avec le type de traitement, l’adhérence, la présence éventuelle d’anticorps neutralisants, la méthode analytique et la fonction rénale.</w:t>
      </w:r>
    </w:p>
    <w:p>
      <w:pPr>
        <w:pStyle w:val="Heading3"/>
      </w:pPr>
      <w:r>
        <w:t>15.3 Troponine ultrasensible</w:t>
      </w:r>
    </w:p>
    <w:p>
      <w:pPr>
        <w:widowControl/>
      </w:pPr>
      <w:r>
        <w:rPr>
          <w:b w:val="0"/>
          <w:i w:val="0"/>
        </w:rPr>
        <w:t>Une élévation chronique est fréquente lorsque LGE et T2 régional sont présents et a été associée à la progression de cicatrice dans de petites cohortes. [R25] Elle traduit une libération par des cardiomyocytes lésés, pas la synthèse de collagène. Un profil stable élevé, un delta aigu et une valeur isolée sont trois états différents. Toute hausse doit conserver les diagnostics usuels — syndrome coronaire, tachyarythmie, embolie, myocardite, insuffisance rénale — au lieu d’être automatiquement attribuée à Fabry.</w:t>
      </w:r>
    </w:p>
    <w:p>
      <w:pPr>
        <w:pStyle w:val="Heading3"/>
      </w:pPr>
      <w:r>
        <w:t>15.4 NT-proBNP</w:t>
      </w:r>
    </w:p>
    <w:p>
      <w:pPr>
        <w:widowControl/>
      </w:pPr>
      <w:r>
        <w:rPr>
          <w:b w:val="0"/>
          <w:i w:val="0"/>
        </w:rPr>
        <w:t>Le NT-proBNP reflète tension pariétale, pression de remplissage et charge atriale. Il peut augmenter avec hypertrophie, dysfonction diastolique, fibrillation atriale ou insuffisance rénale, avant ou après une cicatrice importante. Il soutient la gravité hémodynamique, mais ne distingue pas stockage, fibrose et volume.</w:t>
      </w:r>
    </w:p>
    <w:p>
      <w:pPr>
        <w:pStyle w:val="Heading3"/>
      </w:pPr>
      <w:r>
        <w:t>15.5 Marqueurs inflammatoires et de matrice</w:t>
      </w:r>
    </w:p>
    <w:p>
      <w:pPr>
        <w:widowControl/>
      </w:pPr>
      <w:r>
        <w:rPr>
          <w:b w:val="0"/>
          <w:i w:val="0"/>
        </w:rPr>
        <w:t>CRP, cytokines, galectine-3, ST2 soluble et peptides de renouvellement du collagène ont une plausibilité mécanistique. Ils ne disposent pas d’une validation suffisante comme critères spécifiques de fibrose myocardique Fabry. Leur usage appartient à une hypothèse exploratoire, avec correction de la fonction rénale, de l’âge, des comorbidités et de la multiplicité statistique.</w:t>
      </w:r>
    </w:p>
    <w:p>
      <w:pPr>
        <w:pStyle w:val="Heading2"/>
      </w:pPr>
      <w:r>
        <w:t>16. Synchronisation des mesures</w:t>
      </w:r>
    </w:p>
    <w:p>
      <w:pPr>
        <w:widowControl/>
      </w:pPr>
      <w:r>
        <w:rPr>
          <w:b w:val="0"/>
          <w:i w:val="0"/>
        </w:rPr>
        <w:t>Une relation multimodale n’est interprétable que si les fenêtres temporelles sont compatibles. Une troponine acquise pendant une tachyarythmie ne doit pas expliquer rétrospectivement un LGE mesuré six mois plus tôt. Un hématocrite ancien ne doit pas calculer silencieusement une ECV actuelle. Un statut « traité » doit distinguer molécule, date d’initiation, interruptions, dernière administration et durée d’exposition.</w:t>
      </w:r>
    </w:p>
    <w:p>
      <w:pPr>
        <w:widowControl/>
      </w:pPr>
      <w:r>
        <w:rPr>
          <w:b w:val="0"/>
          <w:i w:val="0"/>
        </w:rPr>
        <w:t>Le cahier ne fixe pas les fenêtres : il impose qu’elles soient justifiées ultérieurement par l’objectif et la cinétique attendue. C’est une exigence de raisonnement préalable, non une proposition de protocole.</w:t>
      </w:r>
    </w:p>
    <w:p>
      <w:pPr>
        <w:pStyle w:val="Heading1"/>
        <w:spacing w:before="360"/>
        <w:pBdr>
          <w:bottom w:val="single" w:sz="12" w:space="7" w:color="22A6B3"/>
        </w:pBdr>
      </w:pPr>
      <w:r>
        <w:t>PARTIE V — RAISONNER CHAQUE MODALITÉ</w:t>
      </w:r>
    </w:p>
    <w:p>
      <w:pPr>
        <w:pStyle w:val="Heading2"/>
      </w:pPr>
      <w:r>
        <w:t>17. Rehaussement tardif au gadolinium — LGE</w:t>
      </w:r>
    </w:p>
    <w:p>
      <w:pPr>
        <w:pStyle w:val="Heading3"/>
      </w:pPr>
      <w:r>
        <w:t>17.1 Principe de mesure</w:t>
      </w:r>
    </w:p>
    <w:p>
      <w:pPr>
        <w:widowControl/>
      </w:pPr>
      <w:r>
        <w:rPr>
          <w:b w:val="0"/>
          <w:i w:val="0"/>
        </w:rPr>
        <w:t>Le LGE exploite la différence de distribution et de cinétique d’un agent extracellulaire entre myocarde de référence et régions dont l’espace extracellulaire est augmenté ou dont le lavage est retardé. La cicatrice de remplacement fournit un tel contraste. Le résultat est spatial et relatif : une région apparaît rehaussée parce qu’elle diffère du tissu utilisé comme comparaison et parce que l’image a été correctement réglée.</w:t>
      </w:r>
    </w:p>
    <w:p>
      <w:pPr>
        <w:widowControl/>
      </w:pPr>
      <w:r>
        <w:rPr>
          <w:b w:val="0"/>
          <w:i w:val="0"/>
        </w:rPr>
        <w:t>Dans Fabry, le LGE basal inférolatéral mésopariétal est le motif canonique. Sa concordance avec une cicatrice collagénique a été montrée sur un cœur entier, et de nombreuses cohortes associent le LGE à la troponine, à la masse, à la dysfonction et aux événements. [R13, R22–R25] Ces preuves soutiennent le LGE comme meilleur observable non invasif de fibrose de remplacement focale. Elles ne justifient pas le raccourci « tout pixel brillant égale fibrose Fabry ».</w:t>
      </w:r>
    </w:p>
    <w:p>
      <w:pPr>
        <w:pStyle w:val="Heading3"/>
      </w:pPr>
      <w:r>
        <w:t>17.2 Présence, distribution et étendue</w:t>
      </w:r>
    </w:p>
    <w:p>
      <w:pPr>
        <w:widowControl/>
      </w:pPr>
      <w:r>
        <w:rPr>
          <w:b w:val="0"/>
          <w:i w:val="0"/>
        </w:rPr>
        <w:t>Trois niveaux de résultat doivent être séparés :</w:t>
      </w:r>
    </w:p>
    <w:p>
      <w:pPr>
        <w:pStyle w:val="ListBullet"/>
      </w:pPr>
      <w:r>
        <w:rPr>
          <w:b/>
          <w:i w:val="0"/>
        </w:rPr>
        <w:t>présence/absence :</w:t>
      </w:r>
      <w:r>
        <w:rPr>
          <w:b w:val="0"/>
          <w:i w:val="0"/>
        </w:rPr>
        <w:t xml:space="preserve"> robuste pour une cicatrice nette, mais dépendante de la qualité et de l’expérience ;</w:t>
      </w:r>
    </w:p>
    <w:p>
      <w:pPr>
        <w:pStyle w:val="ListBullet"/>
      </w:pPr>
      <w:r>
        <w:rPr>
          <w:b/>
          <w:i w:val="0"/>
        </w:rPr>
        <w:t>distribution :</w:t>
      </w:r>
      <w:r>
        <w:rPr>
          <w:b w:val="0"/>
          <w:i w:val="0"/>
        </w:rPr>
        <w:t xml:space="preserve"> segments, couches pariétales, caractère ischémique ou non ischémique ; déterminante pour l’attribution causale ;</w:t>
      </w:r>
    </w:p>
    <w:p>
      <w:pPr>
        <w:pStyle w:val="ListBullet"/>
      </w:pPr>
      <w:r>
        <w:rPr>
          <w:b/>
          <w:i w:val="0"/>
        </w:rPr>
        <w:t>étendue :</w:t>
      </w:r>
      <w:r>
        <w:rPr>
          <w:b w:val="0"/>
          <w:i w:val="0"/>
        </w:rPr>
        <w:t xml:space="preserve"> nombre de segments, masse ou fraction du ventricule ; utile pour le suivi et le pronostic, mais très dépendante de la méthode de contour et de seuil.</w:t>
      </w:r>
    </w:p>
    <w:p>
      <w:pPr>
        <w:widowControl/>
      </w:pPr>
      <w:r>
        <w:rPr>
          <w:b w:val="0"/>
          <w:i w:val="0"/>
        </w:rPr>
        <w:t>Le nombre de segments est moins granulaire mais parfois plus reproductible et plus transportable qu’un pourcentage automatisé. La masse ou le pourcentage offre une continuité quantitative au prix d’une plus grande dépendance technique. Ces estimands ne doivent pas être interchangés après observation des résultats.</w:t>
      </w:r>
    </w:p>
    <w:p>
      <w:pPr>
        <w:pStyle w:val="Heading3"/>
      </w:pPr>
      <w:r>
        <w:t>17.3 Méthodes de segmentation</w:t>
      </w:r>
    </w:p>
    <w:p>
      <w:pPr>
        <w:widowControl/>
      </w:pPr>
      <w:r>
        <w:rPr>
          <w:b w:val="0"/>
          <w:i w:val="0"/>
        </w:rPr>
        <w:t>Les méthodes manuelles visuelles, seuils fondés sur des écarts-types par rapport à un myocarde « normal », pleine largeur à mi-hauteur et approches assistées donnent des charges différentes. Une comparaison récente chez des patients Fabry a montré une dispersion majeure entre méthodes et une reproductibilité médiocre pour certaines approches. [R29]</w:t>
      </w:r>
    </w:p>
    <w:p>
      <w:pPr>
        <w:widowControl/>
      </w:pPr>
      <w:r>
        <w:rPr>
          <w:b w:val="0"/>
          <w:i w:val="0"/>
        </w:rPr>
        <w:t>La méthode qui paraît la plus reproductible dans une petite étude ne devient pas une norme universelle. Elle doit être préspécifiée, figée entre visites, documentée avec la gestion des artefacts et, si possible, soumise à une lecture indépendante. Une conversion rétrospective d’une méthode vers une autre n’est pas une simple opération arithmétique.</w:t>
      </w:r>
    </w:p>
    <w:p>
      <w:pPr>
        <w:pStyle w:val="Heading3"/>
      </w:pPr>
      <w:r>
        <w:t>17.4 Limites intrinsèques</w:t>
      </w:r>
    </w:p>
    <w:p>
      <w:pPr>
        <w:widowControl/>
      </w:pPr>
      <w:r>
        <w:rPr>
          <w:b w:val="0"/>
          <w:i w:val="0"/>
        </w:rPr>
        <w:t>Le LGE peut manquer une atteinte diffuse si tout le myocarde est altéré de façon homogène et qu’aucune région de référence saine n’existe. Il peut surestimer ou fausser une petite lésion par volume partiel, artefact respiratoire, mauvais nulling, effet de bord ou confusion avec le sang. Il ne distingue pas directement collagène, œdème et infiltration, même si le contexte et la persistance favorisent l’interprétation cicatricielle.</w:t>
      </w:r>
    </w:p>
    <w:p>
      <w:pPr>
        <w:widowControl/>
      </w:pPr>
      <w:r>
        <w:rPr>
          <w:b w:val="0"/>
          <w:i w:val="0"/>
        </w:rPr>
        <w:t>Un LGE négatif signifie « absence de cicatrice focale détectable dans les conditions de cet examen », non « absence de fibrose à toute échelle ». Un LGE positif doit être arbitré contre l’infarctus, la myocardite, la sarcoïdose et les cardiomyopathies coexistantes.</w:t>
      </w:r>
    </w:p>
    <w:p>
      <w:pPr>
        <w:pStyle w:val="Heading3"/>
      </w:pPr>
      <w:r>
        <w:t>17.5 Valeur pronostique</w:t>
      </w:r>
    </w:p>
    <w:p>
      <w:pPr>
        <w:widowControl/>
      </w:pPr>
      <w:r>
        <w:rPr>
          <w:b w:val="0"/>
          <w:i w:val="0"/>
        </w:rPr>
        <w:t>Dans une cohorte de 90 patients, la présence de LGE était fortement associée à un critère composite d’événements ; une étendue élevée, définie à 15 % dans cette étude, identifiait un groupe à plus haut risque. [R22] Des synthèses ultérieures confirment que le LGE est l’un des prédicteurs d’imagerie les plus cohérents, avec la masse, le strain et des paramètres de remplissage. [R23]</w:t>
      </w:r>
    </w:p>
    <w:p>
      <w:pPr>
        <w:widowControl/>
      </w:pPr>
      <w:r>
        <w:rPr>
          <w:b w:val="0"/>
          <w:i w:val="0"/>
        </w:rPr>
        <w:t>Le seuil de 15 % n’est ni universel ni automatiquement décisionnel : il provient d’une cohorte, d’une méthode et d’un critère donnés. La valeur pronostique d’un marqueur n’établit pas qu’une intervention guidée par ce seuil améliore les événements.</w:t>
      </w:r>
    </w:p>
    <w:p>
      <w:pPr>
        <w:pStyle w:val="Heading3"/>
      </w:pPr>
      <w:r>
        <w:t>17.6 Suivi longitudinal</w:t>
      </w:r>
    </w:p>
    <w:p>
      <w:pPr>
        <w:widowControl/>
      </w:pPr>
      <w:r>
        <w:rPr>
          <w:b w:val="0"/>
          <w:i w:val="0"/>
        </w:rPr>
        <w:t>La cicatrice est biologiquement lente, mais la différence entre deux estimations de LGE peut provenir du lecteur, de la méthode, du contraste, de la qualité ou du remodelage de la masse totale. Une variation relative spectaculaire peut correspondre à une petite variation absolue lorsque la charge initiale est faible. La progression doit être rapportée en unités absolues et relatives, avec intervalle d’incertitude et contrôle de la qualité.</w:t>
      </w:r>
    </w:p>
    <w:p>
      <w:pPr>
        <w:widowControl/>
      </w:pPr>
      <w:r>
        <w:rPr>
          <w:b w:val="0"/>
          <w:i w:val="0"/>
        </w:rPr>
        <w:t>Il n’existe pas de différence minimale cliniquement importante universellement validée pour la charge LGE de Fabry. Avant d’appeler « progression » une variation, il faut démontrer qu’elle dépasse la variabilité de répétition pertinente pour la méthode retenue.</w:t>
      </w:r>
    </w:p>
    <w:p>
      <w:pPr>
        <w:pStyle w:val="Heading3"/>
      </w:pPr>
      <w:r>
        <w:t>17.7 Contraste et fonction rénale</w:t>
      </w:r>
    </w:p>
    <w:p>
      <w:pPr>
        <w:widowControl/>
      </w:pPr>
      <w:r>
        <w:rPr>
          <w:b w:val="0"/>
          <w:i w:val="0"/>
        </w:rPr>
        <w:t>La néphropathie fait partie de Fabry et modifie simultanément le risque de contraste, l’hématocrite, la troponine et le NT-proBNP. La décision d’utiliser un agent à base de gadolinium dépend du débit de filtration, du contexte aigu ou chronique, de la classe de l’agent et des politiques locales. Les données modernes indiquent un risque de fibrose systémique néphrogénique très faible avec les agents du groupe II, y compris en insuffisance rénale avancée, mais cela n’abolit ni l’évaluation individuelle ni la documentation. [R34]</w:t>
      </w:r>
    </w:p>
    <w:p>
      <w:pPr>
        <w:spacing w:before="140" w:after="200" w:line="264" w:lineRule="auto"/>
        <w:ind w:left="173" w:right="86"/>
        <w:shd w:fill="E5F5F7"/>
        <w:pBdr>
          <w:left w:val="single" w:sz="24" w:space="9" w:color="22A6B3"/>
        </w:pBdr>
      </w:pPr>
      <w:r>
        <w:rPr>
          <w:b/>
          <w:i w:val="0"/>
          <w:color w:val="12344D"/>
          <w:sz w:val="19"/>
        </w:rPr>
        <w:t>Conséquence sans contraste.</w:t>
      </w:r>
      <w:r>
        <w:rPr>
          <w:b w:val="0"/>
          <w:i w:val="0"/>
          <w:color w:val="12344D"/>
          <w:sz w:val="19"/>
        </w:rPr>
        <w:t xml:space="preserve"> Si le LGE et l’ECV ne sont pas disponibles, l’objectif ne peut plus être formulé comme une quantification directe de cicatrice focale. Il devient un phénotypage non contrasté de stockage, activité et retentissement, avec une incertitude explicitement plus grande sur la fibrose.</w:t>
      </w:r>
    </w:p>
    <w:p>
      <w:pPr>
        <w:pStyle w:val="Heading2"/>
      </w:pPr>
      <w:r>
        <w:t>18. T1 natif</w:t>
      </w:r>
    </w:p>
    <w:p>
      <w:pPr>
        <w:pStyle w:val="Heading3"/>
      </w:pPr>
      <w:r>
        <w:t>18.1 Ce que mesure le T1</w:t>
      </w:r>
    </w:p>
    <w:p>
      <w:pPr>
        <w:widowControl/>
      </w:pPr>
      <w:r>
        <w:rPr>
          <w:b w:val="0"/>
          <w:i w:val="0"/>
        </w:rPr>
        <w:t>Le T1 natif est une constante de relaxation longitudinale composite. Il varie avec l’eau, les macromolécules, les lipides, le fer, la fibrose, l’œdème, le champ magnétique, la séquence et l’état hémodynamique. Dans Fabry, un T1 plus bas que la référence locale est compatible avec l’accumulation sphingolipidique intracellulaire et constitue un indice étiologique puissant dans un contexte d’hypertrophie. [R08–R10, R30]</w:t>
      </w:r>
    </w:p>
    <w:p>
      <w:pPr>
        <w:widowControl/>
      </w:pPr>
      <w:r>
        <w:rPr>
          <w:b w:val="0"/>
          <w:i w:val="0"/>
        </w:rPr>
        <w:t>Le T1 n’est pas un « taux de stockage » : aucune conversion validée ne permet de transformer des millisecondes en concentration de Gb3. Il n’est pas davantage un « taux de fibrose », puisque le stockage et la fibrose peuvent modifier le signal dans des directions opposées.</w:t>
      </w:r>
    </w:p>
    <w:p>
      <w:pPr>
        <w:pStyle w:val="Heading3"/>
      </w:pPr>
      <w:r>
        <w:t>18.2 Valeur préhypertrophique</w:t>
      </w:r>
    </w:p>
    <w:p>
      <w:pPr>
        <w:widowControl/>
      </w:pPr>
      <w:r>
        <w:rPr>
          <w:b w:val="0"/>
          <w:i w:val="0"/>
        </w:rPr>
        <w:t>Des cohortes ont montré un T1 bas avant l’augmentation de masse, associé à des anomalies subtiles de fonction ou de strain. [R10–R12] Cette propriété permet de penser une phase d’atteinte cardiaque avant la morphologie classique. Elle ne suffit pas à diagnostiquer un individu porteur d’un variant incertain, car le fer, la technique, le volume partiel et la distribution physiologique du T1 peuvent produire des valeurs basses.</w:t>
      </w:r>
    </w:p>
    <w:p>
      <w:pPr>
        <w:pStyle w:val="Heading3"/>
      </w:pPr>
      <w:r>
        <w:t>18.3 T1 normal : trois interprétations concurrentes</w:t>
      </w:r>
    </w:p>
    <w:p>
      <w:pPr>
        <w:widowControl/>
      </w:pPr>
      <w:r>
        <w:rPr>
          <w:b w:val="0"/>
          <w:i w:val="0"/>
        </w:rPr>
        <w:t>Un T1 dans l’intervalle local peut signifier : absence de réduction liée au stockage ; mélange spatial entre cellules atteintes et non atteintes ; ou pseudonormalisation par une augmentation opposée liée à cicatrice/œdème. Chez une femme à atteinte mosaïque ou chez un homme avancé avec LGE, les deux dernières hypothèses sont particulièrement importantes. Les cartes et les valeurs régionales doivent alors précéder la moyenne globale dans le raisonnement.</w:t>
      </w:r>
    </w:p>
    <w:p>
      <w:pPr>
        <w:pStyle w:val="Heading3"/>
      </w:pPr>
      <w:r>
        <w:t>18.4 Références locales et transportabilité</w:t>
      </w:r>
    </w:p>
    <w:p>
      <w:pPr>
        <w:widowControl/>
      </w:pPr>
      <w:r>
        <w:rPr>
          <w:b w:val="0"/>
          <w:i w:val="0"/>
        </w:rPr>
        <w:t>Les valeurs absolues dépendent du champ, du constructeur, de la séquence, de la version logicielle, de l’âge et de la méthode d’analyse. Les consensus de mapping recommandent des intervalles de référence propres à la combinaison locale et un contrôle qualité longitudinal. [R30]</w:t>
      </w:r>
    </w:p>
    <w:p>
      <w:pPr>
        <w:widowControl/>
      </w:pPr>
      <w:r>
        <w:rPr>
          <w:b w:val="0"/>
          <w:i w:val="0"/>
        </w:rPr>
        <w:t>Aucun seuil publié sur un autre système ne doit être copié comme vérité universelle. La correction par le T1 sanguin a amélioré la classification dans une étude multicentrique et peut réduire une source de variabilité, mais elle reste une approche à qualifier pour l’usage exact, non une norme universelle. [R28]</w:t>
      </w:r>
    </w:p>
    <w:p>
      <w:pPr>
        <w:pStyle w:val="Heading3"/>
      </w:pPr>
      <w:r>
        <w:t>18.5 Pièges régionaux</w:t>
      </w:r>
    </w:p>
    <w:p>
      <w:pPr>
        <w:widowControl/>
      </w:pPr>
      <w:r>
        <w:rPr>
          <w:b w:val="0"/>
          <w:i w:val="0"/>
        </w:rPr>
        <w:t>La paroi inférolatérale est vulnérable au volume partiel avec le sang, au mouvement et aux artefacts de susceptibilité. Un segment fin ne doit pas recevoir la même confiance qu’un septum bien délimité. À l’inverse, se limiter au septum peut manquer le territoire pathologique principal. Le raisonnement doit conserver une mesure robuste de référence et une lecture régionale de la zone suspecte, sans fusion automatique.</w:t>
      </w:r>
    </w:p>
    <w:p>
      <w:pPr>
        <w:pStyle w:val="Heading2"/>
      </w:pPr>
      <w:r>
        <w:t>19. T2 mapping</w:t>
      </w:r>
    </w:p>
    <w:p>
      <w:pPr>
        <w:pStyle w:val="Heading3"/>
      </w:pPr>
      <w:r>
        <w:t>19.1 Observable d’eau, non diagnostic histologique</w:t>
      </w:r>
    </w:p>
    <w:p>
      <w:pPr>
        <w:widowControl/>
      </w:pPr>
      <w:r>
        <w:rPr>
          <w:b w:val="0"/>
          <w:i w:val="0"/>
        </w:rPr>
        <w:t>Le T2 augmente lorsque l’eau tissulaire mobile augmente. Dans le territoire basal inférolatéral de Fabry, un T2 élevé corrélé à la troponine et au LGE soutient une activité lésionnelle chronique. [R14–R15] La formulation « augmentation d’eau ou œdème compatible avec une lésion » reste préférable à « myocardite » sans histologie et contexte clinique.</w:t>
      </w:r>
    </w:p>
    <w:p>
      <w:pPr>
        <w:pStyle w:val="Heading3"/>
      </w:pPr>
      <w:r>
        <w:t>19.2 Global versus régional</w:t>
      </w:r>
    </w:p>
    <w:p>
      <w:pPr>
        <w:widowControl/>
      </w:pPr>
      <w:r>
        <w:rPr>
          <w:b w:val="0"/>
          <w:i w:val="0"/>
        </w:rPr>
        <w:t>Une moyenne ventriculaire peut rester normale si l’anomalie occupe un petit territoire. La localisation du maximum et sa concordance avec LGE, douleur, électrocardiogramme ou strain peuvent être plus informatives que la moyenne. Une analyse régionale augmente toutefois le nombre de comparaisons et la vulnérabilité aux artefacts ; elle exige une hypothèse anatomique préspécifiée.</w:t>
      </w:r>
    </w:p>
    <w:p>
      <w:pPr>
        <w:pStyle w:val="Heading3"/>
      </w:pPr>
      <w:r>
        <w:t>19.3 Confusions</w:t>
      </w:r>
    </w:p>
    <w:p>
      <w:pPr>
        <w:widowControl/>
      </w:pPr>
      <w:r>
        <w:rPr>
          <w:b w:val="0"/>
          <w:i w:val="0"/>
        </w:rPr>
        <w:t>Tachycardie, mouvement, faible épaisseur, hétérogénéité de champ et mauvaise qualité peuvent fausser le T2. Myocardite intercurrente, infarctus, sarcoïdose, congestion ou inflammation systémique peuvent l’augmenter. Une baisse du T2 ne prouve pas une baisse de cicatrice ; elle peut indiquer moins d’eau active autour d’une cicatrice inchangée.</w:t>
      </w:r>
    </w:p>
    <w:p>
      <w:pPr>
        <w:pStyle w:val="Heading2"/>
      </w:pPr>
      <w:r>
        <w:t>20. Fraction de volume extracellulaire — ECV</w:t>
      </w:r>
    </w:p>
    <w:p>
      <w:pPr>
        <w:pStyle w:val="Heading3"/>
      </w:pPr>
      <w:r>
        <w:t>20.1 Définition mathématique</w:t>
      </w:r>
    </w:p>
    <w:p>
      <w:pPr>
        <w:widowControl/>
      </w:pPr>
      <w:r>
        <w:rPr>
          <w:b w:val="0"/>
          <w:i w:val="0"/>
        </w:rPr>
        <w:t>L’ECV est généralement dérivée du changement de taux de relaxation avant et après contraste :</w:t>
      </w:r>
    </w:p>
    <w:p>
      <w:pPr>
        <w:widowControl/>
      </w:pPr>
      <w:r>
        <w:rPr>
          <w:b/>
          <w:i w:val="0"/>
        </w:rPr>
        <w:t>ECV = (1 − hématocrite) × ΔR1 myocardique / ΔR1 sanguin</w:t>
      </w:r>
      <w:r>
        <w:rPr>
          <w:b w:val="0"/>
          <w:i w:val="0"/>
        </w:rPr>
        <w:t xml:space="preserve">, avec </w:t>
      </w:r>
      <w:r>
        <w:rPr>
          <w:b/>
          <w:i w:val="0"/>
        </w:rPr>
        <w:t>R1 = 1/T1</w:t>
      </w:r>
      <w:r>
        <w:rPr>
          <w:b w:val="0"/>
          <w:i w:val="0"/>
        </w:rPr>
        <w:t>.</w:t>
      </w:r>
    </w:p>
    <w:p>
      <w:pPr>
        <w:widowControl/>
      </w:pPr>
      <w:r>
        <w:rPr>
          <w:b w:val="0"/>
          <w:i w:val="0"/>
        </w:rPr>
        <w:t>Elle estime la fraction du voxel myocardique occupée par l’espace extracellulaire accessible au traceur. Elle dépend donc à la fois des mesures T1 myocardiques et sanguines, de l’hématocrite et de l’état de distribution du contraste. [R30]</w:t>
      </w:r>
    </w:p>
    <w:p>
      <w:pPr>
        <w:pStyle w:val="Heading3"/>
      </w:pPr>
      <w:r>
        <w:t>20.2 Interprétation dans Fabry</w:t>
      </w:r>
    </w:p>
    <w:p>
      <w:pPr>
        <w:widowControl/>
      </w:pPr>
      <w:r>
        <w:rPr>
          <w:b w:val="0"/>
          <w:i w:val="0"/>
        </w:rPr>
        <w:t>Le stockage étant principalement intracellulaire, une ECV globale normale au début est attendue et a été observée dans des cohortes. [R09] Dans les segments avec LGE, l’ECV peut augmenter avec cicatrice et/ou œdème. Une ECV globale peut ainsi masquer une élévation focale, tandis qu’une ECV distante normale ne réfute pas le LGE.</w:t>
      </w:r>
    </w:p>
    <w:p>
      <w:pPr>
        <w:widowControl/>
      </w:pPr>
      <w:r>
        <w:rPr>
          <w:b w:val="0"/>
          <w:i w:val="0"/>
        </w:rPr>
        <w:t>L’ECV apporte une information plus quantitative sur l’expansion extracellulaire que le LGE, surtout lorsque la différence avec le myocarde de référence est diffuse. Mais elle ne distingue pas collagène, amyloïde, œdème, capillaires et matrice. Elle doit rester intitulée « fraction extracellulaire », non « pourcentage de fibrose ».</w:t>
      </w:r>
    </w:p>
    <w:p>
      <w:pPr>
        <w:pStyle w:val="Heading3"/>
      </w:pPr>
      <w:r>
        <w:t>20.3 Hématocrite et fonction rénale</w:t>
      </w:r>
    </w:p>
    <w:p>
      <w:pPr>
        <w:widowControl/>
      </w:pPr>
      <w:r>
        <w:rPr>
          <w:b w:val="0"/>
          <w:i w:val="0"/>
        </w:rPr>
        <w:t>L’hématocrite doit être contemporain de l’examen pour estimer le même état physiologique. Anémie rénale, hémoconcentration, transfusion ou variation volumique modifient le résultat. Un hématocrite synthétique dérivé du T1 sanguin produit un estimand différent, avec sa propre erreur et ses biais de calibration ; il ne doit pas être mélangé silencieusement à l’ECV mesurée.</w:t>
      </w:r>
    </w:p>
    <w:p>
      <w:pPr>
        <w:widowControl/>
      </w:pPr>
      <w:r>
        <w:rPr>
          <w:b w:val="0"/>
          <w:i w:val="0"/>
        </w:rPr>
        <w:t>La fonction rénale peut modifier la cinétique du contraste et l’état hématologique. Elle est à la fois une contrainte de sécurité, une source de variation analytique et un marqueur de sévérité systémique : ces trois rôles doivent être séparés.</w:t>
      </w:r>
    </w:p>
    <w:p>
      <w:pPr>
        <w:pStyle w:val="Heading3"/>
      </w:pPr>
      <w:r>
        <w:t>20.4 Sensibilité à la fibrose diffuse</w:t>
      </w:r>
    </w:p>
    <w:p>
      <w:pPr>
        <w:widowControl/>
      </w:pPr>
      <w:r>
        <w:rPr>
          <w:b w:val="0"/>
          <w:i w:val="0"/>
        </w:rPr>
        <w:t>L’ECV est conceptuellement mieux adaptée que le LGE à une expansion diffuse homogène, mais la preuve d’une fibrose diffuse Fabry précoce reste limitée. Une ECV normale n’exclut pas un réseau collagénique fin en dessous de la sensibilité, une atteinte focale ou une baisse relative liée à l’hypertrophie cellulaire.</w:t>
      </w:r>
    </w:p>
    <w:p>
      <w:pPr>
        <w:pStyle w:val="Heading2"/>
      </w:pPr>
      <w:r>
        <w:t>21. Ciné CMR</w:t>
      </w:r>
    </w:p>
    <w:p>
      <w:pPr>
        <w:pStyle w:val="Heading3"/>
      </w:pPr>
      <w:r>
        <w:t>21.1 Mesures morphologiques</w:t>
      </w:r>
    </w:p>
    <w:p>
      <w:pPr>
        <w:widowControl/>
      </w:pPr>
      <w:r>
        <w:rPr>
          <w:b w:val="0"/>
          <w:i w:val="0"/>
        </w:rPr>
        <w:t>Le ciné mesure volumes, masse, épaisseur, géométrie et fonction systolique. Il situe le contexte dans lequel T1, T2, ECV et LGE doivent être lus. Une masse élevée renforce la probabilité d’une cardiomyopathie exprimée, mais ne discrimine pas Fabry d’une cardiomyopathie sarcomérique, hypertensive, amyloïde ou métabolique.</w:t>
      </w:r>
    </w:p>
    <w:p>
      <w:pPr>
        <w:widowControl/>
      </w:pPr>
      <w:r>
        <w:rPr>
          <w:b w:val="0"/>
          <w:i w:val="0"/>
        </w:rPr>
        <w:t>La convention de contour des papillaires et trabéculations est une partie de l’estimand, pas un détail de post-traitement. Un changement de convention entre visites peut imiter une progression ou une régression. [R26–R27]</w:t>
      </w:r>
    </w:p>
    <w:p>
      <w:pPr>
        <w:pStyle w:val="Heading3"/>
      </w:pPr>
      <w:r>
        <w:t>21.2 Morphologie régionale</w:t>
      </w:r>
    </w:p>
    <w:p>
      <w:pPr>
        <w:widowControl/>
      </w:pPr>
      <w:r>
        <w:rPr>
          <w:b w:val="0"/>
          <w:i w:val="0"/>
        </w:rPr>
        <w:t>Épaisseur basale, septale, apicale et inférolatérale, cavité, appareil papillaire et obstruction éventuelle doivent être interprétés ensemble. Un territoire aminci et cicatriciel à un stade avancé peut réduire l’épaisseur alors que la maladie progresse. L’évolution de l’épaisseur n’est donc pas toujours monotone.</w:t>
      </w:r>
    </w:p>
    <w:p>
      <w:pPr>
        <w:pStyle w:val="Heading3"/>
      </w:pPr>
      <w:r>
        <w:t>21.3 Fonction</w:t>
      </w:r>
    </w:p>
    <w:p>
      <w:pPr>
        <w:widowControl/>
      </w:pPr>
      <w:r>
        <w:rPr>
          <w:b w:val="0"/>
          <w:i w:val="0"/>
        </w:rPr>
        <w:t>La fraction d’éjection globale manque de sensibilité au dommage régional. Les volumes atriaux et les indices de remplissage peuvent refléter une dysfonction diastolique, mais sont influencés par le rythme, la valvulopathie et la charge. Le ciné apporte le cadre anatomofonctionnel ; il ne mesure pas directement la fibrose.</w:t>
      </w:r>
    </w:p>
    <w:p>
      <w:pPr>
        <w:pStyle w:val="Heading2"/>
      </w:pPr>
      <w:r>
        <w:t>22. Strain</w:t>
      </w:r>
    </w:p>
    <w:p>
      <w:pPr>
        <w:pStyle w:val="Heading3"/>
      </w:pPr>
      <w:r>
        <w:t>22.1 Intérêt physiologique</w:t>
      </w:r>
    </w:p>
    <w:p>
      <w:pPr>
        <w:widowControl/>
      </w:pPr>
      <w:r>
        <w:rPr>
          <w:b w:val="0"/>
          <w:i w:val="0"/>
        </w:rPr>
        <w:t>Le strain quantifie la déformation. Le strain longitudinal global peut s’altérer alors que la fraction d’éjection reste préservée ; une anomalie régionale inférolatérale peut accompagner le LGE ou une atteinte précoce. Des études de petite taille soutiennent cette sensibilité, y compris avant une hypertrophie manifeste. [R10–R12, R38–R39]</w:t>
      </w:r>
    </w:p>
    <w:p>
      <w:pPr>
        <w:pStyle w:val="Heading3"/>
      </w:pPr>
      <w:r>
        <w:t>22.2 Absence de spécificité</w:t>
      </w:r>
    </w:p>
    <w:p>
      <w:pPr>
        <w:widowControl/>
      </w:pPr>
      <w:r>
        <w:rPr>
          <w:b w:val="0"/>
          <w:i w:val="0"/>
        </w:rPr>
        <w:t>La déformation dépend du stockage, de l’hypertrophie, de la cicatrice, de l’ischémie, de la précharge, de la postcharge, du rythme et de la qualité d’image. Un strain anormal ne localise pas un compartiment histologique. Il peut servir de conséquence fonctionnelle, de médiateur ou de marqueur de risque, mais pas de substitut de fibrose sans validation dédiée.</w:t>
      </w:r>
    </w:p>
    <w:p>
      <w:pPr>
        <w:pStyle w:val="Heading3"/>
      </w:pPr>
      <w:r>
        <w:t>22.3 Non-interchangeabilité</w:t>
      </w:r>
    </w:p>
    <w:p>
      <w:pPr>
        <w:widowControl/>
      </w:pPr>
      <w:r>
        <w:rPr>
          <w:b w:val="0"/>
          <w:i w:val="0"/>
        </w:rPr>
        <w:t>Speckle tracking échographique, feature tracking CMR et méthodes de tagging ne produisent pas des nombres interchangeables. Le constructeur, le logiciel, la version, les contours, la fréquence d’image et la définition du pic modifient le résultat. Le suivi exige une chaîne analytique figée ou une étude formelle de comparabilité.</w:t>
      </w:r>
    </w:p>
    <w:p>
      <w:pPr>
        <w:pStyle w:val="Heading3"/>
      </w:pPr>
      <w:r>
        <w:t>22.4 Dimensions du strain</w:t>
      </w:r>
    </w:p>
    <w:p>
      <w:pPr>
        <w:widowControl/>
      </w:pPr>
      <w:r>
        <w:rPr>
          <w:b w:val="0"/>
          <w:i w:val="0"/>
        </w:rPr>
        <w:t>Le longitudinal est le plus documenté, mais le circonférentiel, le radial et la torsion peuvent apporter des informations différentes. Ajouter toutes les dimensions sans hypothèse multiplie les tests et crée un risque de sélection rétrospective. L’axe doit découler du mécanisme et de l’objectif, pas de la disponibilité du logiciel.</w:t>
      </w:r>
    </w:p>
    <w:p>
      <w:pPr>
        <w:pStyle w:val="Heading2"/>
      </w:pPr>
      <w:r>
        <w:t>23. Tomodensitométrie cardiaque — CT</w:t>
      </w:r>
    </w:p>
    <w:p>
      <w:pPr>
        <w:pStyle w:val="Heading3"/>
      </w:pPr>
      <w:r>
        <w:t>23.1 Rôle établi</w:t>
      </w:r>
    </w:p>
    <w:p>
      <w:pPr>
        <w:widowControl/>
      </w:pPr>
      <w:r>
        <w:rPr>
          <w:b w:val="0"/>
          <w:i w:val="0"/>
        </w:rPr>
        <w:t>La CT est pertinente pour l’anatomie coronaire, l’évaluation de calcifications, certaines structures et l’exclusion d’une coronaropathie épicardique susceptible d’expliquer un LGE ischémique ou une troponine. Elle peut être une alternative anatomique lorsque la CMR est impossible.</w:t>
      </w:r>
    </w:p>
    <w:p>
      <w:pPr>
        <w:pStyle w:val="Heading3"/>
      </w:pPr>
      <w:r>
        <w:t>23.2 Rehaussement tardif iodé et CT-ECV</w:t>
      </w:r>
    </w:p>
    <w:p>
      <w:pPr>
        <w:widowControl/>
      </w:pPr>
      <w:r>
        <w:rPr>
          <w:b w:val="0"/>
          <w:i w:val="0"/>
        </w:rPr>
        <w:t>Le rehaussement tardif iodé et l’ECV par CT ont été comparés à la CMR ou à l’histologie dans des populations mixtes de cardiomyopathies. [R40–R41] Dans Fabry, les preuves spécifiques sont limitées à des données très restreintes, dont des cas cliniques. [R42] Elles ne suffisent pas à considérer la CT comme une mesure validée et interchangeable de la fibrose Fabry.</w:t>
      </w:r>
    </w:p>
    <w:p>
      <w:pPr>
        <w:widowControl/>
      </w:pPr>
      <w:r>
        <w:rPr>
          <w:b w:val="0"/>
          <w:i w:val="0"/>
        </w:rPr>
        <w:t>La CT-ECV estime un espace extracellulaire et partage la non-spécificité biologique de l’ECV CMR. Elle ajoute exposition aux rayonnements, contraste iodé, dépendance au timing et contraintes rénales. Elle ne reproduit pas le contraste du T1 natif associé au stockage intracellulaire.</w:t>
      </w:r>
    </w:p>
    <w:p>
      <w:pPr>
        <w:pStyle w:val="Heading3"/>
      </w:pPr>
      <w:r>
        <w:t>23.3 Position raisonnée</w:t>
      </w:r>
    </w:p>
    <w:p>
      <w:pPr>
        <w:widowControl/>
      </w:pPr>
      <w:r>
        <w:rPr>
          <w:b w:val="0"/>
          <w:i w:val="0"/>
        </w:rPr>
        <w:t>La CT peut répondre à une question coronaire ou servir d’option exploratoire/fallback lorsque la CMR est contre-indiquée ou non interprétable. Elle ne doit pas devenir un co-critère principal de fibrose par simple disponibilité. Toute prétention à la substituabilité exige une validation Fabry spécifique, une analyse d’accord et une démonstration de reproductibilité.</w:t>
      </w:r>
    </w:p>
    <w:p>
      <w:pPr>
        <w:pStyle w:val="Heading2"/>
      </w:pPr>
      <w:r>
        <w:t>24. Anatomopathologie</w:t>
      </w:r>
    </w:p>
    <w:p>
      <w:pPr>
        <w:pStyle w:val="Heading3"/>
      </w:pPr>
      <w:r>
        <w:t>24.1 Référence directe mais locale</w:t>
      </w:r>
    </w:p>
    <w:p>
      <w:pPr>
        <w:widowControl/>
      </w:pPr>
      <w:r>
        <w:rPr>
          <w:b w:val="0"/>
          <w:i w:val="0"/>
        </w:rPr>
        <w:t>La coloration et la quantification du collagène fournissent une mesure directe sur le prélèvement. La microscopie électronique peut montrer des corps lamellaires de stockage. Cette proximité biologique fait de l’histologie une référence de validation importante ; elle ne transforme pas une biopsie septale en vérité du ventricule entier.</w:t>
      </w:r>
    </w:p>
    <w:p>
      <w:pPr>
        <w:pStyle w:val="Heading3"/>
      </w:pPr>
      <w:r>
        <w:t>24.2 Biais d’échantillonnage</w:t>
      </w:r>
    </w:p>
    <w:p>
      <w:pPr>
        <w:widowControl/>
      </w:pPr>
      <w:r>
        <w:rPr>
          <w:b w:val="0"/>
          <w:i w:val="0"/>
        </w:rPr>
        <w:t>La cicatrice Fabry typique étant inférolatérale, un prélèvement septal peut manquer la région cible. Le nombre et le site des fragments, la méthode de fixation, la coloration, le seuil d’analyse et la sélection du patient influencent le résultat. Une biopsie n’est ni anodine ni naturellement répétable pour un suivi.</w:t>
      </w:r>
    </w:p>
    <w:p>
      <w:pPr>
        <w:pStyle w:val="Heading3"/>
      </w:pPr>
      <w:r>
        <w:t>24.3 Diagnostics ultrastructuraux concurrents</w:t>
      </w:r>
    </w:p>
    <w:p>
      <w:pPr>
        <w:widowControl/>
      </w:pPr>
      <w:r>
        <w:rPr>
          <w:b w:val="0"/>
          <w:i w:val="0"/>
        </w:rPr>
        <w:t>Des corps lamellaires peuvent également apparaître dans des phospholipidoses médicamenteuses, notamment sous amiodarone ou hydroxychloroquine. L’ultrastructure doit être intégrée à la génétique, à la biochimie et à l’exposition médicamenteuse. Une image « zébrée » isolée ne classe pas un variant GLA.</w:t>
      </w:r>
    </w:p>
    <w:p>
      <w:pPr>
        <w:pStyle w:val="Heading2"/>
      </w:pPr>
      <w:r>
        <w:t>25. Hiérarchie fonctionnelle des modalités</w:t>
      </w:r>
    </w:p>
    <w:p>
      <w:pPr>
        <w:widowControl/>
      </w:pPr>
      <w:r>
        <w:rPr>
          <w:b w:val="0"/>
          <w:i w:val="0"/>
        </w:rPr>
        <w:t>Pour le construit « fibrose myocardique », la hiérarchie raisonnée est :</w:t>
      </w:r>
    </w:p>
    <w:p>
      <w:pPr>
        <w:pStyle w:val="ListNumber"/>
        <w:numPr>
          <w:ilvl w:val="0"/>
          <w:numId w:val="12"/>
        </w:numPr>
      </w:pPr>
      <w:r>
        <w:rPr>
          <w:b/>
          <w:i w:val="0"/>
        </w:rPr>
        <w:t>cicatrice focale de remplacement :</w:t>
      </w:r>
      <w:r>
        <w:rPr>
          <w:b w:val="0"/>
          <w:i w:val="0"/>
        </w:rPr>
        <w:t xml:space="preserve"> LGE, soutenu par distribution, quantification figée et contexte étiologique ;</w:t>
      </w:r>
    </w:p>
    <w:p>
      <w:pPr>
        <w:pStyle w:val="ListNumber"/>
        <w:numPr>
          <w:ilvl w:val="0"/>
          <w:numId w:val="12"/>
        </w:numPr>
      </w:pPr>
      <w:r>
        <w:rPr>
          <w:b/>
          <w:i w:val="0"/>
        </w:rPr>
        <w:t>expansion extracellulaire :</w:t>
      </w:r>
      <w:r>
        <w:rPr>
          <w:b w:val="0"/>
          <w:i w:val="0"/>
        </w:rPr>
        <w:t xml:space="preserve"> ECV régionale/globale, sans la renommer collagène ;</w:t>
      </w:r>
    </w:p>
    <w:p>
      <w:pPr>
        <w:pStyle w:val="ListNumber"/>
        <w:numPr>
          <w:ilvl w:val="0"/>
          <w:numId w:val="12"/>
        </w:numPr>
      </w:pPr>
      <w:r>
        <w:rPr>
          <w:b/>
          <w:i w:val="0"/>
        </w:rPr>
        <w:t>activité autour du dommage :</w:t>
      </w:r>
      <w:r>
        <w:rPr>
          <w:b w:val="0"/>
          <w:i w:val="0"/>
        </w:rPr>
        <w:t xml:space="preserve"> T2 et troponine, sans les renommer fibrose ou myocardite ;</w:t>
      </w:r>
    </w:p>
    <w:p>
      <w:pPr>
        <w:pStyle w:val="ListNumber"/>
        <w:numPr>
          <w:ilvl w:val="0"/>
          <w:numId w:val="12"/>
        </w:numPr>
      </w:pPr>
      <w:r>
        <w:rPr>
          <w:b/>
          <w:i w:val="0"/>
        </w:rPr>
        <w:t>substrat de stockage :</w:t>
      </w:r>
      <w:r>
        <w:rPr>
          <w:b w:val="0"/>
          <w:i w:val="0"/>
        </w:rPr>
        <w:t xml:space="preserve"> T1 natif, enzyme et lyso-Gb3 ;</w:t>
      </w:r>
    </w:p>
    <w:p>
      <w:pPr>
        <w:pStyle w:val="ListNumber"/>
        <w:numPr>
          <w:ilvl w:val="0"/>
          <w:numId w:val="12"/>
        </w:numPr>
      </w:pPr>
      <w:r>
        <w:rPr>
          <w:b/>
          <w:i w:val="0"/>
        </w:rPr>
        <w:t>retentissement :</w:t>
      </w:r>
      <w:r>
        <w:rPr>
          <w:b w:val="0"/>
          <w:i w:val="0"/>
        </w:rPr>
        <w:t xml:space="preserve"> masse, volumes, strain, fonction, biomarqueurs hémodynamiques ;</w:t>
      </w:r>
    </w:p>
    <w:p>
      <w:pPr>
        <w:pStyle w:val="ListNumber"/>
        <w:numPr>
          <w:ilvl w:val="0"/>
          <w:numId w:val="12"/>
        </w:numPr>
      </w:pPr>
      <w:r>
        <w:rPr>
          <w:b/>
          <w:i w:val="0"/>
        </w:rPr>
        <w:t>attribution et alternatives :</w:t>
      </w:r>
      <w:r>
        <w:rPr>
          <w:b w:val="0"/>
          <w:i w:val="0"/>
        </w:rPr>
        <w:t xml:space="preserve"> motif LGE, contexte clinique, coronaires, génétique et diagnostics différentiels ;</w:t>
      </w:r>
    </w:p>
    <w:p>
      <w:pPr>
        <w:pStyle w:val="ListNumber"/>
        <w:numPr>
          <w:ilvl w:val="0"/>
          <w:numId w:val="12"/>
        </w:numPr>
      </w:pPr>
      <w:r>
        <w:rPr>
          <w:b/>
          <w:i w:val="0"/>
        </w:rPr>
        <w:t>validation directe ponctuelle :</w:t>
      </w:r>
      <w:r>
        <w:rPr>
          <w:b w:val="0"/>
          <w:i w:val="0"/>
        </w:rPr>
        <w:t xml:space="preserve"> histologie lorsqu’elle est cliniquement justifiée, avec limites d’échantillonnage.</w:t>
      </w:r>
    </w:p>
    <w:p>
      <w:pPr>
        <w:widowControl/>
      </w:pPr>
      <w:r>
        <w:rPr>
          <w:b w:val="0"/>
          <w:i w:val="0"/>
        </w:rPr>
        <w:t>Cette hiérarchie n’est pas un ordre d’acquisition. Elle classe les inférences du plus proche au plus éloigné du construit.</w:t>
      </w:r>
    </w:p>
    <w:p>
      <w:r>
        <w:br w:type="page"/>
      </w:r>
    </w:p>
    <w:p>
      <w:pPr>
        <w:pStyle w:val="Heading1"/>
        <w:pBdr>
          <w:bottom w:val="single" w:sz="12" w:space="7" w:color="22A6B3"/>
        </w:pBdr>
      </w:pPr>
      <w:r>
        <w:t>PARTIE VI — PIÈGES, BIAIS ET DIAGNOSTICS DIFFÉRENTIELS</w:t>
      </w:r>
    </w:p>
    <w:p>
      <w:pPr>
        <w:pStyle w:val="Heading2"/>
      </w:pPr>
      <w:r>
        <w:t>26. Pièges conceptuels</w:t>
      </w:r>
    </w:p>
    <w:p>
      <w:pPr>
        <w:pStyle w:val="Heading3"/>
      </w:pPr>
      <w:r>
        <w:t>26.1 Nommer le biomarqueur comme la maladie</w:t>
      </w:r>
    </w:p>
    <w:p>
      <w:pPr>
        <w:widowControl/>
      </w:pPr>
      <w:r>
        <w:rPr>
          <w:b w:val="0"/>
          <w:i w:val="0"/>
        </w:rPr>
        <w:t>Un T1 bas est compatible avec Fabry, mais ne diagnostique pas un variant pathogène. Un LGE inférolatéral est compatible avec une cicatrice Fabry, mais n’en prouve pas l’étiologie. Une troponine chronique est compatible avec une lésion active, mais ne mesure pas l’inflammation ou le collagène. Le raisonnement doit conserver la forme « observable → hypothèses pondérées », jamais « observable = mécanisme ».</w:t>
      </w:r>
    </w:p>
    <w:p>
      <w:pPr>
        <w:pStyle w:val="Heading3"/>
      </w:pPr>
      <w:r>
        <w:t>26.2 Construire un score opaque</w:t>
      </w:r>
    </w:p>
    <w:p>
      <w:pPr>
        <w:widowControl/>
      </w:pPr>
      <w:r>
        <w:rPr>
          <w:b w:val="0"/>
          <w:i w:val="0"/>
        </w:rPr>
        <w:t>Additionner T1, T2, LGE, masse, strain et biomarqueurs dans un score unique donne l’illusion d’une quantité totale de maladie. Les composantes n’ont ni le même construit, ni la même échelle, ni la même cinétique. Un score peut être utile s’il possède une question clinique, un modèle préspécifié, une validation externe et une calibration ; sans cela, il détruit l’interprétabilité du Reasoning Book.</w:t>
      </w:r>
    </w:p>
    <w:p>
      <w:pPr>
        <w:pStyle w:val="Heading3"/>
      </w:pPr>
      <w:r>
        <w:t>26.3 Confondre corrélation et trajectoire</w:t>
      </w:r>
    </w:p>
    <w:p>
      <w:pPr>
        <w:widowControl/>
      </w:pPr>
      <w:r>
        <w:rPr>
          <w:b w:val="0"/>
          <w:i w:val="0"/>
        </w:rPr>
        <w:t>Une association transversale entre LGE, âge et masse ne prouve pas que chaque patient suit cette séquence. L’hétérogénéité des femmes, les formes tardives et les comorbidités créent des trajectoires parallèles. Seul un suivi longitudinal avec méthodes stables peut estimer une vitesse individuelle, et même alors sans établir toute la causalité.</w:t>
      </w:r>
    </w:p>
    <w:p>
      <w:pPr>
        <w:pStyle w:val="Heading3"/>
      </w:pPr>
      <w:r>
        <w:t>26.4 Confondre absence de signal et absence de phénomène</w:t>
      </w:r>
    </w:p>
    <w:p>
      <w:pPr>
        <w:widowControl/>
      </w:pPr>
      <w:r>
        <w:rPr>
          <w:b w:val="0"/>
          <w:i w:val="0"/>
        </w:rPr>
        <w:t>LGE négatif, ECV normale, T2 normal ou troponine normale sont des résultats bornés par la sensibilité, la région et le moment. Aucun n’exclut toutes les formes de fibrose. L’énoncé doit préciser « non détecté par cette méthode dans ces conditions ».</w:t>
      </w:r>
    </w:p>
    <w:p>
      <w:pPr>
        <w:pStyle w:val="Heading3"/>
      </w:pPr>
      <w:r>
        <w:t>26.5 Déduire la réversibilité de la seule précocité</w:t>
      </w:r>
    </w:p>
    <w:p>
      <w:pPr>
        <w:widowControl/>
      </w:pPr>
      <w:r>
        <w:rPr>
          <w:b w:val="0"/>
          <w:i w:val="0"/>
        </w:rPr>
        <w:t>Un biomarqueur précoce n’est pas nécessairement réversible ; un biomarqueur tardif n’est pas nécessairement immuable. La réversibilité est une propriété causale démontrée par intervention et délai approprié, non un rang dans une chronologie supposée.</w:t>
      </w:r>
    </w:p>
    <w:p>
      <w:pPr>
        <w:pStyle w:val="Heading2"/>
      </w:pPr>
      <w:r>
        <w:t>27. Pièges biologiques et cliniques</w:t>
      </w:r>
    </w:p>
    <w:p>
      <w:pPr>
        <w:pStyle w:val="Heading3"/>
      </w:pPr>
      <w:r>
        <w:t>27.1 Fonction rénale</w:t>
      </w:r>
    </w:p>
    <w:p>
      <w:pPr>
        <w:widowControl/>
      </w:pPr>
      <w:r>
        <w:rPr>
          <w:b w:val="0"/>
          <w:i w:val="0"/>
        </w:rPr>
        <w:t>La néphropathie de Fabry peut augmenter troponine et NT-proBNP, provoquer une anémie qui modifie l’ECV, limiter certains contrastes et accroître la charge hémodynamique. L’ajuster mécaniquement comme « covariable » peut retirer une partie du chemin causal de la maladie ; l’ignorer crée une confusion. Le rôle causal ou confondant doit être défini pour chaque objectif.</w:t>
      </w:r>
    </w:p>
    <w:p>
      <w:pPr>
        <w:pStyle w:val="Heading3"/>
      </w:pPr>
      <w:r>
        <w:t>27.2 Pression artérielle et valvulopathie</w:t>
      </w:r>
    </w:p>
    <w:p>
      <w:pPr>
        <w:widowControl/>
      </w:pPr>
      <w:r>
        <w:rPr>
          <w:b w:val="0"/>
          <w:i w:val="0"/>
        </w:rPr>
        <w:t>Hypertension et sténose aortique produisent hypertrophie, dysfonction diastolique et fibrose. Elles peuvent coexister avec Fabry. Le fait que l’hypertension soit moins typique dans certaines formes classiques ne permet pas de l’exclure. La charge après-systolique doit être reconnue comme une cause parallèle de masse et de strain.</w:t>
      </w:r>
    </w:p>
    <w:p>
      <w:pPr>
        <w:pStyle w:val="Heading3"/>
      </w:pPr>
      <w:r>
        <w:t>27.3 Rythme et conduction</w:t>
      </w:r>
    </w:p>
    <w:p>
      <w:pPr>
        <w:widowControl/>
      </w:pPr>
      <w:r>
        <w:rPr>
          <w:b w:val="0"/>
          <w:i w:val="0"/>
        </w:rPr>
        <w:t>Bradycardie, blocs, stimulation, extrasystolie et fibrillation atriale affectent qualité d’image, volumes, strain et peptides natriurétiques. Un dispositif peut limiter ou altérer la CMR, mais ne supprime pas la nécessité de caractériser la cicatrice : il modifie le niveau de certitude et les options.</w:t>
      </w:r>
    </w:p>
    <w:p>
      <w:pPr>
        <w:pStyle w:val="Heading3"/>
      </w:pPr>
      <w:r>
        <w:t>27.4 Événement aigu intercurrent</w:t>
      </w:r>
    </w:p>
    <w:p>
      <w:pPr>
        <w:widowControl/>
      </w:pPr>
      <w:r>
        <w:rPr>
          <w:b w:val="0"/>
          <w:i w:val="0"/>
        </w:rPr>
        <w:t>Infarctus, myocardite virale, tachyarythmie, embolie pulmonaire, sepsis et décompensation peuvent modifier T2, troponine, ECV et fonction en quelques heures ou jours. Une mesure réalisée dans cette fenêtre ne doit pas être interprétée comme le niveau chronique stable de Fabry.</w:t>
      </w:r>
    </w:p>
    <w:p>
      <w:pPr>
        <w:pStyle w:val="Heading3"/>
      </w:pPr>
      <w:r>
        <w:t>27.5 Traitement spécifique</w:t>
      </w:r>
    </w:p>
    <w:p>
      <w:pPr>
        <w:widowControl/>
      </w:pPr>
      <w:r>
        <w:rPr>
          <w:b w:val="0"/>
          <w:i w:val="0"/>
        </w:rPr>
        <w:t>La catégorie « sous traitement » est insuffisante. Enzyme de substitution et chaperon pharmacologique n’ont pas les mêmes critères d’éligibilité ni la même pharmacologie. Date d’initiation, interruptions, dose réellement reçue, anticorps, variant amenable et exposition cumulée influencent l’interprétation. Les patients traités sont souvent plus sévères au départ : une comparaison traités/non traités est exposée à une confusion par indication.</w:t>
      </w:r>
    </w:p>
    <w:p>
      <w:pPr>
        <w:pStyle w:val="Heading3"/>
      </w:pPr>
      <w:r>
        <w:t>27.6 Sexe, âge et survie</w:t>
      </w:r>
    </w:p>
    <w:p>
      <w:pPr>
        <w:widowControl/>
      </w:pPr>
      <w:r>
        <w:rPr>
          <w:b w:val="0"/>
          <w:i w:val="0"/>
        </w:rPr>
        <w:t>Comparer hommes et femmes au même âge ne neutralise pas l’histoire naturelle, car le diagnostic, le traitement et la survie diffèrent. Les cohortes avancées peuvent sélectionner les survivants. Les analyses doivent envisager interactions, non-linéarité de l’âge et biais de temps immortel.</w:t>
      </w:r>
    </w:p>
    <w:p>
      <w:pPr>
        <w:pStyle w:val="Heading2"/>
      </w:pPr>
      <w:r>
        <w:t>28. Pièges techniques CMR</w:t>
      </w:r>
    </w:p>
    <w:p>
      <w:pPr>
        <w:pStyle w:val="Heading3"/>
      </w:pPr>
      <w:r>
        <w:t>28.1 Changement de plateforme</w:t>
      </w:r>
    </w:p>
    <w:p>
      <w:pPr>
        <w:widowControl/>
      </w:pPr>
      <w:r>
        <w:rPr>
          <w:b w:val="0"/>
          <w:i w:val="0"/>
        </w:rPr>
        <w:t>Champ magnétique, constructeur, antenne, séquence, reconstruction et version logicielle modifient les valeurs de mapping. Une dérive matérielle peut imiter un changement biologique. Les références et objets de contrôle doivent appartenir à la chaîne de mesure.</w:t>
      </w:r>
    </w:p>
    <w:p>
      <w:pPr>
        <w:pStyle w:val="Heading3"/>
      </w:pPr>
      <w:r>
        <w:t>28.2 Contours et conventions</w:t>
      </w:r>
    </w:p>
    <w:p>
      <w:pPr>
        <w:widowControl/>
      </w:pPr>
      <w:r>
        <w:rPr>
          <w:b w:val="0"/>
          <w:i w:val="0"/>
        </w:rPr>
        <w:t>La base et l’apex, les muscles papillaires, les trabéculations, les segments amincis et le sang adjacent sont des sources majeures de variation. Le contour qui maximise la reproductibilité n’est pas toujours celui qui correspond le mieux au construit. La convention doit être fixée avant l’analyse et rester identique dans le temps.</w:t>
      </w:r>
    </w:p>
    <w:p>
      <w:pPr>
        <w:pStyle w:val="Heading3"/>
      </w:pPr>
      <w:r>
        <w:t>28.3 Rythme, respiration et mouvement</w:t>
      </w:r>
    </w:p>
    <w:p>
      <w:pPr>
        <w:widowControl/>
      </w:pPr>
      <w:r>
        <w:rPr>
          <w:b w:val="0"/>
          <w:i w:val="0"/>
        </w:rPr>
        <w:t>Arythmie et incapacité d’apnée peuvent créer des cartes mal enregistrées, des contours incohérents et de faux rehaussements. Un nombre calculé automatiquement n’est pas interprétable si les images sources échouent au contrôle qualité.</w:t>
      </w:r>
    </w:p>
    <w:p>
      <w:pPr>
        <w:pStyle w:val="Heading3"/>
      </w:pPr>
      <w:r>
        <w:t>28.4 Volume partiel</w:t>
      </w:r>
    </w:p>
    <w:p>
      <w:pPr>
        <w:widowControl/>
      </w:pPr>
      <w:r>
        <w:rPr>
          <w:b w:val="0"/>
          <w:i w:val="0"/>
        </w:rPr>
        <w:t>La faible épaisseur inférolatérale, le sang hyperintense et la graisse épicardique peuvent contaminer T1, T2, ECV et LGE. L’apex est particulièrement vulnérable. Exclure systématiquement les segments difficiles peut cependant biaiser contre la maladie régionale ; l’exclusion doit être documentée, non silencieuse.</w:t>
      </w:r>
    </w:p>
    <w:p>
      <w:pPr>
        <w:pStyle w:val="Heading3"/>
      </w:pPr>
      <w:r>
        <w:t>28.5 Nulling et contraste relatif</w:t>
      </w:r>
    </w:p>
    <w:p>
      <w:pPr>
        <w:widowControl/>
      </w:pPr>
      <w:r>
        <w:rPr>
          <w:b w:val="0"/>
          <w:i w:val="0"/>
        </w:rPr>
        <w:t>Un mauvais réglage du myocarde de référence peut créer ou effacer du LGE. Une expansion diffuse réduit le contraste entre région malade et région « normale ». L’examen visuel des images originales et la plausibilité anatomique restent indispensables aux côtés de l’automatisation.</w:t>
      </w:r>
    </w:p>
    <w:p>
      <w:pPr>
        <w:pStyle w:val="Heading3"/>
      </w:pPr>
      <w:r>
        <w:t>28.6 Répétabilité versus reproductibilité</w:t>
      </w:r>
    </w:p>
    <w:p>
      <w:pPr>
        <w:widowControl/>
      </w:pPr>
      <w:r>
        <w:rPr>
          <w:b w:val="0"/>
          <w:i w:val="0"/>
        </w:rPr>
        <w:t>La répétabilité concerne des conditions très proches ; la reproductibilité inclut lecteurs, sessions, plateformes ou centres. Un biomarqueur stable en lecture répétée sur la même image peut être instable d’une acquisition à l’autre. L’usage longitudinal requiert l’erreur de la chaîne complète.</w:t>
      </w:r>
    </w:p>
    <w:p>
      <w:pPr>
        <w:pStyle w:val="Heading2"/>
      </w:pPr>
      <w:r>
        <w:t>29. Pièges analytiques et statistiques</w:t>
      </w:r>
    </w:p>
    <w:p>
      <w:pPr>
        <w:pStyle w:val="Heading3"/>
      </w:pPr>
      <w:r>
        <w:t>29.1 Unités absolues et relatives</w:t>
      </w:r>
    </w:p>
    <w:p>
      <w:pPr>
        <w:widowControl/>
      </w:pPr>
      <w:r>
        <w:rPr>
          <w:b w:val="0"/>
          <w:i w:val="0"/>
        </w:rPr>
        <w:t>Une charge LGE exprimée en pourcentage peut changer parce que le numérateur évolue, parce que la masse totale évolue, ou les deux. Rapporter la masse absolue et la fraction aide à comprendre. Une variation relative est instable lorsque la valeur de départ approche zéro.</w:t>
      </w:r>
    </w:p>
    <w:p>
      <w:pPr>
        <w:pStyle w:val="Heading3"/>
      </w:pPr>
      <w:r>
        <w:t>29.2 Seuils de normalité</w:t>
      </w:r>
    </w:p>
    <w:p>
      <w:pPr>
        <w:widowControl/>
      </w:pPr>
      <w:r>
        <w:rPr>
          <w:b w:val="0"/>
          <w:i w:val="0"/>
        </w:rPr>
        <w:t>Un seuil transforme une variable continue en deux catégories et concentre l’erreur autour de la frontière. Les intervalles locaux, la valeur continue, l’incertitude et la probabilité prétest doivent être conservés. Un z-score peut améliorer la transportabilité s’il est fondé sur une population de référence adaptée ; il ne corrige pas une mauvaise acquisition.</w:t>
      </w:r>
    </w:p>
    <w:p>
      <w:pPr>
        <w:pStyle w:val="Heading3"/>
      </w:pPr>
      <w:r>
        <w:t>29.3 Multiplicité</w:t>
      </w:r>
    </w:p>
    <w:p>
      <w:pPr>
        <w:widowControl/>
      </w:pPr>
      <w:r>
        <w:rPr>
          <w:b w:val="0"/>
          <w:i w:val="0"/>
        </w:rPr>
        <w:t>Une exploration de 16 segments, plusieurs couches, T1, T2, ECV et trois strains produit de nombreux tests. Sélectionner après coup le segment significatif fabrique des associations. Une région d’intérêt primaire doit découler du modèle biologique ; les autres analyses doivent être identifiées comme exploratoires avec contrôle de la multiplicité.</w:t>
      </w:r>
    </w:p>
    <w:p>
      <w:pPr>
        <w:pStyle w:val="Heading3"/>
      </w:pPr>
      <w:r>
        <w:t>29.4 Données manquantes non aléatoires</w:t>
      </w:r>
    </w:p>
    <w:p>
      <w:pPr>
        <w:widowControl/>
      </w:pPr>
      <w:r>
        <w:rPr>
          <w:b w:val="0"/>
          <w:i w:val="0"/>
        </w:rPr>
        <w:t>Le contraste peut manquer précisément chez les patients avec néphropathie ; le strain peut être non interprétable chez les arythmiques ; les dispositifs peuvent dégrader les images chez les patients à haut risque. Une analyse sur « cas complets » sélectionne les patients les moins complexes et sous-estime possiblement la gravité.</w:t>
      </w:r>
    </w:p>
    <w:p>
      <w:pPr>
        <w:pStyle w:val="Heading3"/>
      </w:pPr>
      <w:r>
        <w:t>29.5 Régression vers la moyenne</w:t>
      </w:r>
    </w:p>
    <w:p>
      <w:pPr>
        <w:widowControl/>
      </w:pPr>
      <w:r>
        <w:rPr>
          <w:b w:val="0"/>
          <w:i w:val="0"/>
        </w:rPr>
        <w:t>Sélectionner des patients parce qu’un biomarqueur est extrême, puis observer une valeur moins extrême, ne prouve pas une amélioration. Des mesures répétées, un comparateur et la connaissance de la variance sont nécessaires.</w:t>
      </w:r>
    </w:p>
    <w:p>
      <w:pPr>
        <w:pStyle w:val="Heading3"/>
      </w:pPr>
      <w:r>
        <w:t>29.6 Surajustement causal</w:t>
      </w:r>
    </w:p>
    <w:p>
      <w:pPr>
        <w:widowControl/>
      </w:pPr>
      <w:r>
        <w:rPr>
          <w:b w:val="0"/>
          <w:i w:val="0"/>
        </w:rPr>
        <w:t>Si l’objectif est d’estimer l’effet du stockage sur la fibrose, ajuster sur la masse, la troponine ou le T2 — médiateurs possibles — peut bloquer une partie de l’effet. Si l’objectif est purement pronostique, ces mêmes variables peuvent être utiles. La liste des covariables dépend de l’estimand, pas d’une routine statistique.</w:t>
      </w:r>
    </w:p>
    <w:p>
      <w:pPr>
        <w:pStyle w:val="Heading2"/>
      </w:pPr>
      <w:r>
        <w:t>30. Diagnostics différentiels et maladies coexistantes</w:t>
      </w:r>
    </w:p>
    <w:tbl>
      <w:tblPr>
        <w:tblStyle w:val="TableGrid"/>
        <w:tblW w:type="dxa" w:w="9360"/>
        <w:jc w:val="center"/>
        <w:tblLayout w:type="fixed"/>
        <w:tblLook w:firstColumn="1" w:firstRow="1" w:lastColumn="0" w:lastRow="0" w:noHBand="0" w:noVBand="1" w:val="04A0"/>
        <w:tblBorders>
          <w:top w:val="single" w:sz="5" w:space="0" w:color="CCD9DF"/>
          <w:left w:val="single" w:sz="5" w:space="0" w:color="CCD9DF"/>
          <w:bottom w:val="single" w:sz="5" w:space="0" w:color="CCD9DF"/>
          <w:right w:val="single" w:sz="5" w:space="0" w:color="CCD9DF"/>
          <w:insideH w:val="single" w:sz="5" w:space="0" w:color="CCD9DF"/>
          <w:insideV w:val="single" w:sz="5" w:space="0" w:color="CCD9DF"/>
        </w:tblBorders>
      </w:tblPr>
      <w:tblGrid>
        <w:gridCol w:w="2050"/>
        <w:gridCol w:w="2860"/>
        <w:gridCol w:w="4450"/>
      </w:tblGrid>
      <w:tr>
        <w:trPr>
          <w:cantSplit/>
          <w:tblHeader w:val="true"/>
        </w:trPr>
        <w:tc>
          <w:tcPr>
            <w:tcW w:type="dxa" w:w="2050"/>
            <w:vAlign w:val="center"/>
            <w:tcMar>
              <w:top w:w="92" w:type="dxa"/>
              <w:start w:w="105" w:type="dxa"/>
              <w:bottom w:w="92" w:type="dxa"/>
              <w:end w:w="105" w:type="dxa"/>
            </w:tcMar>
            <w:shd w:fill="12344D"/>
          </w:tcPr>
          <w:p>
            <w:pPr>
              <w:spacing w:after="0" w:line="240" w:lineRule="auto"/>
              <w:jc w:val="left"/>
            </w:pPr>
            <w:r>
              <w:rPr>
                <w:b/>
                <w:i w:val="0"/>
                <w:color w:val="FFFFFF"/>
                <w:sz w:val="15"/>
              </w:rPr>
              <w:t>Diagnostic ou mécanisme</w:t>
            </w:r>
          </w:p>
        </w:tc>
        <w:tc>
          <w:tcPr>
            <w:tcW w:type="dxa" w:w="2860"/>
            <w:vAlign w:val="center"/>
            <w:tcMar>
              <w:top w:w="92" w:type="dxa"/>
              <w:start w:w="105" w:type="dxa"/>
              <w:bottom w:w="92" w:type="dxa"/>
              <w:end w:w="105" w:type="dxa"/>
            </w:tcMar>
            <w:shd w:fill="12344D"/>
          </w:tcPr>
          <w:p>
            <w:pPr>
              <w:spacing w:after="0" w:line="240" w:lineRule="auto"/>
              <w:jc w:val="left"/>
            </w:pPr>
            <w:r>
              <w:rPr>
                <w:b/>
                <w:i w:val="0"/>
                <w:color w:val="FFFFFF"/>
                <w:sz w:val="15"/>
              </w:rPr>
              <w:t>Éléments pouvant mimer Fabry</w:t>
            </w:r>
          </w:p>
        </w:tc>
        <w:tc>
          <w:tcPr>
            <w:tcW w:type="dxa" w:w="4450"/>
            <w:vAlign w:val="center"/>
            <w:tcMar>
              <w:top w:w="92" w:type="dxa"/>
              <w:start w:w="105" w:type="dxa"/>
              <w:bottom w:w="92" w:type="dxa"/>
              <w:end w:w="105" w:type="dxa"/>
            </w:tcMar>
            <w:shd w:fill="12344D"/>
          </w:tcPr>
          <w:p>
            <w:pPr>
              <w:spacing w:after="0" w:line="240" w:lineRule="auto"/>
              <w:jc w:val="left"/>
            </w:pPr>
            <w:r>
              <w:rPr>
                <w:b/>
                <w:i w:val="0"/>
                <w:color w:val="FFFFFF"/>
                <w:sz w:val="15"/>
              </w:rPr>
              <w:t>Éléments d’arbitrage et limites</w:t>
            </w:r>
          </w:p>
        </w:tc>
      </w:tr>
      <w:tr>
        <w:trPr>
          <w:cantSplit/>
        </w:trPr>
        <w:tc>
          <w:tcPr>
            <w:tcW w:type="dxa" w:w="2050"/>
            <w:vAlign w:val="center"/>
            <w:tcMar>
              <w:top w:w="92" w:type="dxa"/>
              <w:start w:w="105" w:type="dxa"/>
              <w:bottom w:w="92" w:type="dxa"/>
              <w:end w:w="105" w:type="dxa"/>
            </w:tcMar>
            <w:shd w:fill="FFFFFF"/>
          </w:tcPr>
          <w:p>
            <w:pPr>
              <w:spacing w:after="0" w:line="240" w:lineRule="auto"/>
              <w:jc w:val="left"/>
            </w:pPr>
            <w:r>
              <w:rPr>
                <w:b w:val="0"/>
                <w:i w:val="0"/>
                <w:color w:val="24323D"/>
                <w:sz w:val="15"/>
              </w:rPr>
              <w:t>Cardiomyopathie hypertrophique sarcomérique</w:t>
            </w:r>
          </w:p>
        </w:tc>
        <w:tc>
          <w:tcPr>
            <w:tcW w:type="dxa" w:w="2860"/>
            <w:vAlign w:val="center"/>
            <w:tcMar>
              <w:top w:w="92" w:type="dxa"/>
              <w:start w:w="105" w:type="dxa"/>
              <w:bottom w:w="92" w:type="dxa"/>
              <w:end w:w="105" w:type="dxa"/>
            </w:tcMar>
            <w:shd w:fill="FFFFFF"/>
          </w:tcPr>
          <w:p>
            <w:pPr>
              <w:spacing w:after="0" w:line="240" w:lineRule="auto"/>
              <w:jc w:val="left"/>
            </w:pPr>
            <w:r>
              <w:rPr>
                <w:b w:val="0"/>
                <w:i w:val="0"/>
                <w:color w:val="24323D"/>
                <w:sz w:val="15"/>
              </w:rPr>
              <w:t>Hypertrophie asymétrique ou concentrique, LGE non ischémique, strain altéré</w:t>
            </w:r>
          </w:p>
        </w:tc>
        <w:tc>
          <w:tcPr>
            <w:tcW w:type="dxa" w:w="4450"/>
            <w:vAlign w:val="center"/>
            <w:tcMar>
              <w:top w:w="92" w:type="dxa"/>
              <w:start w:w="105" w:type="dxa"/>
              <w:bottom w:w="92" w:type="dxa"/>
              <w:end w:w="105" w:type="dxa"/>
            </w:tcMar>
            <w:shd w:fill="FFFFFF"/>
          </w:tcPr>
          <w:p>
            <w:pPr>
              <w:spacing w:after="0" w:line="240" w:lineRule="auto"/>
              <w:jc w:val="left"/>
            </w:pPr>
            <w:r>
              <w:rPr>
                <w:b w:val="0"/>
                <w:i w:val="0"/>
                <w:color w:val="24323D"/>
                <w:sz w:val="15"/>
              </w:rPr>
              <w:t>Antécédents familiaux, variant sarcomérique, motif morphologique ; T1/ECV souvent normaux ou élevés mais chevauchement. Fabry et variant sarcomérique peuvent coexister</w:t>
            </w:r>
          </w:p>
        </w:tc>
      </w:tr>
      <w:tr>
        <w:trPr>
          <w:cantSplit/>
        </w:trPr>
        <w:tc>
          <w:tcPr>
            <w:tcW w:type="dxa" w:w="2050"/>
            <w:vAlign w:val="center"/>
            <w:tcMar>
              <w:top w:w="92" w:type="dxa"/>
              <w:start w:w="105" w:type="dxa"/>
              <w:bottom w:w="92" w:type="dxa"/>
              <w:end w:w="105" w:type="dxa"/>
            </w:tcMar>
            <w:shd w:fill="F2F8FA"/>
          </w:tcPr>
          <w:p>
            <w:pPr>
              <w:spacing w:after="0" w:line="240" w:lineRule="auto"/>
              <w:jc w:val="left"/>
            </w:pPr>
            <w:r>
              <w:rPr>
                <w:b w:val="0"/>
                <w:i w:val="0"/>
                <w:color w:val="24323D"/>
                <w:sz w:val="15"/>
              </w:rPr>
              <w:t>Amylose cardiaque</w:t>
            </w:r>
          </w:p>
        </w:tc>
        <w:tc>
          <w:tcPr>
            <w:tcW w:type="dxa" w:w="2860"/>
            <w:vAlign w:val="center"/>
            <w:tcMar>
              <w:top w:w="92" w:type="dxa"/>
              <w:start w:w="105" w:type="dxa"/>
              <w:bottom w:w="92" w:type="dxa"/>
              <w:end w:w="105" w:type="dxa"/>
            </w:tcMar>
            <w:shd w:fill="F2F8FA"/>
          </w:tcPr>
          <w:p>
            <w:pPr>
              <w:spacing w:after="0" w:line="240" w:lineRule="auto"/>
              <w:jc w:val="left"/>
            </w:pPr>
            <w:r>
              <w:rPr>
                <w:b w:val="0"/>
                <w:i w:val="0"/>
                <w:color w:val="24323D"/>
                <w:sz w:val="15"/>
              </w:rPr>
              <w:t>Épaississement, dysfonction diastolique, LGE diffus, troponine/BNP</w:t>
            </w:r>
          </w:p>
        </w:tc>
        <w:tc>
          <w:tcPr>
            <w:tcW w:type="dxa" w:w="4450"/>
            <w:vAlign w:val="center"/>
            <w:tcMar>
              <w:top w:w="92" w:type="dxa"/>
              <w:start w:w="105" w:type="dxa"/>
              <w:bottom w:w="92" w:type="dxa"/>
              <w:end w:w="105" w:type="dxa"/>
            </w:tcMar>
            <w:shd w:fill="F2F8FA"/>
          </w:tcPr>
          <w:p>
            <w:pPr>
              <w:spacing w:after="0" w:line="240" w:lineRule="auto"/>
              <w:jc w:val="left"/>
            </w:pPr>
            <w:r>
              <w:rPr>
                <w:b w:val="0"/>
                <w:i w:val="0"/>
                <w:color w:val="24323D"/>
                <w:sz w:val="15"/>
              </w:rPr>
              <w:t>T1 et ECV généralement très élevés, nulling anormal, scintigraphie/biologie ; coexistence ou stade précoce possible</w:t>
            </w:r>
          </w:p>
        </w:tc>
      </w:tr>
      <w:tr>
        <w:trPr>
          <w:cantSplit/>
        </w:trPr>
        <w:tc>
          <w:tcPr>
            <w:tcW w:type="dxa" w:w="2050"/>
            <w:vAlign w:val="center"/>
            <w:tcMar>
              <w:top w:w="92" w:type="dxa"/>
              <w:start w:w="105" w:type="dxa"/>
              <w:bottom w:w="92" w:type="dxa"/>
              <w:end w:w="105" w:type="dxa"/>
            </w:tcMar>
            <w:shd w:fill="FFFFFF"/>
          </w:tcPr>
          <w:p>
            <w:pPr>
              <w:spacing w:after="0" w:line="240" w:lineRule="auto"/>
              <w:jc w:val="left"/>
            </w:pPr>
            <w:r>
              <w:rPr>
                <w:b w:val="0"/>
                <w:i w:val="0"/>
                <w:color w:val="24323D"/>
                <w:sz w:val="15"/>
              </w:rPr>
              <w:t>Cœur hypertensif</w:t>
            </w:r>
          </w:p>
        </w:tc>
        <w:tc>
          <w:tcPr>
            <w:tcW w:type="dxa" w:w="2860"/>
            <w:vAlign w:val="center"/>
            <w:tcMar>
              <w:top w:w="92" w:type="dxa"/>
              <w:start w:w="105" w:type="dxa"/>
              <w:bottom w:w="92" w:type="dxa"/>
              <w:end w:w="105" w:type="dxa"/>
            </w:tcMar>
            <w:shd w:fill="FFFFFF"/>
          </w:tcPr>
          <w:p>
            <w:pPr>
              <w:spacing w:after="0" w:line="240" w:lineRule="auto"/>
              <w:jc w:val="left"/>
            </w:pPr>
            <w:r>
              <w:rPr>
                <w:b w:val="0"/>
                <w:i w:val="0"/>
                <w:color w:val="24323D"/>
                <w:sz w:val="15"/>
              </w:rPr>
              <w:t>Hypertrophie concentrique, ECV/LGE et strain anormaux</w:t>
            </w:r>
          </w:p>
        </w:tc>
        <w:tc>
          <w:tcPr>
            <w:tcW w:type="dxa" w:w="4450"/>
            <w:vAlign w:val="center"/>
            <w:tcMar>
              <w:top w:w="92" w:type="dxa"/>
              <w:start w:w="105" w:type="dxa"/>
              <w:bottom w:w="92" w:type="dxa"/>
              <w:end w:w="105" w:type="dxa"/>
            </w:tcMar>
            <w:shd w:fill="FFFFFF"/>
          </w:tcPr>
          <w:p>
            <w:pPr>
              <w:spacing w:after="0" w:line="240" w:lineRule="auto"/>
              <w:jc w:val="left"/>
            </w:pPr>
            <w:r>
              <w:rPr>
                <w:b w:val="0"/>
                <w:i w:val="0"/>
                <w:color w:val="24323D"/>
                <w:sz w:val="15"/>
              </w:rPr>
              <w:t>Charge tensionnelle documentée, remodelage vasculaire ; une hypertension concomitante n’exclut pas Fabry</w:t>
            </w:r>
          </w:p>
        </w:tc>
      </w:tr>
      <w:tr>
        <w:trPr>
          <w:cantSplit/>
        </w:trPr>
        <w:tc>
          <w:tcPr>
            <w:tcW w:type="dxa" w:w="2050"/>
            <w:vAlign w:val="center"/>
            <w:tcMar>
              <w:top w:w="92" w:type="dxa"/>
              <w:start w:w="105" w:type="dxa"/>
              <w:bottom w:w="92" w:type="dxa"/>
              <w:end w:w="105" w:type="dxa"/>
            </w:tcMar>
            <w:shd w:fill="F2F8FA"/>
          </w:tcPr>
          <w:p>
            <w:pPr>
              <w:spacing w:after="0" w:line="240" w:lineRule="auto"/>
              <w:jc w:val="left"/>
            </w:pPr>
            <w:r>
              <w:rPr>
                <w:b w:val="0"/>
                <w:i w:val="0"/>
                <w:color w:val="24323D"/>
                <w:sz w:val="15"/>
              </w:rPr>
              <w:t>Sténose aortique</w:t>
            </w:r>
          </w:p>
        </w:tc>
        <w:tc>
          <w:tcPr>
            <w:tcW w:type="dxa" w:w="2860"/>
            <w:vAlign w:val="center"/>
            <w:tcMar>
              <w:top w:w="92" w:type="dxa"/>
              <w:start w:w="105" w:type="dxa"/>
              <w:bottom w:w="92" w:type="dxa"/>
              <w:end w:w="105" w:type="dxa"/>
            </w:tcMar>
            <w:shd w:fill="F2F8FA"/>
          </w:tcPr>
          <w:p>
            <w:pPr>
              <w:spacing w:after="0" w:line="240" w:lineRule="auto"/>
              <w:jc w:val="left"/>
            </w:pPr>
            <w:r>
              <w:rPr>
                <w:b w:val="0"/>
                <w:i w:val="0"/>
                <w:color w:val="24323D"/>
                <w:sz w:val="15"/>
              </w:rPr>
              <w:t>Hypertrophie, fibrose de remplacement, ECV, troponine</w:t>
            </w:r>
          </w:p>
        </w:tc>
        <w:tc>
          <w:tcPr>
            <w:tcW w:type="dxa" w:w="4450"/>
            <w:vAlign w:val="center"/>
            <w:tcMar>
              <w:top w:w="92" w:type="dxa"/>
              <w:start w:w="105" w:type="dxa"/>
              <w:bottom w:w="92" w:type="dxa"/>
              <w:end w:w="105" w:type="dxa"/>
            </w:tcMar>
            <w:shd w:fill="F2F8FA"/>
          </w:tcPr>
          <w:p>
            <w:pPr>
              <w:spacing w:after="0" w:line="240" w:lineRule="auto"/>
              <w:jc w:val="left"/>
            </w:pPr>
            <w:r>
              <w:rPr>
                <w:b w:val="0"/>
                <w:i w:val="0"/>
                <w:color w:val="24323D"/>
                <w:sz w:val="15"/>
              </w:rPr>
              <w:t>Sévérité valvulaire et charge ; peut contribuer indépendamment à la fibrose d’un patient Fabry</w:t>
            </w:r>
          </w:p>
        </w:tc>
      </w:tr>
      <w:tr>
        <w:trPr>
          <w:cantSplit/>
        </w:trPr>
        <w:tc>
          <w:tcPr>
            <w:tcW w:type="dxa" w:w="2050"/>
            <w:vAlign w:val="center"/>
            <w:tcMar>
              <w:top w:w="92" w:type="dxa"/>
              <w:start w:w="105" w:type="dxa"/>
              <w:bottom w:w="92" w:type="dxa"/>
              <w:end w:w="105" w:type="dxa"/>
            </w:tcMar>
            <w:shd w:fill="FFFFFF"/>
          </w:tcPr>
          <w:p>
            <w:pPr>
              <w:spacing w:after="0" w:line="240" w:lineRule="auto"/>
              <w:jc w:val="left"/>
            </w:pPr>
            <w:r>
              <w:rPr>
                <w:b w:val="0"/>
                <w:i w:val="0"/>
                <w:color w:val="24323D"/>
                <w:sz w:val="15"/>
              </w:rPr>
              <w:t>Cœur d’athlète</w:t>
            </w:r>
          </w:p>
        </w:tc>
        <w:tc>
          <w:tcPr>
            <w:tcW w:type="dxa" w:w="2860"/>
            <w:vAlign w:val="center"/>
            <w:tcMar>
              <w:top w:w="92" w:type="dxa"/>
              <w:start w:w="105" w:type="dxa"/>
              <w:bottom w:w="92" w:type="dxa"/>
              <w:end w:w="105" w:type="dxa"/>
            </w:tcMar>
            <w:shd w:fill="FFFFFF"/>
          </w:tcPr>
          <w:p>
            <w:pPr>
              <w:spacing w:after="0" w:line="240" w:lineRule="auto"/>
              <w:jc w:val="left"/>
            </w:pPr>
            <w:r>
              <w:rPr>
                <w:b w:val="0"/>
                <w:i w:val="0"/>
                <w:color w:val="24323D"/>
                <w:sz w:val="15"/>
              </w:rPr>
              <w:t>Masse élevée, bradycardie, cavité modifiée</w:t>
            </w:r>
          </w:p>
        </w:tc>
        <w:tc>
          <w:tcPr>
            <w:tcW w:type="dxa" w:w="4450"/>
            <w:vAlign w:val="center"/>
            <w:tcMar>
              <w:top w:w="92" w:type="dxa"/>
              <w:start w:w="105" w:type="dxa"/>
              <w:bottom w:w="92" w:type="dxa"/>
              <w:end w:w="105" w:type="dxa"/>
            </w:tcMar>
            <w:shd w:fill="FFFFFF"/>
          </w:tcPr>
          <w:p>
            <w:pPr>
              <w:spacing w:after="0" w:line="240" w:lineRule="auto"/>
              <w:jc w:val="left"/>
            </w:pPr>
            <w:r>
              <w:rPr>
                <w:b w:val="0"/>
                <w:i w:val="0"/>
                <w:color w:val="24323D"/>
                <w:sz w:val="15"/>
              </w:rPr>
              <w:t>Contexte d’entraînement, cavité souvent plus grande, peu de LGE, mapping adapté ; chevauchement individuel</w:t>
            </w:r>
          </w:p>
        </w:tc>
      </w:tr>
      <w:tr>
        <w:trPr>
          <w:cantSplit/>
        </w:trPr>
        <w:tc>
          <w:tcPr>
            <w:tcW w:type="dxa" w:w="2050"/>
            <w:vAlign w:val="center"/>
            <w:tcMar>
              <w:top w:w="92" w:type="dxa"/>
              <w:start w:w="105" w:type="dxa"/>
              <w:bottom w:w="92" w:type="dxa"/>
              <w:end w:w="105" w:type="dxa"/>
            </w:tcMar>
            <w:shd w:fill="F2F8FA"/>
          </w:tcPr>
          <w:p>
            <w:pPr>
              <w:spacing w:after="0" w:line="240" w:lineRule="auto"/>
              <w:jc w:val="left"/>
            </w:pPr>
            <w:r>
              <w:rPr>
                <w:b w:val="0"/>
                <w:i w:val="0"/>
                <w:color w:val="24323D"/>
                <w:sz w:val="15"/>
              </w:rPr>
              <w:t>Surcharge en fer</w:t>
            </w:r>
          </w:p>
        </w:tc>
        <w:tc>
          <w:tcPr>
            <w:tcW w:type="dxa" w:w="2860"/>
            <w:vAlign w:val="center"/>
            <w:tcMar>
              <w:top w:w="92" w:type="dxa"/>
              <w:start w:w="105" w:type="dxa"/>
              <w:bottom w:w="92" w:type="dxa"/>
              <w:end w:w="105" w:type="dxa"/>
            </w:tcMar>
            <w:shd w:fill="F2F8FA"/>
          </w:tcPr>
          <w:p>
            <w:pPr>
              <w:spacing w:after="0" w:line="240" w:lineRule="auto"/>
              <w:jc w:val="left"/>
            </w:pPr>
            <w:r>
              <w:rPr>
                <w:b w:val="0"/>
                <w:i w:val="0"/>
                <w:color w:val="24323D"/>
                <w:sz w:val="15"/>
              </w:rPr>
              <w:t>T1 natif bas</w:t>
            </w:r>
          </w:p>
        </w:tc>
        <w:tc>
          <w:tcPr>
            <w:tcW w:type="dxa" w:w="4450"/>
            <w:vAlign w:val="center"/>
            <w:tcMar>
              <w:top w:w="92" w:type="dxa"/>
              <w:start w:w="105" w:type="dxa"/>
              <w:bottom w:w="92" w:type="dxa"/>
              <w:end w:w="105" w:type="dxa"/>
            </w:tcMar>
            <w:shd w:fill="F2F8FA"/>
          </w:tcPr>
          <w:p>
            <w:pPr>
              <w:spacing w:after="0" w:line="240" w:lineRule="auto"/>
              <w:jc w:val="left"/>
            </w:pPr>
            <w:r>
              <w:rPr>
                <w:b w:val="0"/>
                <w:i w:val="0"/>
                <w:color w:val="24323D"/>
                <w:sz w:val="15"/>
              </w:rPr>
              <w:t>T2* bas et contexte martial/transfusionnel ; le fer peut masquer une hausse de T1 liée à fibrose</w:t>
            </w:r>
          </w:p>
        </w:tc>
      </w:tr>
      <w:tr>
        <w:trPr>
          <w:cantSplit/>
        </w:trPr>
        <w:tc>
          <w:tcPr>
            <w:tcW w:type="dxa" w:w="2050"/>
            <w:vAlign w:val="center"/>
            <w:tcMar>
              <w:top w:w="92" w:type="dxa"/>
              <w:start w:w="105" w:type="dxa"/>
              <w:bottom w:w="92" w:type="dxa"/>
              <w:end w:w="105" w:type="dxa"/>
            </w:tcMar>
            <w:shd w:fill="FFFFFF"/>
          </w:tcPr>
          <w:p>
            <w:pPr>
              <w:spacing w:after="0" w:line="240" w:lineRule="auto"/>
              <w:jc w:val="left"/>
            </w:pPr>
            <w:r>
              <w:rPr>
                <w:b w:val="0"/>
                <w:i w:val="0"/>
                <w:color w:val="24323D"/>
                <w:sz w:val="15"/>
              </w:rPr>
              <w:t>Myocardite</w:t>
            </w:r>
          </w:p>
        </w:tc>
        <w:tc>
          <w:tcPr>
            <w:tcW w:type="dxa" w:w="2860"/>
            <w:vAlign w:val="center"/>
            <w:tcMar>
              <w:top w:w="92" w:type="dxa"/>
              <w:start w:w="105" w:type="dxa"/>
              <w:bottom w:w="92" w:type="dxa"/>
              <w:end w:w="105" w:type="dxa"/>
            </w:tcMar>
            <w:shd w:fill="FFFFFF"/>
          </w:tcPr>
          <w:p>
            <w:pPr>
              <w:spacing w:after="0" w:line="240" w:lineRule="auto"/>
              <w:jc w:val="left"/>
            </w:pPr>
            <w:r>
              <w:rPr>
                <w:b w:val="0"/>
                <w:i w:val="0"/>
                <w:color w:val="24323D"/>
                <w:sz w:val="15"/>
              </w:rPr>
              <w:t>LGE sous-épicardique/inférolatéral, T2 et troponine élevés</w:t>
            </w:r>
          </w:p>
        </w:tc>
        <w:tc>
          <w:tcPr>
            <w:tcW w:type="dxa" w:w="4450"/>
            <w:vAlign w:val="center"/>
            <w:tcMar>
              <w:top w:w="92" w:type="dxa"/>
              <w:start w:w="105" w:type="dxa"/>
              <w:bottom w:w="92" w:type="dxa"/>
              <w:end w:w="105" w:type="dxa"/>
            </w:tcMar>
            <w:shd w:fill="FFFFFF"/>
          </w:tcPr>
          <w:p>
            <w:pPr>
              <w:spacing w:after="0" w:line="240" w:lineRule="auto"/>
              <w:jc w:val="left"/>
            </w:pPr>
            <w:r>
              <w:rPr>
                <w:b w:val="0"/>
                <w:i w:val="0"/>
                <w:color w:val="24323D"/>
                <w:sz w:val="15"/>
              </w:rPr>
              <w:t>Temporalité aiguë, symptômes, infection, critères multiparamétriques ; peut coexister et motif parfois indiscernable</w:t>
            </w:r>
          </w:p>
        </w:tc>
      </w:tr>
      <w:tr>
        <w:trPr>
          <w:cantSplit/>
        </w:trPr>
        <w:tc>
          <w:tcPr>
            <w:tcW w:type="dxa" w:w="2050"/>
            <w:vAlign w:val="center"/>
            <w:tcMar>
              <w:top w:w="92" w:type="dxa"/>
              <w:start w:w="105" w:type="dxa"/>
              <w:bottom w:w="92" w:type="dxa"/>
              <w:end w:w="105" w:type="dxa"/>
            </w:tcMar>
            <w:shd w:fill="F2F8FA"/>
          </w:tcPr>
          <w:p>
            <w:pPr>
              <w:spacing w:after="0" w:line="240" w:lineRule="auto"/>
              <w:jc w:val="left"/>
            </w:pPr>
            <w:r>
              <w:rPr>
                <w:b w:val="0"/>
                <w:i w:val="0"/>
                <w:color w:val="24323D"/>
                <w:sz w:val="15"/>
              </w:rPr>
              <w:t>Sarcoïdose cardiaque</w:t>
            </w:r>
          </w:p>
        </w:tc>
        <w:tc>
          <w:tcPr>
            <w:tcW w:type="dxa" w:w="2860"/>
            <w:vAlign w:val="center"/>
            <w:tcMar>
              <w:top w:w="92" w:type="dxa"/>
              <w:start w:w="105" w:type="dxa"/>
              <w:bottom w:w="92" w:type="dxa"/>
              <w:end w:w="105" w:type="dxa"/>
            </w:tcMar>
            <w:shd w:fill="F2F8FA"/>
          </w:tcPr>
          <w:p>
            <w:pPr>
              <w:spacing w:after="0" w:line="240" w:lineRule="auto"/>
              <w:jc w:val="left"/>
            </w:pPr>
            <w:r>
              <w:rPr>
                <w:b w:val="0"/>
                <w:i w:val="0"/>
                <w:color w:val="24323D"/>
                <w:sz w:val="15"/>
              </w:rPr>
              <w:t>LGE non ischémique, inflammation, arythmies</w:t>
            </w:r>
          </w:p>
        </w:tc>
        <w:tc>
          <w:tcPr>
            <w:tcW w:type="dxa" w:w="4450"/>
            <w:vAlign w:val="center"/>
            <w:tcMar>
              <w:top w:w="92" w:type="dxa"/>
              <w:start w:w="105" w:type="dxa"/>
              <w:bottom w:w="92" w:type="dxa"/>
              <w:end w:w="105" w:type="dxa"/>
            </w:tcMar>
            <w:shd w:fill="F2F8FA"/>
          </w:tcPr>
          <w:p>
            <w:pPr>
              <w:spacing w:after="0" w:line="240" w:lineRule="auto"/>
              <w:jc w:val="left"/>
            </w:pPr>
            <w:r>
              <w:rPr>
                <w:b w:val="0"/>
                <w:i w:val="0"/>
                <w:color w:val="24323D"/>
                <w:sz w:val="15"/>
              </w:rPr>
              <w:t>Distribution patchy, blocs, atteinte systémique, PET ; aucun signe isolé n’est spécifique</w:t>
            </w:r>
          </w:p>
        </w:tc>
      </w:tr>
      <w:tr>
        <w:trPr>
          <w:cantSplit/>
        </w:trPr>
        <w:tc>
          <w:tcPr>
            <w:tcW w:type="dxa" w:w="2050"/>
            <w:vAlign w:val="center"/>
            <w:tcMar>
              <w:top w:w="92" w:type="dxa"/>
              <w:start w:w="105" w:type="dxa"/>
              <w:bottom w:w="92" w:type="dxa"/>
              <w:end w:w="105" w:type="dxa"/>
            </w:tcMar>
            <w:shd w:fill="FFFFFF"/>
          </w:tcPr>
          <w:p>
            <w:pPr>
              <w:spacing w:after="0" w:line="240" w:lineRule="auto"/>
              <w:jc w:val="left"/>
            </w:pPr>
            <w:r>
              <w:rPr>
                <w:b w:val="0"/>
                <w:i w:val="0"/>
                <w:color w:val="24323D"/>
                <w:sz w:val="15"/>
              </w:rPr>
              <w:t>Infarctus/coronaropathie</w:t>
            </w:r>
          </w:p>
        </w:tc>
        <w:tc>
          <w:tcPr>
            <w:tcW w:type="dxa" w:w="2860"/>
            <w:vAlign w:val="center"/>
            <w:tcMar>
              <w:top w:w="92" w:type="dxa"/>
              <w:start w:w="105" w:type="dxa"/>
              <w:bottom w:w="92" w:type="dxa"/>
              <w:end w:w="105" w:type="dxa"/>
            </w:tcMar>
            <w:shd w:fill="FFFFFF"/>
          </w:tcPr>
          <w:p>
            <w:pPr>
              <w:spacing w:after="0" w:line="240" w:lineRule="auto"/>
              <w:jc w:val="left"/>
            </w:pPr>
            <w:r>
              <w:rPr>
                <w:b w:val="0"/>
                <w:i w:val="0"/>
                <w:color w:val="24323D"/>
                <w:sz w:val="15"/>
              </w:rPr>
              <w:t>LGE, troponine, strain régional</w:t>
            </w:r>
          </w:p>
        </w:tc>
        <w:tc>
          <w:tcPr>
            <w:tcW w:type="dxa" w:w="4450"/>
            <w:vAlign w:val="center"/>
            <w:tcMar>
              <w:top w:w="92" w:type="dxa"/>
              <w:start w:w="105" w:type="dxa"/>
              <w:bottom w:w="92" w:type="dxa"/>
              <w:end w:w="105" w:type="dxa"/>
            </w:tcMar>
            <w:shd w:fill="FFFFFF"/>
          </w:tcPr>
          <w:p>
            <w:pPr>
              <w:spacing w:after="0" w:line="240" w:lineRule="auto"/>
              <w:jc w:val="left"/>
            </w:pPr>
            <w:r>
              <w:rPr>
                <w:b w:val="0"/>
                <w:i w:val="0"/>
                <w:color w:val="24323D"/>
                <w:sz w:val="15"/>
              </w:rPr>
              <w:t>LGE sous-endocardique/transmural en territoire, coronaires ; microvascularité Fabry et CAD peuvent coexister</w:t>
            </w:r>
          </w:p>
        </w:tc>
      </w:tr>
      <w:tr>
        <w:trPr>
          <w:cantSplit/>
        </w:trPr>
        <w:tc>
          <w:tcPr>
            <w:tcW w:type="dxa" w:w="2050"/>
            <w:vAlign w:val="center"/>
            <w:tcMar>
              <w:top w:w="92" w:type="dxa"/>
              <w:start w:w="105" w:type="dxa"/>
              <w:bottom w:w="92" w:type="dxa"/>
              <w:end w:w="105" w:type="dxa"/>
            </w:tcMar>
            <w:shd w:fill="F2F8FA"/>
          </w:tcPr>
          <w:p>
            <w:pPr>
              <w:spacing w:after="0" w:line="240" w:lineRule="auto"/>
              <w:jc w:val="left"/>
            </w:pPr>
            <w:r>
              <w:rPr>
                <w:b w:val="0"/>
                <w:i w:val="0"/>
                <w:color w:val="24323D"/>
                <w:sz w:val="15"/>
              </w:rPr>
              <w:t>PRKAG2</w:t>
            </w:r>
          </w:p>
        </w:tc>
        <w:tc>
          <w:tcPr>
            <w:tcW w:type="dxa" w:w="2860"/>
            <w:vAlign w:val="center"/>
            <w:tcMar>
              <w:top w:w="92" w:type="dxa"/>
              <w:start w:w="105" w:type="dxa"/>
              <w:bottom w:w="92" w:type="dxa"/>
              <w:end w:w="105" w:type="dxa"/>
            </w:tcMar>
            <w:shd w:fill="F2F8FA"/>
          </w:tcPr>
          <w:p>
            <w:pPr>
              <w:spacing w:after="0" w:line="240" w:lineRule="auto"/>
              <w:jc w:val="left"/>
            </w:pPr>
            <w:r>
              <w:rPr>
                <w:b w:val="0"/>
                <w:i w:val="0"/>
                <w:color w:val="24323D"/>
                <w:sz w:val="15"/>
              </w:rPr>
              <w:t>Hypertrophie, stockage glycogénique, conduction/préexcitation</w:t>
            </w:r>
          </w:p>
        </w:tc>
        <w:tc>
          <w:tcPr>
            <w:tcW w:type="dxa" w:w="4450"/>
            <w:vAlign w:val="center"/>
            <w:tcMar>
              <w:top w:w="92" w:type="dxa"/>
              <w:start w:w="105" w:type="dxa"/>
              <w:bottom w:w="92" w:type="dxa"/>
              <w:end w:w="105" w:type="dxa"/>
            </w:tcMar>
            <w:shd w:fill="F2F8FA"/>
          </w:tcPr>
          <w:p>
            <w:pPr>
              <w:spacing w:after="0" w:line="240" w:lineRule="auto"/>
              <w:jc w:val="left"/>
            </w:pPr>
            <w:r>
              <w:rPr>
                <w:b w:val="0"/>
                <w:i w:val="0"/>
                <w:color w:val="24323D"/>
                <w:sz w:val="15"/>
              </w:rPr>
              <w:t>Préexcitation, glycogène, génétique ; le T1 peut être atypique, pas de règle unique</w:t>
            </w:r>
          </w:p>
        </w:tc>
      </w:tr>
      <w:tr>
        <w:trPr>
          <w:cantSplit/>
        </w:trPr>
        <w:tc>
          <w:tcPr>
            <w:tcW w:type="dxa" w:w="2050"/>
            <w:vAlign w:val="center"/>
            <w:tcMar>
              <w:top w:w="92" w:type="dxa"/>
              <w:start w:w="105" w:type="dxa"/>
              <w:bottom w:w="92" w:type="dxa"/>
              <w:end w:w="105" w:type="dxa"/>
            </w:tcMar>
            <w:shd w:fill="FFFFFF"/>
          </w:tcPr>
          <w:p>
            <w:pPr>
              <w:spacing w:after="0" w:line="240" w:lineRule="auto"/>
              <w:jc w:val="left"/>
            </w:pPr>
            <w:r>
              <w:rPr>
                <w:b w:val="0"/>
                <w:i w:val="0"/>
                <w:color w:val="24323D"/>
                <w:sz w:val="15"/>
              </w:rPr>
              <w:t>Maladie de Danon</w:t>
            </w:r>
          </w:p>
        </w:tc>
        <w:tc>
          <w:tcPr>
            <w:tcW w:type="dxa" w:w="2860"/>
            <w:vAlign w:val="center"/>
            <w:tcMar>
              <w:top w:w="92" w:type="dxa"/>
              <w:start w:w="105" w:type="dxa"/>
              <w:bottom w:w="92" w:type="dxa"/>
              <w:end w:w="105" w:type="dxa"/>
            </w:tcMar>
            <w:shd w:fill="FFFFFF"/>
          </w:tcPr>
          <w:p>
            <w:pPr>
              <w:spacing w:after="0" w:line="240" w:lineRule="auto"/>
              <w:jc w:val="left"/>
            </w:pPr>
            <w:r>
              <w:rPr>
                <w:b w:val="0"/>
                <w:i w:val="0"/>
                <w:color w:val="24323D"/>
                <w:sz w:val="15"/>
              </w:rPr>
              <w:t>Hypertrophie massive, LGE, conduction</w:t>
            </w:r>
          </w:p>
        </w:tc>
        <w:tc>
          <w:tcPr>
            <w:tcW w:type="dxa" w:w="4450"/>
            <w:vAlign w:val="center"/>
            <w:tcMar>
              <w:top w:w="92" w:type="dxa"/>
              <w:start w:w="105" w:type="dxa"/>
              <w:bottom w:w="92" w:type="dxa"/>
              <w:end w:w="105" w:type="dxa"/>
            </w:tcMar>
            <w:shd w:fill="FFFFFF"/>
          </w:tcPr>
          <w:p>
            <w:pPr>
              <w:spacing w:after="0" w:line="240" w:lineRule="auto"/>
              <w:jc w:val="left"/>
            </w:pPr>
            <w:r>
              <w:rPr>
                <w:b w:val="0"/>
                <w:i w:val="0"/>
                <w:color w:val="24323D"/>
                <w:sz w:val="15"/>
              </w:rPr>
              <w:t>LAMP2, atteinte neuromusculaire/cognitive, trajectoire ; surtout hommes jeunes mais femmes atteintes</w:t>
            </w:r>
          </w:p>
        </w:tc>
      </w:tr>
      <w:tr>
        <w:trPr>
          <w:cantSplit/>
        </w:trPr>
        <w:tc>
          <w:tcPr>
            <w:tcW w:type="dxa" w:w="2050"/>
            <w:vAlign w:val="center"/>
            <w:tcMar>
              <w:top w:w="92" w:type="dxa"/>
              <w:start w:w="105" w:type="dxa"/>
              <w:bottom w:w="92" w:type="dxa"/>
              <w:end w:w="105" w:type="dxa"/>
            </w:tcMar>
            <w:shd w:fill="F2F8FA"/>
          </w:tcPr>
          <w:p>
            <w:pPr>
              <w:spacing w:after="0" w:line="240" w:lineRule="auto"/>
              <w:jc w:val="left"/>
            </w:pPr>
            <w:r>
              <w:rPr>
                <w:b w:val="0"/>
                <w:i w:val="0"/>
                <w:color w:val="24323D"/>
                <w:sz w:val="15"/>
              </w:rPr>
              <w:t>Pompe et autres glycogénoses</w:t>
            </w:r>
          </w:p>
        </w:tc>
        <w:tc>
          <w:tcPr>
            <w:tcW w:type="dxa" w:w="2860"/>
            <w:vAlign w:val="center"/>
            <w:tcMar>
              <w:top w:w="92" w:type="dxa"/>
              <w:start w:w="105" w:type="dxa"/>
              <w:bottom w:w="92" w:type="dxa"/>
              <w:end w:w="105" w:type="dxa"/>
            </w:tcMar>
            <w:shd w:fill="F2F8FA"/>
          </w:tcPr>
          <w:p>
            <w:pPr>
              <w:spacing w:after="0" w:line="240" w:lineRule="auto"/>
              <w:jc w:val="left"/>
            </w:pPr>
            <w:r>
              <w:rPr>
                <w:b w:val="0"/>
                <w:i w:val="0"/>
                <w:color w:val="24323D"/>
                <w:sz w:val="15"/>
              </w:rPr>
              <w:t>Hypertrophie métabolique</w:t>
            </w:r>
          </w:p>
        </w:tc>
        <w:tc>
          <w:tcPr>
            <w:tcW w:type="dxa" w:w="4450"/>
            <w:vAlign w:val="center"/>
            <w:tcMar>
              <w:top w:w="92" w:type="dxa"/>
              <w:start w:w="105" w:type="dxa"/>
              <w:bottom w:w="92" w:type="dxa"/>
              <w:end w:w="105" w:type="dxa"/>
            </w:tcMar>
            <w:shd w:fill="F2F8FA"/>
          </w:tcPr>
          <w:p>
            <w:pPr>
              <w:spacing w:after="0" w:line="240" w:lineRule="auto"/>
              <w:jc w:val="left"/>
            </w:pPr>
            <w:r>
              <w:rPr>
                <w:b w:val="0"/>
                <w:i w:val="0"/>
                <w:color w:val="24323D"/>
                <w:sz w:val="15"/>
              </w:rPr>
              <w:t>Phénotype musculaire/respiratoire, enzyme et génétique ; âge variable</w:t>
            </w:r>
          </w:p>
        </w:tc>
      </w:tr>
      <w:tr>
        <w:trPr>
          <w:cantSplit/>
        </w:trPr>
        <w:tc>
          <w:tcPr>
            <w:tcW w:type="dxa" w:w="2050"/>
            <w:vAlign w:val="center"/>
            <w:tcMar>
              <w:top w:w="92" w:type="dxa"/>
              <w:start w:w="105" w:type="dxa"/>
              <w:bottom w:w="92" w:type="dxa"/>
              <w:end w:w="105" w:type="dxa"/>
            </w:tcMar>
            <w:shd w:fill="FFFFFF"/>
          </w:tcPr>
          <w:p>
            <w:pPr>
              <w:spacing w:after="0" w:line="240" w:lineRule="auto"/>
              <w:jc w:val="left"/>
            </w:pPr>
            <w:r>
              <w:rPr>
                <w:b w:val="0"/>
                <w:i w:val="0"/>
                <w:color w:val="24323D"/>
                <w:sz w:val="15"/>
              </w:rPr>
              <w:t>Maladies mitochondriales/Friedreich</w:t>
            </w:r>
          </w:p>
        </w:tc>
        <w:tc>
          <w:tcPr>
            <w:tcW w:type="dxa" w:w="2860"/>
            <w:vAlign w:val="center"/>
            <w:tcMar>
              <w:top w:w="92" w:type="dxa"/>
              <w:start w:w="105" w:type="dxa"/>
              <w:bottom w:w="92" w:type="dxa"/>
              <w:end w:w="105" w:type="dxa"/>
            </w:tcMar>
            <w:shd w:fill="FFFFFF"/>
          </w:tcPr>
          <w:p>
            <w:pPr>
              <w:spacing w:after="0" w:line="240" w:lineRule="auto"/>
              <w:jc w:val="left"/>
            </w:pPr>
            <w:r>
              <w:rPr>
                <w:b w:val="0"/>
                <w:i w:val="0"/>
                <w:color w:val="24323D"/>
                <w:sz w:val="15"/>
              </w:rPr>
              <w:t>Hypertrophie, fibrose, diabète ou neurologie</w:t>
            </w:r>
          </w:p>
        </w:tc>
        <w:tc>
          <w:tcPr>
            <w:tcW w:type="dxa" w:w="4450"/>
            <w:vAlign w:val="center"/>
            <w:tcMar>
              <w:top w:w="92" w:type="dxa"/>
              <w:start w:w="105" w:type="dxa"/>
              <w:bottom w:w="92" w:type="dxa"/>
              <w:end w:w="105" w:type="dxa"/>
            </w:tcMar>
            <w:shd w:fill="FFFFFF"/>
          </w:tcPr>
          <w:p>
            <w:pPr>
              <w:spacing w:after="0" w:line="240" w:lineRule="auto"/>
              <w:jc w:val="left"/>
            </w:pPr>
            <w:r>
              <w:rPr>
                <w:b w:val="0"/>
                <w:i w:val="0"/>
                <w:color w:val="24323D"/>
                <w:sz w:val="15"/>
              </w:rPr>
              <w:t>Phénotype multisystémique, génétique ; patterns CMR non entièrement spécifiques</w:t>
            </w:r>
          </w:p>
        </w:tc>
      </w:tr>
      <w:tr>
        <w:trPr>
          <w:cantSplit/>
        </w:trPr>
        <w:tc>
          <w:tcPr>
            <w:tcW w:type="dxa" w:w="2050"/>
            <w:vAlign w:val="center"/>
            <w:tcMar>
              <w:top w:w="92" w:type="dxa"/>
              <w:start w:w="105" w:type="dxa"/>
              <w:bottom w:w="92" w:type="dxa"/>
              <w:end w:w="105" w:type="dxa"/>
            </w:tcMar>
            <w:shd w:fill="F2F8FA"/>
          </w:tcPr>
          <w:p>
            <w:pPr>
              <w:spacing w:after="0" w:line="240" w:lineRule="auto"/>
              <w:jc w:val="left"/>
            </w:pPr>
            <w:r>
              <w:rPr>
                <w:b w:val="0"/>
                <w:i w:val="0"/>
                <w:color w:val="24323D"/>
                <w:sz w:val="15"/>
              </w:rPr>
              <w:t>Phospholipidose médicamenteuse</w:t>
            </w:r>
          </w:p>
        </w:tc>
        <w:tc>
          <w:tcPr>
            <w:tcW w:type="dxa" w:w="2860"/>
            <w:vAlign w:val="center"/>
            <w:tcMar>
              <w:top w:w="92" w:type="dxa"/>
              <w:start w:w="105" w:type="dxa"/>
              <w:bottom w:w="92" w:type="dxa"/>
              <w:end w:w="105" w:type="dxa"/>
            </w:tcMar>
            <w:shd w:fill="F2F8FA"/>
          </w:tcPr>
          <w:p>
            <w:pPr>
              <w:spacing w:after="0" w:line="240" w:lineRule="auto"/>
              <w:jc w:val="left"/>
            </w:pPr>
            <w:r>
              <w:rPr>
                <w:b w:val="0"/>
                <w:i w:val="0"/>
                <w:color w:val="24323D"/>
                <w:sz w:val="15"/>
              </w:rPr>
              <w:t>Corps lamellaires en microscopie, cardiomyopathie</w:t>
            </w:r>
          </w:p>
        </w:tc>
        <w:tc>
          <w:tcPr>
            <w:tcW w:type="dxa" w:w="4450"/>
            <w:vAlign w:val="center"/>
            <w:tcMar>
              <w:top w:w="92" w:type="dxa"/>
              <w:start w:w="105" w:type="dxa"/>
              <w:bottom w:w="92" w:type="dxa"/>
              <w:end w:w="105" w:type="dxa"/>
            </w:tcMar>
            <w:shd w:fill="F2F8FA"/>
          </w:tcPr>
          <w:p>
            <w:pPr>
              <w:spacing w:after="0" w:line="240" w:lineRule="auto"/>
              <w:jc w:val="left"/>
            </w:pPr>
            <w:r>
              <w:rPr>
                <w:b w:val="0"/>
                <w:i w:val="0"/>
                <w:color w:val="24323D"/>
                <w:sz w:val="15"/>
              </w:rPr>
              <w:t>Amiodarone/hydroxychloroquine et autres expositions ; génétique et biochimie Fabry nécessaires</w:t>
            </w:r>
          </w:p>
        </w:tc>
      </w:tr>
      <w:tr>
        <w:trPr>
          <w:cantSplit/>
        </w:trPr>
        <w:tc>
          <w:tcPr>
            <w:tcW w:type="dxa" w:w="2050"/>
            <w:vAlign w:val="center"/>
            <w:tcMar>
              <w:top w:w="92" w:type="dxa"/>
              <w:start w:w="105" w:type="dxa"/>
              <w:bottom w:w="92" w:type="dxa"/>
              <w:end w:w="105" w:type="dxa"/>
            </w:tcMar>
            <w:shd w:fill="FFFFFF"/>
          </w:tcPr>
          <w:p>
            <w:pPr>
              <w:spacing w:after="0" w:line="240" w:lineRule="auto"/>
              <w:jc w:val="left"/>
            </w:pPr>
            <w:r>
              <w:rPr>
                <w:b w:val="0"/>
                <w:i w:val="0"/>
                <w:color w:val="24323D"/>
                <w:sz w:val="15"/>
              </w:rPr>
              <w:t>Maladie rénale chronique</w:t>
            </w:r>
          </w:p>
        </w:tc>
        <w:tc>
          <w:tcPr>
            <w:tcW w:type="dxa" w:w="2860"/>
            <w:vAlign w:val="center"/>
            <w:tcMar>
              <w:top w:w="92" w:type="dxa"/>
              <w:start w:w="105" w:type="dxa"/>
              <w:bottom w:w="92" w:type="dxa"/>
              <w:end w:w="105" w:type="dxa"/>
            </w:tcMar>
            <w:shd w:fill="FFFFFF"/>
          </w:tcPr>
          <w:p>
            <w:pPr>
              <w:spacing w:after="0" w:line="240" w:lineRule="auto"/>
              <w:jc w:val="left"/>
            </w:pPr>
            <w:r>
              <w:rPr>
                <w:b w:val="0"/>
                <w:i w:val="0"/>
                <w:color w:val="24323D"/>
                <w:sz w:val="15"/>
              </w:rPr>
              <w:t>Hypertrophie, troponine/BNP, fibrose diffuse</w:t>
            </w:r>
          </w:p>
        </w:tc>
        <w:tc>
          <w:tcPr>
            <w:tcW w:type="dxa" w:w="4450"/>
            <w:vAlign w:val="center"/>
            <w:tcMar>
              <w:top w:w="92" w:type="dxa"/>
              <w:start w:w="105" w:type="dxa"/>
              <w:bottom w:w="92" w:type="dxa"/>
              <w:end w:w="105" w:type="dxa"/>
            </w:tcMar>
            <w:shd w:fill="FFFFFF"/>
          </w:tcPr>
          <w:p>
            <w:pPr>
              <w:spacing w:after="0" w:line="240" w:lineRule="auto"/>
              <w:jc w:val="left"/>
            </w:pPr>
            <w:r>
              <w:rPr>
                <w:b w:val="0"/>
                <w:i w:val="0"/>
                <w:color w:val="24323D"/>
                <w:sz w:val="15"/>
              </w:rPr>
              <w:t>Charge, anémie, volume, urémie ; peut être manifestation de Fabry et facteur causal secondaire</w:t>
            </w:r>
          </w:p>
        </w:tc>
      </w:tr>
    </w:tbl>
    <w:p>
      <w:pPr>
        <w:spacing w:after="20"/>
      </w:pPr>
    </w:p>
    <w:p>
      <w:pPr>
        <w:pStyle w:val="Heading2"/>
      </w:pPr>
      <w:r>
        <w:t>31. Arbre d’attribution d’un LGE</w:t>
      </w:r>
    </w:p>
    <w:p>
      <w:pPr>
        <w:widowControl/>
      </w:pPr>
      <w:r>
        <w:rPr>
          <w:b w:val="0"/>
          <w:i w:val="0"/>
        </w:rPr>
        <w:t>L’attribution procède par questions successives :</w:t>
      </w:r>
    </w:p>
    <w:p>
      <w:pPr>
        <w:pStyle w:val="ListNumber"/>
        <w:numPr>
          <w:ilvl w:val="0"/>
          <w:numId w:val="13"/>
        </w:numPr>
      </w:pPr>
      <w:r>
        <w:rPr>
          <w:b w:val="0"/>
          <w:i w:val="0"/>
        </w:rPr>
        <w:t>Le signal est-il techniquement crédible et reproductible sur les images sources ?</w:t>
      </w:r>
    </w:p>
    <w:p>
      <w:pPr>
        <w:pStyle w:val="ListNumber"/>
        <w:numPr>
          <w:ilvl w:val="0"/>
          <w:numId w:val="13"/>
        </w:numPr>
      </w:pPr>
      <w:r>
        <w:rPr>
          <w:b w:val="0"/>
          <w:i w:val="0"/>
        </w:rPr>
        <w:t>Suit-il un territoire sous-endocardique ou transmural coronaire ? Si oui, l’hypothèse ischémique devient prioritaire.</w:t>
      </w:r>
    </w:p>
    <w:p>
      <w:pPr>
        <w:pStyle w:val="ListNumber"/>
        <w:numPr>
          <w:ilvl w:val="0"/>
          <w:numId w:val="13"/>
        </w:numPr>
      </w:pPr>
      <w:r>
        <w:rPr>
          <w:b w:val="0"/>
          <w:i w:val="0"/>
        </w:rPr>
        <w:t>Le motif est-il non ischémique et compatible avec Fabry, notamment basal inférolatéral mésopariétal ?</w:t>
      </w:r>
    </w:p>
    <w:p>
      <w:pPr>
        <w:pStyle w:val="ListNumber"/>
        <w:numPr>
          <w:ilvl w:val="0"/>
          <w:numId w:val="13"/>
        </w:numPr>
      </w:pPr>
      <w:r>
        <w:rPr>
          <w:b w:val="0"/>
          <w:i w:val="0"/>
        </w:rPr>
        <w:t>Existe-t-il une preuve étiologique indépendante de Fabry : variant pathogène/probablement pathogène, enzyme/lyso-Gb3 cohérents, phénotype systémique ou familial ?</w:t>
      </w:r>
    </w:p>
    <w:p>
      <w:pPr>
        <w:pStyle w:val="ListNumber"/>
        <w:numPr>
          <w:ilvl w:val="0"/>
          <w:numId w:val="13"/>
        </w:numPr>
      </w:pPr>
      <w:r>
        <w:rPr>
          <w:b w:val="0"/>
          <w:i w:val="0"/>
        </w:rPr>
        <w:t>Des causes concurrentes — myocardite, sarcoïdose, cardiomyopathie sarcomérique, pression, valvule — sont-elles plausibles ?</w:t>
      </w:r>
    </w:p>
    <w:p>
      <w:pPr>
        <w:pStyle w:val="ListNumber"/>
        <w:numPr>
          <w:ilvl w:val="0"/>
          <w:numId w:val="13"/>
        </w:numPr>
      </w:pPr>
      <w:r>
        <w:rPr>
          <w:b w:val="0"/>
          <w:i w:val="0"/>
        </w:rPr>
        <w:t>Le T2 et la troponine suggèrent-ils une activité actuelle superposée à la cicatrice ?</w:t>
      </w:r>
    </w:p>
    <w:p>
      <w:pPr>
        <w:pStyle w:val="ListNumber"/>
        <w:numPr>
          <w:ilvl w:val="0"/>
          <w:numId w:val="13"/>
        </w:numPr>
      </w:pPr>
      <w:r>
        <w:rPr>
          <w:b w:val="0"/>
          <w:i w:val="0"/>
        </w:rPr>
        <w:t>Le résultat doit-il être attribué entièrement, partiellement ou non attribué à Fabry ?</w:t>
      </w:r>
    </w:p>
    <w:p>
      <w:pPr>
        <w:widowControl/>
      </w:pPr>
      <w:r>
        <w:rPr>
          <w:b w:val="0"/>
          <w:i w:val="0"/>
        </w:rPr>
        <w:t>Une catégorie « indéterminé/mixte » est scientifiquement préférable à une certitude forcée.</w:t>
      </w:r>
    </w:p>
    <w:p>
      <w:pPr>
        <w:pStyle w:val="Heading2"/>
      </w:pPr>
      <w:r>
        <w:t>32. Scénarios paradoxaux à anticiper</w:t>
      </w:r>
    </w:p>
    <w:p>
      <w:pPr>
        <w:pStyle w:val="Heading3"/>
      </w:pPr>
      <w:r>
        <w:t>32.1 T1 bas, LGE absent, masse normale</w:t>
      </w:r>
    </w:p>
    <w:p>
      <w:pPr>
        <w:widowControl/>
      </w:pPr>
      <w:r>
        <w:rPr>
          <w:b w:val="0"/>
          <w:i w:val="0"/>
        </w:rPr>
        <w:t>Interprétation dominante : stockage préhypertrophique compatible, particulièrement chez un porteur confirmé. Fibrose focale non détectée. Ne pas appeler « fibrose précoce » ; rechercher les conséquences subtiles uniquement dans le cadre d’une hypothèse distincte.</w:t>
      </w:r>
    </w:p>
    <w:p>
      <w:pPr>
        <w:pStyle w:val="Heading3"/>
      </w:pPr>
      <w:r>
        <w:t>32.2 T1 normal, LGE positif chez une femme sans hypertrophie</w:t>
      </w:r>
    </w:p>
    <w:p>
      <w:pPr>
        <w:widowControl/>
      </w:pPr>
      <w:r>
        <w:rPr>
          <w:b w:val="0"/>
          <w:i w:val="0"/>
        </w:rPr>
        <w:t>Interprétation dominante : cicatrice focale possible malgré moyenne T1 et masse normales, compatible avec mosaïcisme tissulaire/pseudonormalisation. Ne pas exclure Fabry pour absence de l’algorithme masculin classique.</w:t>
      </w:r>
    </w:p>
    <w:p>
      <w:pPr>
        <w:pStyle w:val="Heading3"/>
      </w:pPr>
      <w:r>
        <w:t>32.3 T1 bas, ECV normale, masse élevée</w:t>
      </w:r>
    </w:p>
    <w:p>
      <w:pPr>
        <w:widowControl/>
      </w:pPr>
      <w:r>
        <w:rPr>
          <w:b w:val="0"/>
          <w:i w:val="0"/>
        </w:rPr>
        <w:t>Interprétation dominante : stockage intracellulaire et hypertrophie avec absence d’expansion extracellulaire globale détectable. Une cicatrice focale reste à évaluer séparément.</w:t>
      </w:r>
    </w:p>
    <w:p>
      <w:pPr>
        <w:pStyle w:val="Heading3"/>
      </w:pPr>
      <w:r>
        <w:t>32.4 LGE positif, T2 élevé, troponine chronique</w:t>
      </w:r>
    </w:p>
    <w:p>
      <w:pPr>
        <w:widowControl/>
      </w:pPr>
      <w:r>
        <w:rPr>
          <w:b w:val="0"/>
          <w:i w:val="0"/>
        </w:rPr>
        <w:t>Interprétation dominante : cicatrice avec activité lésionnelle/eau tissulaire superposée. Ne pas qualifier automatiquement « myocardite Fabry » ; exclure événements aigus et causes concurrentes.</w:t>
      </w:r>
    </w:p>
    <w:p>
      <w:pPr>
        <w:pStyle w:val="Heading3"/>
      </w:pPr>
      <w:r>
        <w:t>32.5 LGE augmente, masse stable</w:t>
      </w:r>
    </w:p>
    <w:p>
      <w:pPr>
        <w:widowControl/>
      </w:pPr>
      <w:r>
        <w:rPr>
          <w:b w:val="0"/>
          <w:i w:val="0"/>
        </w:rPr>
        <w:t>Interprétations : progression de cicatrice compensée par perte myocytaire ou changement de compartiments ; variabilité analytique ; changement de méthode ; différence de dénominateur. Revenir aux images, aux unités absolues et à la répétabilité.</w:t>
      </w:r>
    </w:p>
    <w:p>
      <w:pPr>
        <w:pStyle w:val="Heading3"/>
      </w:pPr>
      <w:r>
        <w:t>32.6 Lyso-Gb3 baisse, LGE stable</w:t>
      </w:r>
    </w:p>
    <w:p>
      <w:pPr>
        <w:widowControl/>
      </w:pPr>
      <w:r>
        <w:rPr>
          <w:b w:val="0"/>
          <w:i w:val="0"/>
        </w:rPr>
        <w:t>Interprétation : réponse biochimique en amont sans preuve de régression cicatricielle, compatible avec les cinétiques différentes. Ne pas conclure à l’inefficacité ou à la réversibilité sans objectif et délai appropriés.</w:t>
      </w:r>
    </w:p>
    <w:p>
      <w:pPr>
        <w:pStyle w:val="Heading3"/>
      </w:pPr>
      <w:r>
        <w:t>32.7 Troponine augmente, LGE stable</w:t>
      </w:r>
    </w:p>
    <w:p>
      <w:pPr>
        <w:widowControl/>
      </w:pPr>
      <w:r>
        <w:rPr>
          <w:b w:val="0"/>
          <w:i w:val="0"/>
        </w:rPr>
        <w:t>Interprétations : dommage actif sans nouvelle cicatrice détectable, événement intercurrent, insuffisance rénale, variabilité biologique ou sensibilité insuffisante du LGE. La troponine ne doit pas être convertie en progression de fibrose.</w:t>
      </w:r>
    </w:p>
    <w:p>
      <w:pPr>
        <w:pStyle w:val="Heading3"/>
      </w:pPr>
      <w:r>
        <w:t>32.8 ECV élevée diffuse avec T1 élevé</w:t>
      </w:r>
    </w:p>
    <w:p>
      <w:pPr>
        <w:widowControl/>
      </w:pPr>
      <w:r>
        <w:rPr>
          <w:b w:val="0"/>
          <w:i w:val="0"/>
        </w:rPr>
        <w:t>Interprétations : atteinte avancée avec expansion extracellulaire, amylose, inflammation/œdème, comorbidité ou erreur d’hématocrite. Ce profil n’est pas le signal de stockage Fabry typique et exige un arbitrage différentiel.</w:t>
      </w:r>
    </w:p>
    <w:p>
      <w:r>
        <w:br w:type="page"/>
      </w:r>
    </w:p>
    <w:p>
      <w:pPr>
        <w:pStyle w:val="Heading1"/>
        <w:pBdr>
          <w:bottom w:val="single" w:sz="12" w:space="7" w:color="22A6B3"/>
        </w:pBdr>
      </w:pPr>
      <w:r>
        <w:t>PARTIE VII — BIBLIOTHÈQUE D’OBJECTIFS POSSIBLES</w:t>
      </w:r>
    </w:p>
    <w:p>
      <w:pPr>
        <w:pStyle w:val="Heading2"/>
      </w:pPr>
      <w:r>
        <w:t>33. Pourquoi l’objectif précède la modalité</w:t>
      </w:r>
    </w:p>
    <w:p>
      <w:pPr>
        <w:widowControl/>
      </w:pPr>
      <w:r>
        <w:rPr>
          <w:b w:val="0"/>
          <w:i w:val="0"/>
        </w:rPr>
        <w:t>Une même image peut répondre imparfaitement à plusieurs questions, mais aucun protocole ne peut optimiser simultanément détection, quantification, suivi, mécanisme et pronostic sans arbitrage. Le Reasoning Book conserve donc une bibliothèque d’objectifs possibles et explicite, pour chacun, le résultat à estimer et la conclusion interdite.</w:t>
      </w:r>
    </w:p>
    <w:p>
      <w:pPr>
        <w:pStyle w:val="Heading2"/>
      </w:pPr>
      <w:r>
        <w:t>34. Objectif O1 — détecter une cicatrice focale</w:t>
      </w:r>
    </w:p>
    <w:p>
      <w:pPr>
        <w:widowControl/>
      </w:pPr>
      <w:r>
        <w:rPr>
          <w:b/>
          <w:i w:val="0"/>
        </w:rPr>
        <w:t>Question.</w:t>
      </w:r>
      <w:r>
        <w:rPr>
          <w:b w:val="0"/>
          <w:i w:val="0"/>
        </w:rPr>
        <w:t xml:space="preserve"> Existe-t-il une cicatrice myocardique focale détectable, et sa distribution est-elle compatible avec Fabry ?</w:t>
      </w:r>
    </w:p>
    <w:p>
      <w:pPr>
        <w:widowControl/>
      </w:pPr>
      <w:r>
        <w:rPr>
          <w:b/>
          <w:i w:val="0"/>
        </w:rPr>
        <w:t>Estimand.</w:t>
      </w:r>
      <w:r>
        <w:rPr>
          <w:b w:val="0"/>
          <w:i w:val="0"/>
        </w:rPr>
        <w:t xml:space="preserve"> Présence et topographie d’un LGE crédible, classé ischémique, non ischémique compatible, non compatible ou indéterminé.</w:t>
      </w:r>
    </w:p>
    <w:p>
      <w:pPr>
        <w:widowControl/>
      </w:pPr>
      <w:r>
        <w:rPr>
          <w:b/>
          <w:i w:val="0"/>
        </w:rPr>
        <w:t>Population pertinente.</w:t>
      </w:r>
      <w:r>
        <w:rPr>
          <w:b w:val="0"/>
          <w:i w:val="0"/>
        </w:rPr>
        <w:t xml:space="preserve"> Maladie confirmée ou suspicion suffisamment étayée, indépendamment de l’existence d’une hypertrophie — particulièrement chez la femme.</w:t>
      </w:r>
    </w:p>
    <w:p>
      <w:pPr>
        <w:widowControl/>
      </w:pPr>
      <w:r>
        <w:rPr>
          <w:b/>
          <w:i w:val="0"/>
        </w:rPr>
        <w:t>Observable principal.</w:t>
      </w:r>
      <w:r>
        <w:rPr>
          <w:b w:val="0"/>
          <w:i w:val="0"/>
        </w:rPr>
        <w:t xml:space="preserve"> LGE avec lecture segmentaire et attribution causale.</w:t>
      </w:r>
    </w:p>
    <w:p>
      <w:pPr>
        <w:widowControl/>
      </w:pPr>
      <w:r>
        <w:rPr>
          <w:b/>
          <w:i w:val="0"/>
        </w:rPr>
        <w:t>Observables de contexte.</w:t>
      </w:r>
      <w:r>
        <w:rPr>
          <w:b w:val="0"/>
          <w:i w:val="0"/>
        </w:rPr>
        <w:t xml:space="preserve"> T1 natif, T2, morphologie, coronaires selon probabilité, génétique, biomarqueurs et événement aigu.</w:t>
      </w:r>
    </w:p>
    <w:p>
      <w:pPr>
        <w:widowControl/>
      </w:pPr>
      <w:r>
        <w:rPr>
          <w:b/>
          <w:i w:val="0"/>
        </w:rPr>
        <w:t>Conclusion interdite.</w:t>
      </w:r>
      <w:r>
        <w:rPr>
          <w:b w:val="0"/>
          <w:i w:val="0"/>
        </w:rPr>
        <w:t xml:space="preserve"> « Absence de toute fibrose » lorsque LGE négatif ; « fibrose Fabry » lorsque l’étiologie reste incertaine.</w:t>
      </w:r>
    </w:p>
    <w:p>
      <w:pPr>
        <w:pStyle w:val="Heading2"/>
      </w:pPr>
      <w:r>
        <w:t>35. Objectif O2 — quantifier l’étendue d’une cicatrice focale</w:t>
      </w:r>
    </w:p>
    <w:p>
      <w:pPr>
        <w:widowControl/>
      </w:pPr>
      <w:r>
        <w:rPr>
          <w:b/>
          <w:i w:val="0"/>
        </w:rPr>
        <w:t>Question.</w:t>
      </w:r>
      <w:r>
        <w:rPr>
          <w:b w:val="0"/>
          <w:i w:val="0"/>
        </w:rPr>
        <w:t xml:space="preserve"> Quelle est l’étendue relative et/ou la masse de tissu avec LGE selon une méthode définie ?</w:t>
      </w:r>
    </w:p>
    <w:p>
      <w:pPr>
        <w:widowControl/>
      </w:pPr>
      <w:r>
        <w:rPr>
          <w:b/>
          <w:i w:val="0"/>
        </w:rPr>
        <w:t>Estimand.</w:t>
      </w:r>
      <w:r>
        <w:rPr>
          <w:b w:val="0"/>
          <w:i w:val="0"/>
        </w:rPr>
        <w:t xml:space="preserve"> Masse absolue et fraction de LGE, ou nombre de segments, avec méthode de segmentation figée.</w:t>
      </w:r>
    </w:p>
    <w:p>
      <w:pPr>
        <w:widowControl/>
      </w:pPr>
      <w:r>
        <w:rPr>
          <w:b/>
          <w:i w:val="0"/>
        </w:rPr>
        <w:t>Condition de validité.</w:t>
      </w:r>
      <w:r>
        <w:rPr>
          <w:b w:val="0"/>
          <w:i w:val="0"/>
        </w:rPr>
        <w:t xml:space="preserve"> Qualité suffisante, convention constante, définition des segments ischémiques/exclus, reproductibilité connue.</w:t>
      </w:r>
    </w:p>
    <w:p>
      <w:pPr>
        <w:widowControl/>
      </w:pPr>
      <w:r>
        <w:rPr>
          <w:b/>
          <w:i w:val="0"/>
        </w:rPr>
        <w:t>Conclusion interdite.</w:t>
      </w:r>
      <w:r>
        <w:rPr>
          <w:b w:val="0"/>
          <w:i w:val="0"/>
        </w:rPr>
        <w:t xml:space="preserve"> Renommer le résultat « pourcentage histologique de fibrose » ou comparer directement des méthodes de seuil différentes.</w:t>
      </w:r>
    </w:p>
    <w:p>
      <w:pPr>
        <w:pStyle w:val="Heading2"/>
      </w:pPr>
      <w:r>
        <w:t>36. Objectif O3 — rechercher une expansion extracellulaire diffuse</w:t>
      </w:r>
    </w:p>
    <w:p>
      <w:pPr>
        <w:widowControl/>
      </w:pPr>
      <w:r>
        <w:rPr>
          <w:b/>
          <w:i w:val="0"/>
        </w:rPr>
        <w:t>Question.</w:t>
      </w:r>
      <w:r>
        <w:rPr>
          <w:b w:val="0"/>
          <w:i w:val="0"/>
        </w:rPr>
        <w:t xml:space="preserve"> Existe-t-il une expansion extracellulaire globale ou régionale en dehors de la cicatrice macroscopique ?</w:t>
      </w:r>
    </w:p>
    <w:p>
      <w:pPr>
        <w:widowControl/>
      </w:pPr>
      <w:r>
        <w:rPr>
          <w:b/>
          <w:i w:val="0"/>
        </w:rPr>
        <w:t>Estimand.</w:t>
      </w:r>
      <w:r>
        <w:rPr>
          <w:b w:val="0"/>
          <w:i w:val="0"/>
        </w:rPr>
        <w:t xml:space="preserve"> ECV globale, distante et régionale, avec hématocrite contemporain et chaîne calibrée.</w:t>
      </w:r>
    </w:p>
    <w:p>
      <w:pPr>
        <w:widowControl/>
      </w:pPr>
      <w:r>
        <w:rPr>
          <w:b/>
          <w:i w:val="0"/>
        </w:rPr>
        <w:t>Hypothèse biologique.</w:t>
      </w:r>
      <w:r>
        <w:rPr>
          <w:b w:val="0"/>
          <w:i w:val="0"/>
        </w:rPr>
        <w:t xml:space="preserve"> Une composante interstitielle peut évoluer en parallèle de la cicatrice de remplacement.</w:t>
      </w:r>
    </w:p>
    <w:p>
      <w:pPr>
        <w:widowControl/>
      </w:pPr>
      <w:r>
        <w:rPr>
          <w:b/>
          <w:i w:val="0"/>
        </w:rPr>
        <w:t>Conclusion interdite.</w:t>
      </w:r>
      <w:r>
        <w:rPr>
          <w:b w:val="0"/>
          <w:i w:val="0"/>
        </w:rPr>
        <w:t xml:space="preserve"> ECV = collagène ; ECV normale = absence de fibrose microscopique.</w:t>
      </w:r>
    </w:p>
    <w:p>
      <w:pPr>
        <w:pStyle w:val="Heading2"/>
      </w:pPr>
      <w:r>
        <w:t>37. Objectif O4 — distinguer substrat, activité et cicatrice</w:t>
      </w:r>
    </w:p>
    <w:p>
      <w:pPr>
        <w:widowControl/>
      </w:pPr>
      <w:r>
        <w:rPr>
          <w:b/>
          <w:i w:val="0"/>
        </w:rPr>
        <w:t>Question.</w:t>
      </w:r>
      <w:r>
        <w:rPr>
          <w:b w:val="0"/>
          <w:i w:val="0"/>
        </w:rPr>
        <w:t xml:space="preserve"> Le phénotype dominant est-il un stockage sans cicatrice, une lésion active, une cicatrice établie, ou une combinaison ?</w:t>
      </w:r>
    </w:p>
    <w:p>
      <w:pPr>
        <w:widowControl/>
      </w:pPr>
      <w:r>
        <w:rPr>
          <w:b/>
          <w:i w:val="0"/>
        </w:rPr>
        <w:t>Estimands conjoints.</w:t>
      </w:r>
      <w:r>
        <w:rPr>
          <w:b w:val="0"/>
          <w:i w:val="0"/>
        </w:rPr>
        <w:t xml:space="preserve"> T1 natif pour la composition liée au stockage ; T2/troponine pour l’activité ; LGE/ECV pour le dommage extracellulaire ; masse/strain pour le retentissement.</w:t>
      </w:r>
    </w:p>
    <w:p>
      <w:pPr>
        <w:widowControl/>
      </w:pPr>
      <w:r>
        <w:rPr>
          <w:b/>
          <w:i w:val="0"/>
        </w:rPr>
        <w:t>Force.</w:t>
      </w:r>
      <w:r>
        <w:rPr>
          <w:b w:val="0"/>
          <w:i w:val="0"/>
        </w:rPr>
        <w:t xml:space="preserve"> Réduit les erreurs de catégorie et reconnaît les phénotypes mixtes.</w:t>
      </w:r>
    </w:p>
    <w:p>
      <w:pPr>
        <w:widowControl/>
      </w:pPr>
      <w:r>
        <w:rPr>
          <w:b/>
          <w:i w:val="0"/>
        </w:rPr>
        <w:t>Risque.</w:t>
      </w:r>
      <w:r>
        <w:rPr>
          <w:b w:val="0"/>
          <w:i w:val="0"/>
        </w:rPr>
        <w:t xml:space="preserve"> Fabriquer un score composite non validé. La sortie doit rester un profil multidimensionnel explicable.</w:t>
      </w:r>
    </w:p>
    <w:p>
      <w:pPr>
        <w:pStyle w:val="Heading2"/>
      </w:pPr>
      <w:r>
        <w:t>38. Objectif O5 — mesurer une progression individuelle</w:t>
      </w:r>
    </w:p>
    <w:p>
      <w:pPr>
        <w:widowControl/>
      </w:pPr>
      <w:r>
        <w:rPr>
          <w:b/>
          <w:i w:val="0"/>
        </w:rPr>
        <w:t>Question.</w:t>
      </w:r>
      <w:r>
        <w:rPr>
          <w:b w:val="0"/>
          <w:i w:val="0"/>
        </w:rPr>
        <w:t xml:space="preserve"> La cicatrice focale ou l’expansion extracellulaire a-t-elle changé au-delà de l’erreur de mesure ?</w:t>
      </w:r>
    </w:p>
    <w:p>
      <w:pPr>
        <w:widowControl/>
      </w:pPr>
      <w:r>
        <w:rPr>
          <w:b/>
          <w:i w:val="0"/>
        </w:rPr>
        <w:t>Estimand.</w:t>
      </w:r>
      <w:r>
        <w:rPr>
          <w:b w:val="0"/>
          <w:i w:val="0"/>
        </w:rPr>
        <w:t xml:space="preserve"> Changement absolu et relatif entre temps définis, avec intervalle d’incertitude, mêmes conventions et statut thérapeutique détaillé.</w:t>
      </w:r>
    </w:p>
    <w:p>
      <w:pPr>
        <w:widowControl/>
      </w:pPr>
      <w:r>
        <w:rPr>
          <w:b/>
          <w:i w:val="0"/>
        </w:rPr>
        <w:t>Exigence.</w:t>
      </w:r>
      <w:r>
        <w:rPr>
          <w:b w:val="0"/>
          <w:i w:val="0"/>
        </w:rPr>
        <w:t xml:space="preserve"> La variance de répétition de la chaîne doit être connue ; un changement de scanner, logiciel ou méthode devient un événement analytique majeur.</w:t>
      </w:r>
    </w:p>
    <w:p>
      <w:pPr>
        <w:widowControl/>
      </w:pPr>
      <w:r>
        <w:rPr>
          <w:b/>
          <w:i w:val="0"/>
        </w:rPr>
        <w:t>Conclusion interdite.</w:t>
      </w:r>
      <w:r>
        <w:rPr>
          <w:b w:val="0"/>
          <w:i w:val="0"/>
        </w:rPr>
        <w:t xml:space="preserve"> Attribuer la variation au traitement sans comparateur ou modèle causal ; appeler progression un changement inférieur à la reproductibilité.</w:t>
      </w:r>
    </w:p>
    <w:p>
      <w:pPr>
        <w:pStyle w:val="Heading2"/>
      </w:pPr>
      <w:r>
        <w:t>39. Objectif O6 — évaluer une réponse thérapeutique</w:t>
      </w:r>
    </w:p>
    <w:p>
      <w:pPr>
        <w:widowControl/>
      </w:pPr>
      <w:r>
        <w:rPr>
          <w:b/>
          <w:i w:val="0"/>
        </w:rPr>
        <w:t>Question.</w:t>
      </w:r>
      <w:r>
        <w:rPr>
          <w:b w:val="0"/>
          <w:i w:val="0"/>
        </w:rPr>
        <w:t xml:space="preserve"> Une intervention modifie-t-elle le substrat, l’activité, le remodelage ou la cicatrice par rapport à une trajectoire contrefactuelle ?</w:t>
      </w:r>
    </w:p>
    <w:p>
      <w:pPr>
        <w:widowControl/>
      </w:pPr>
      <w:r>
        <w:rPr>
          <w:b/>
          <w:i w:val="0"/>
        </w:rPr>
        <w:t>Estimands séparés.</w:t>
      </w:r>
      <w:r>
        <w:rPr>
          <w:b w:val="0"/>
          <w:i w:val="0"/>
        </w:rPr>
        <w:t xml:space="preserve"> Réponse biochimique ; changement de T1/mass ; activité T2/troponine ; progression du LGE/ECV ; fonction ; événements.</w:t>
      </w:r>
    </w:p>
    <w:p>
      <w:pPr>
        <w:widowControl/>
      </w:pPr>
      <w:r>
        <w:rPr>
          <w:b/>
          <w:i w:val="0"/>
        </w:rPr>
        <w:t>Modèle temporel.</w:t>
      </w:r>
      <w:r>
        <w:rPr>
          <w:b w:val="0"/>
          <w:i w:val="0"/>
        </w:rPr>
        <w:t xml:space="preserve"> Les fenêtres attendues diffèrent. Une réponse en amont ne présume pas la régression en aval.</w:t>
      </w:r>
    </w:p>
    <w:p>
      <w:pPr>
        <w:widowControl/>
      </w:pPr>
      <w:r>
        <w:rPr>
          <w:b/>
          <w:i w:val="0"/>
        </w:rPr>
        <w:t>Exigence causale.</w:t>
      </w:r>
      <w:r>
        <w:rPr>
          <w:b w:val="0"/>
          <w:i w:val="0"/>
        </w:rPr>
        <w:t xml:space="preserve"> Comparateur, mesure de départ, durée suffisante, exposition réelle et contrôle de la confusion par indication.</w:t>
      </w:r>
    </w:p>
    <w:p>
      <w:pPr>
        <w:widowControl/>
      </w:pPr>
      <w:r>
        <w:rPr>
          <w:b/>
          <w:i w:val="0"/>
        </w:rPr>
        <w:t>Conclusion interdite.</w:t>
      </w:r>
      <w:r>
        <w:rPr>
          <w:b w:val="0"/>
          <w:i w:val="0"/>
        </w:rPr>
        <w:t xml:space="preserve"> « Fibrose réversible » sur baisse de lyso-Gb3 ou T2 ; « absence d’effet » sur LGE stable à court terme.</w:t>
      </w:r>
    </w:p>
    <w:p>
      <w:pPr>
        <w:pStyle w:val="Heading2"/>
      </w:pPr>
      <w:r>
        <w:t>40. Objectif O7 — estimer un risque</w:t>
      </w:r>
    </w:p>
    <w:p>
      <w:pPr>
        <w:widowControl/>
      </w:pPr>
      <w:r>
        <w:rPr>
          <w:b/>
          <w:i w:val="0"/>
        </w:rPr>
        <w:t>Question.</w:t>
      </w:r>
      <w:r>
        <w:rPr>
          <w:b w:val="0"/>
          <w:i w:val="0"/>
        </w:rPr>
        <w:t xml:space="preserve"> L’information de cicatrice améliore-t-elle la prédiction d’événements au-delà de l’âge, de la fonction rénale, de la masse, du rythme et des biomarqueurs ?</w:t>
      </w:r>
    </w:p>
    <w:p>
      <w:pPr>
        <w:widowControl/>
      </w:pPr>
      <w:r>
        <w:rPr>
          <w:b/>
          <w:i w:val="0"/>
        </w:rPr>
        <w:t>Estimand.</w:t>
      </w:r>
      <w:r>
        <w:rPr>
          <w:b w:val="0"/>
          <w:i w:val="0"/>
        </w:rPr>
        <w:t xml:space="preserve"> Risque absolu calibré à un horizon explicite, pas seulement un hazard ratio.</w:t>
      </w:r>
    </w:p>
    <w:p>
      <w:pPr>
        <w:widowControl/>
      </w:pPr>
      <w:r>
        <w:rPr>
          <w:b/>
          <w:i w:val="0"/>
        </w:rPr>
        <w:t>Éléments candidats.</w:t>
      </w:r>
      <w:r>
        <w:rPr>
          <w:b w:val="0"/>
          <w:i w:val="0"/>
        </w:rPr>
        <w:t xml:space="preserve"> Présence/étendue LGE, masse indexée, segments LGE, T1, strain, fonction atriale, troponine, NT-proBNP, arythmies.</w:t>
      </w:r>
    </w:p>
    <w:p>
      <w:pPr>
        <w:widowControl/>
      </w:pPr>
      <w:r>
        <w:rPr>
          <w:b/>
          <w:i w:val="0"/>
        </w:rPr>
        <w:t>Exigence.</w:t>
      </w:r>
      <w:r>
        <w:rPr>
          <w:b w:val="0"/>
          <w:i w:val="0"/>
        </w:rPr>
        <w:t xml:space="preserve"> Validation externe, calibration, gestion des risques concurrents, performance incrémentale et utilité décisionnelle. Un score récent combinant âge, masse, segments LGE et T1 septal est prometteur mais ne constitue pas encore une règle universelle. [R24]</w:t>
      </w:r>
    </w:p>
    <w:p>
      <w:pPr>
        <w:widowControl/>
      </w:pPr>
      <w:r>
        <w:rPr>
          <w:b/>
          <w:i w:val="0"/>
        </w:rPr>
        <w:t>Conclusion interdite.</w:t>
      </w:r>
      <w:r>
        <w:rPr>
          <w:b w:val="0"/>
          <w:i w:val="0"/>
        </w:rPr>
        <w:t xml:space="preserve"> Transformer une association de cohorte ou un seuil de 15 % de LGE en indication thérapeutique universelle.</w:t>
      </w:r>
    </w:p>
    <w:p>
      <w:pPr>
        <w:pStyle w:val="Heading2"/>
      </w:pPr>
      <w:r>
        <w:t>41. Objectif O8 — expliquer un mécanisme</w:t>
      </w:r>
    </w:p>
    <w:p>
      <w:pPr>
        <w:widowControl/>
      </w:pPr>
      <w:r>
        <w:rPr>
          <w:b/>
          <w:i w:val="0"/>
        </w:rPr>
        <w:t>Question.</w:t>
      </w:r>
      <w:r>
        <w:rPr>
          <w:b w:val="0"/>
          <w:i w:val="0"/>
        </w:rPr>
        <w:t xml:space="preserve"> L’activité lésionnelle médie-t-elle le passage du stockage à la cicatrice ? La microvascularité précède-t-elle le LGE ? La trajectoire diffère-t-elle selon le sexe ou le variant ?</w:t>
      </w:r>
    </w:p>
    <w:p>
      <w:pPr>
        <w:widowControl/>
      </w:pPr>
      <w:r>
        <w:rPr>
          <w:b/>
          <w:i w:val="0"/>
        </w:rPr>
        <w:t>Estimand.</w:t>
      </w:r>
      <w:r>
        <w:rPr>
          <w:b w:val="0"/>
          <w:i w:val="0"/>
        </w:rPr>
        <w:t xml:space="preserve"> Effet direct/indirect ou séquence temporelle définie dans un graphe causal.</w:t>
      </w:r>
    </w:p>
    <w:p>
      <w:pPr>
        <w:widowControl/>
      </w:pPr>
      <w:r>
        <w:rPr>
          <w:b/>
          <w:i w:val="0"/>
        </w:rPr>
        <w:t>Exigence.</w:t>
      </w:r>
      <w:r>
        <w:rPr>
          <w:b w:val="0"/>
          <w:i w:val="0"/>
        </w:rPr>
        <w:t xml:space="preserve"> Mesures répétées, temporalité, médiateurs préspécifiés, données sur traitement et événements intercurrents, prudence face aux petits effectifs.</w:t>
      </w:r>
    </w:p>
    <w:p>
      <w:pPr>
        <w:widowControl/>
      </w:pPr>
      <w:r>
        <w:rPr>
          <w:b/>
          <w:i w:val="0"/>
        </w:rPr>
        <w:t>Conclusion interdite.</w:t>
      </w:r>
      <w:r>
        <w:rPr>
          <w:b w:val="0"/>
          <w:i w:val="0"/>
        </w:rPr>
        <w:t xml:space="preserve"> Déduire une médiation de corrélations transversales.</w:t>
      </w:r>
    </w:p>
    <w:p>
      <w:pPr>
        <w:pStyle w:val="Heading2"/>
      </w:pPr>
      <w:r>
        <w:t>42. Objectif O9 — qualifier un biomarqueur comme critère de recherche</w:t>
      </w:r>
    </w:p>
    <w:p>
      <w:pPr>
        <w:widowControl/>
      </w:pPr>
      <w:r>
        <w:rPr>
          <w:b/>
          <w:i w:val="0"/>
        </w:rPr>
        <w:t>Question.</w:t>
      </w:r>
      <w:r>
        <w:rPr>
          <w:b w:val="0"/>
          <w:i w:val="0"/>
        </w:rPr>
        <w:t xml:space="preserve"> Une mesure est-elle suffisamment fiable, sensible au changement et reliée à un résultat pertinent pour servir de critère ?</w:t>
      </w:r>
    </w:p>
    <w:p>
      <w:pPr>
        <w:widowControl/>
      </w:pPr>
      <w:r>
        <w:rPr>
          <w:b/>
          <w:i w:val="0"/>
        </w:rPr>
        <w:t>Étapes.</w:t>
      </w:r>
      <w:r>
        <w:rPr>
          <w:b w:val="0"/>
          <w:i w:val="0"/>
        </w:rPr>
        <w:t xml:space="preserve"> Validité analytique → validité biologique → association clinique → sensibilité au changement → seuil de changement interprétable → validation externe → contexte d’usage réglementaire ou scientifique.</w:t>
      </w:r>
    </w:p>
    <w:p>
      <w:pPr>
        <w:widowControl/>
      </w:pPr>
      <w:r>
        <w:rPr>
          <w:b/>
          <w:i w:val="0"/>
        </w:rPr>
        <w:t>Conclusion interdite.</w:t>
      </w:r>
      <w:r>
        <w:rPr>
          <w:b w:val="0"/>
          <w:i w:val="0"/>
        </w:rPr>
        <w:t xml:space="preserve"> Appeler « endpoint validé » un biomarqueur simplement publié ou pronostique.</w:t>
      </w:r>
    </w:p>
    <w:p>
      <w:pPr>
        <w:pStyle w:val="Heading2"/>
      </w:pPr>
      <w:r>
        <w:t>43. Objectif O10 — phénotyper sans contraste</w:t>
      </w:r>
    </w:p>
    <w:p>
      <w:pPr>
        <w:widowControl/>
      </w:pPr>
      <w:r>
        <w:rPr>
          <w:b/>
          <w:i w:val="0"/>
        </w:rPr>
        <w:t>Question.</w:t>
      </w:r>
      <w:r>
        <w:rPr>
          <w:b w:val="0"/>
          <w:i w:val="0"/>
        </w:rPr>
        <w:t xml:space="preserve"> Lorsque le contraste n’est pas disponible, quel degré de probabilité de stockage, d’activité et de retentissement peut être obtenu ?</w:t>
      </w:r>
    </w:p>
    <w:p>
      <w:pPr>
        <w:widowControl/>
      </w:pPr>
      <w:r>
        <w:rPr>
          <w:b/>
          <w:i w:val="0"/>
        </w:rPr>
        <w:t>Estimands.</w:t>
      </w:r>
      <w:r>
        <w:rPr>
          <w:b w:val="0"/>
          <w:i w:val="0"/>
        </w:rPr>
        <w:t xml:space="preserve"> T1 natif, T2, masse, volumes, strain et biomarqueurs, chacun conservant son construit.</w:t>
      </w:r>
    </w:p>
    <w:p>
      <w:pPr>
        <w:widowControl/>
      </w:pPr>
      <w:r>
        <w:rPr>
          <w:b/>
          <w:i w:val="0"/>
        </w:rPr>
        <w:t>Sortie correcte.</w:t>
      </w:r>
      <w:r>
        <w:rPr>
          <w:b w:val="0"/>
          <w:i w:val="0"/>
        </w:rPr>
        <w:t xml:space="preserve"> « Profil non contrasté compatible avec… ; cicatrice focale non directement évaluée. »</w:t>
      </w:r>
    </w:p>
    <w:p>
      <w:pPr>
        <w:widowControl/>
      </w:pPr>
      <w:r>
        <w:rPr>
          <w:b/>
          <w:i w:val="0"/>
        </w:rPr>
        <w:t>Conclusion interdite.</w:t>
      </w:r>
      <w:r>
        <w:rPr>
          <w:b w:val="0"/>
          <w:i w:val="0"/>
        </w:rPr>
        <w:t xml:space="preserve"> Remplacer le LGE par une combinaison opaque et continuer à appeler le résultat « mesure de fibrose ».</w:t>
      </w:r>
    </w:p>
    <w:p>
      <w:pPr>
        <w:pStyle w:val="Heading2"/>
      </w:pPr>
      <w:r>
        <w:t>44. Objectif O11 — arbitrer un variant incertain</w:t>
      </w:r>
    </w:p>
    <w:p>
      <w:pPr>
        <w:widowControl/>
      </w:pPr>
      <w:r>
        <w:rPr>
          <w:b/>
          <w:i w:val="0"/>
        </w:rPr>
        <w:t>Question.</w:t>
      </w:r>
      <w:r>
        <w:rPr>
          <w:b w:val="0"/>
          <w:i w:val="0"/>
        </w:rPr>
        <w:t xml:space="preserve"> Le phénotype cardiaque apporte-t-il un élément de concordance pour reclasser ou contextualiser un variant GLA ?</w:t>
      </w:r>
    </w:p>
    <w:p>
      <w:pPr>
        <w:widowControl/>
      </w:pPr>
      <w:r>
        <w:rPr>
          <w:b/>
          <w:i w:val="0"/>
        </w:rPr>
        <w:t>Entrées.</w:t>
      </w:r>
      <w:r>
        <w:rPr>
          <w:b w:val="0"/>
          <w:i w:val="0"/>
        </w:rPr>
        <w:t xml:space="preserve"> Classification génétique actuelle, ségrégation familiale, activité enzymatique, lyso-Gb3, atteinte rénale/neurologique/cutanée, T1, LGE, morphologie et alternatives.</w:t>
      </w:r>
    </w:p>
    <w:p>
      <w:pPr>
        <w:widowControl/>
      </w:pPr>
      <w:r>
        <w:rPr>
          <w:b/>
          <w:i w:val="0"/>
        </w:rPr>
        <w:t>Sortie.</w:t>
      </w:r>
      <w:r>
        <w:rPr>
          <w:b w:val="0"/>
          <w:i w:val="0"/>
        </w:rPr>
        <w:t xml:space="preserve"> Degré de concordance phénotypique ; jamais reclassification automatique par imagerie seule.</w:t>
      </w:r>
    </w:p>
    <w:p>
      <w:pPr>
        <w:widowControl/>
      </w:pPr>
      <w:r>
        <w:rPr>
          <w:b/>
          <w:i w:val="0"/>
        </w:rPr>
        <w:t>Conclusion interdite.</w:t>
      </w:r>
      <w:r>
        <w:rPr>
          <w:b w:val="0"/>
          <w:i w:val="0"/>
        </w:rPr>
        <w:t xml:space="preserve"> « T1 bas donc variant pathogène » ou « LGE donc Fabry ».</w:t>
      </w:r>
    </w:p>
    <w:p>
      <w:r>
        <w:br w:type="page"/>
      </w:r>
    </w:p>
    <w:p>
      <w:pPr>
        <w:pStyle w:val="Heading1"/>
        <w:pBdr>
          <w:bottom w:val="single" w:sz="12" w:space="7" w:color="22A6B3"/>
        </w:pBdr>
      </w:pPr>
      <w:r>
        <w:t>PARTIE VIII — HYPOTHÈSES SCIENTIFIQUES</w:t>
      </w:r>
    </w:p>
    <w:p>
      <w:pPr>
        <w:pStyle w:val="Heading2"/>
      </w:pPr>
      <w:r>
        <w:t>45. Cadre de formulation</w:t>
      </w:r>
    </w:p>
    <w:p>
      <w:pPr>
        <w:widowControl/>
      </w:pPr>
      <w:r>
        <w:rPr>
          <w:b w:val="0"/>
          <w:i w:val="0"/>
        </w:rPr>
        <w:t>Chaque hypothèse est écrite comme une proposition réfutable. Les observations de soutien, les observations qui l’affaibliraient et le niveau de confiance sont séparés. Une hypothèse peut être utile au design sans être tenue pour vraie.</w:t>
      </w:r>
    </w:p>
    <w:p>
      <w:pPr>
        <w:pStyle w:val="Heading2"/>
      </w:pPr>
      <w:r>
        <w:t>46. H1 — le LGE reflète principalement une fibrose de remplacement focale</w:t>
      </w:r>
    </w:p>
    <w:p>
      <w:pPr>
        <w:widowControl/>
      </w:pPr>
      <w:r>
        <w:rPr>
          <w:b/>
          <w:i w:val="0"/>
        </w:rPr>
        <w:t>Proposition.</w:t>
      </w:r>
      <w:r>
        <w:rPr>
          <w:b w:val="0"/>
          <w:i w:val="0"/>
        </w:rPr>
        <w:t xml:space="preserve"> Dans une maladie de Fabry étiologiquement établie, un LGE non ischémique basal inférolatéral techniquement crédible reflète principalement une cicatrice collagénique de remplacement.</w:t>
      </w:r>
    </w:p>
    <w:p>
      <w:pPr>
        <w:widowControl/>
      </w:pPr>
      <w:r>
        <w:rPr>
          <w:b/>
          <w:i w:val="0"/>
        </w:rPr>
        <w:t>Soutien.</w:t>
      </w:r>
      <w:r>
        <w:rPr>
          <w:b w:val="0"/>
          <w:i w:val="0"/>
        </w:rPr>
        <w:t xml:space="preserve"> Validation histologique sur cœur entier ; motif répliqué ; association avec troponine, progression et événements. [R13, R19, R22–R25]</w:t>
      </w:r>
    </w:p>
    <w:p>
      <w:pPr>
        <w:widowControl/>
      </w:pPr>
      <w:r>
        <w:rPr>
          <w:b/>
          <w:i w:val="0"/>
        </w:rPr>
        <w:t>Affaiblissement.</w:t>
      </w:r>
      <w:r>
        <w:rPr>
          <w:b w:val="0"/>
          <w:i w:val="0"/>
        </w:rPr>
        <w:t xml:space="preserve"> Disparition rapide du signal sans modification technique ; absence de collagène sur validation régionale adéquate ; explication alternative forte comme myocardite ou sarcoïdose.</w:t>
      </w:r>
    </w:p>
    <w:p>
      <w:pPr>
        <w:widowControl/>
      </w:pPr>
      <w:r>
        <w:rPr>
          <w:b/>
          <w:i w:val="0"/>
        </w:rPr>
        <w:t>Niveau.</w:t>
      </w:r>
      <w:r>
        <w:rPr>
          <w:b w:val="0"/>
          <w:i w:val="0"/>
        </w:rPr>
        <w:t xml:space="preserve"> A pour la cicatrice focale dans le contexte typique ; B pour l’attribution exclusive à Fabry.</w:t>
      </w:r>
    </w:p>
    <w:p>
      <w:pPr>
        <w:pStyle w:val="Heading2"/>
      </w:pPr>
      <w:r>
        <w:t>47. H2 — un LGE négatif n’exclut pas une fibrose diffuse ou microscopique</w:t>
      </w:r>
    </w:p>
    <w:p>
      <w:pPr>
        <w:widowControl/>
      </w:pPr>
      <w:r>
        <w:rPr>
          <w:b/>
          <w:i w:val="0"/>
        </w:rPr>
        <w:t>Proposition.</w:t>
      </w:r>
      <w:r>
        <w:rPr>
          <w:b w:val="0"/>
          <w:i w:val="0"/>
        </w:rPr>
        <w:t xml:space="preserve"> La méthode relative du LGE manque certaines expansions homogènes ou lésions sous sa résolution.</w:t>
      </w:r>
    </w:p>
    <w:p>
      <w:pPr>
        <w:widowControl/>
      </w:pPr>
      <w:r>
        <w:rPr>
          <w:b/>
          <w:i w:val="0"/>
        </w:rPr>
        <w:t>Soutien.</w:t>
      </w:r>
      <w:r>
        <w:rPr>
          <w:b w:val="0"/>
          <w:i w:val="0"/>
        </w:rPr>
        <w:t xml:space="preserve"> Principe physique du LGE et consensus CMR ; rôle complémentaire de l’ECV. [R30–R32]</w:t>
      </w:r>
    </w:p>
    <w:p>
      <w:pPr>
        <w:widowControl/>
      </w:pPr>
      <w:r>
        <w:rPr>
          <w:b/>
          <w:i w:val="0"/>
        </w:rPr>
        <w:t>Affaiblissement.</w:t>
      </w:r>
      <w:r>
        <w:rPr>
          <w:b w:val="0"/>
          <w:i w:val="0"/>
        </w:rPr>
        <w:t xml:space="preserve"> Démonstration, dans une cohorte histologique représentative Fabry, d’une valeur prédictive négative quasi parfaite du LGE pour toute fibrose.</w:t>
      </w:r>
    </w:p>
    <w:p>
      <w:pPr>
        <w:widowControl/>
      </w:pPr>
      <w:r>
        <w:rPr>
          <w:b/>
          <w:i w:val="0"/>
        </w:rPr>
        <w:t>Niveau.</w:t>
      </w:r>
      <w:r>
        <w:rPr>
          <w:b w:val="0"/>
          <w:i w:val="0"/>
        </w:rPr>
        <w:t xml:space="preserve"> A comme limite générale du LGE ; C pour l’ampleur réelle de la fibrose diffuse Fabry précoce.</w:t>
      </w:r>
    </w:p>
    <w:p>
      <w:pPr>
        <w:pStyle w:val="Heading2"/>
      </w:pPr>
      <w:r>
        <w:t>48. H3 — le T1 bas préhypertrophique reflète surtout le stockage</w:t>
      </w:r>
    </w:p>
    <w:p>
      <w:pPr>
        <w:widowControl/>
      </w:pPr>
      <w:r>
        <w:rPr>
          <w:b/>
          <w:i w:val="0"/>
        </w:rPr>
        <w:t>Proposition.</w:t>
      </w:r>
      <w:r>
        <w:rPr>
          <w:b w:val="0"/>
          <w:i w:val="0"/>
        </w:rPr>
        <w:t xml:space="preserve"> Chez les porteurs confirmés sans hypertrophie ni LGE, une baisse reproductible du T1 natif est principalement liée à l’accumulation sphingolipidique intracellulaire.</w:t>
      </w:r>
    </w:p>
    <w:p>
      <w:pPr>
        <w:widowControl/>
      </w:pPr>
      <w:r>
        <w:rPr>
          <w:b/>
          <w:i w:val="0"/>
        </w:rPr>
        <w:t>Soutien.</w:t>
      </w:r>
      <w:r>
        <w:rPr>
          <w:b w:val="0"/>
          <w:i w:val="0"/>
        </w:rPr>
        <w:t xml:space="preserve"> Cohortes préhypertrophiques et spectroscopie ; ECV généralement non augmentée. [R08–R12]</w:t>
      </w:r>
    </w:p>
    <w:p>
      <w:pPr>
        <w:widowControl/>
      </w:pPr>
      <w:r>
        <w:rPr>
          <w:b/>
          <w:i w:val="0"/>
        </w:rPr>
        <w:t>Affaiblissement.</w:t>
      </w:r>
      <w:r>
        <w:rPr>
          <w:b w:val="0"/>
          <w:i w:val="0"/>
        </w:rPr>
        <w:t xml:space="preserve"> Fer bas T2*, absence de relation avec stockage sur validation tissulaire, ou normalisation technique après correction du volume partiel.</w:t>
      </w:r>
    </w:p>
    <w:p>
      <w:pPr>
        <w:widowControl/>
      </w:pPr>
      <w:r>
        <w:rPr>
          <w:b/>
          <w:i w:val="0"/>
        </w:rPr>
        <w:t>Niveau.</w:t>
      </w:r>
      <w:r>
        <w:rPr>
          <w:b w:val="0"/>
          <w:i w:val="0"/>
        </w:rPr>
        <w:t xml:space="preserve"> B.</w:t>
      </w:r>
    </w:p>
    <w:p>
      <w:pPr>
        <w:pStyle w:val="Heading2"/>
      </w:pPr>
      <w:r>
        <w:t>49. H4 — le T1 suit une trajectoire non monotone</w:t>
      </w:r>
    </w:p>
    <w:p>
      <w:pPr>
        <w:widowControl/>
      </w:pPr>
      <w:r>
        <w:rPr>
          <w:b/>
          <w:i w:val="0"/>
        </w:rPr>
        <w:t>Proposition.</w:t>
      </w:r>
      <w:r>
        <w:rPr>
          <w:b w:val="0"/>
          <w:i w:val="0"/>
        </w:rPr>
        <w:t xml:space="preserve"> Le T1 diminue avec le stockage puis se pseudonormalise ou augmente régionalement lorsque cicatrice et œdème deviennent dominants.</w:t>
      </w:r>
    </w:p>
    <w:p>
      <w:pPr>
        <w:widowControl/>
      </w:pPr>
      <w:r>
        <w:rPr>
          <w:b/>
          <w:i w:val="0"/>
        </w:rPr>
        <w:t>Soutien.</w:t>
      </w:r>
      <w:r>
        <w:rPr>
          <w:b w:val="0"/>
          <w:i w:val="0"/>
        </w:rPr>
        <w:t xml:space="preserve"> Modèle de stades, analyses régionales et profils avancés. [R06, R15]</w:t>
      </w:r>
    </w:p>
    <w:p>
      <w:pPr>
        <w:widowControl/>
      </w:pPr>
      <w:r>
        <w:rPr>
          <w:b/>
          <w:i w:val="0"/>
        </w:rPr>
        <w:t>Affaiblissement.</w:t>
      </w:r>
      <w:r>
        <w:rPr>
          <w:b w:val="0"/>
          <w:i w:val="0"/>
        </w:rPr>
        <w:t xml:space="preserve"> Cohortes longitudinales montrant une relation strictement monotone après standardisation, indépendamment du LGE et du T2.</w:t>
      </w:r>
    </w:p>
    <w:p>
      <w:pPr>
        <w:widowControl/>
      </w:pPr>
      <w:r>
        <w:rPr>
          <w:b/>
          <w:i w:val="0"/>
        </w:rPr>
        <w:t>Niveau.</w:t>
      </w:r>
      <w:r>
        <w:rPr>
          <w:b w:val="0"/>
          <w:i w:val="0"/>
        </w:rPr>
        <w:t xml:space="preserve"> B pour la pseudonormalisation ; C pour une courbe temporelle individuelle universelle.</w:t>
      </w:r>
    </w:p>
    <w:p>
      <w:pPr>
        <w:pStyle w:val="Heading2"/>
      </w:pPr>
      <w:r>
        <w:t>50. H5 — l’activité lésionnelle persiste autour de certaines cicatrices</w:t>
      </w:r>
    </w:p>
    <w:p>
      <w:pPr>
        <w:widowControl/>
      </w:pPr>
      <w:r>
        <w:rPr>
          <w:b/>
          <w:i w:val="0"/>
        </w:rPr>
        <w:t>Proposition.</w:t>
      </w:r>
      <w:r>
        <w:rPr>
          <w:b w:val="0"/>
          <w:i w:val="0"/>
        </w:rPr>
        <w:t xml:space="preserve"> Une partie des segments LGE contient une activité chronique caractérisée par eau tissulaire accrue et lésion myocytaire persistante.</w:t>
      </w:r>
    </w:p>
    <w:p>
      <w:pPr>
        <w:widowControl/>
      </w:pPr>
      <w:r>
        <w:rPr>
          <w:b/>
          <w:i w:val="0"/>
        </w:rPr>
        <w:t>Soutien.</w:t>
      </w:r>
      <w:r>
        <w:rPr>
          <w:b w:val="0"/>
          <w:i w:val="0"/>
        </w:rPr>
        <w:t xml:space="preserve"> Concordance régionale T2–LGE et association avec troponine ; données histologiques inflammatoires dans des cohortes sélectionnées. [R14–R16, R25]</w:t>
      </w:r>
    </w:p>
    <w:p>
      <w:pPr>
        <w:widowControl/>
      </w:pPr>
      <w:r>
        <w:rPr>
          <w:b/>
          <w:i w:val="0"/>
        </w:rPr>
        <w:t>Affaiblissement.</w:t>
      </w:r>
      <w:r>
        <w:rPr>
          <w:b w:val="0"/>
          <w:i w:val="0"/>
        </w:rPr>
        <w:t xml:space="preserve"> T2 normalisé après correction technique, absence de biomarqueurs et histologie répétée sans inflammation/œdème dans les mêmes régions.</w:t>
      </w:r>
    </w:p>
    <w:p>
      <w:pPr>
        <w:widowControl/>
      </w:pPr>
      <w:r>
        <w:rPr>
          <w:b/>
          <w:i w:val="0"/>
        </w:rPr>
        <w:t>Niveau.</w:t>
      </w:r>
      <w:r>
        <w:rPr>
          <w:b w:val="0"/>
          <w:i w:val="0"/>
        </w:rPr>
        <w:t xml:space="preserve"> B pour activité/lésion ; C pour le mécanisme inflammatoire précis.</w:t>
      </w:r>
    </w:p>
    <w:p>
      <w:pPr>
        <w:pStyle w:val="Heading2"/>
      </w:pPr>
      <w:r>
        <w:t>51. H6 — la dysfonction microvasculaire contribue à la fibrogenèse</w:t>
      </w:r>
    </w:p>
    <w:p>
      <w:pPr>
        <w:widowControl/>
      </w:pPr>
      <w:r>
        <w:rPr>
          <w:b/>
          <w:i w:val="0"/>
        </w:rPr>
        <w:t>Proposition.</w:t>
      </w:r>
      <w:r>
        <w:rPr>
          <w:b w:val="0"/>
          <w:i w:val="0"/>
        </w:rPr>
        <w:t xml:space="preserve"> Une réserve de perfusion altérée participe à la lésion répétée et au remplacement cicatriciel.</w:t>
      </w:r>
    </w:p>
    <w:p>
      <w:pPr>
        <w:widowControl/>
      </w:pPr>
      <w:r>
        <w:rPr>
          <w:b/>
          <w:i w:val="0"/>
        </w:rPr>
        <w:t>Soutien.</w:t>
      </w:r>
      <w:r>
        <w:rPr>
          <w:b w:val="0"/>
          <w:i w:val="0"/>
        </w:rPr>
        <w:t xml:space="preserve"> Perfusion réduite avant ou avec hypertrophie, associations avec LGE/T2, petite preuve histologique vasculaire. [R17–R18]</w:t>
      </w:r>
    </w:p>
    <w:p>
      <w:pPr>
        <w:widowControl/>
      </w:pPr>
      <w:r>
        <w:rPr>
          <w:b/>
          <w:i w:val="0"/>
        </w:rPr>
        <w:t>Affaiblissement.</w:t>
      </w:r>
      <w:r>
        <w:rPr>
          <w:b w:val="0"/>
          <w:i w:val="0"/>
        </w:rPr>
        <w:t xml:space="preserve"> Absence de relation temporelle ou de gradient dose–réponse ; progression identique malgré perfusion préservée.</w:t>
      </w:r>
    </w:p>
    <w:p>
      <w:pPr>
        <w:widowControl/>
      </w:pPr>
      <w:r>
        <w:rPr>
          <w:b/>
          <w:i w:val="0"/>
        </w:rPr>
        <w:t>Niveau.</w:t>
      </w:r>
      <w:r>
        <w:rPr>
          <w:b w:val="0"/>
          <w:i w:val="0"/>
        </w:rPr>
        <w:t xml:space="preserve"> C.</w:t>
      </w:r>
    </w:p>
    <w:p>
      <w:pPr>
        <w:pStyle w:val="Heading2"/>
      </w:pPr>
      <w:r>
        <w:t>52. H7 — les femmes peuvent développer une cicatrice sans hypertrophie globale</w:t>
      </w:r>
    </w:p>
    <w:p>
      <w:pPr>
        <w:widowControl/>
      </w:pPr>
      <w:r>
        <w:rPr>
          <w:b/>
          <w:i w:val="0"/>
        </w:rPr>
        <w:t>Proposition.</w:t>
      </w:r>
      <w:r>
        <w:rPr>
          <w:b w:val="0"/>
          <w:i w:val="0"/>
        </w:rPr>
        <w:t xml:space="preserve"> Le mosaïcisme tissulaire permet une lésion régionale et un LGE avant augmentation de masse globale.</w:t>
      </w:r>
    </w:p>
    <w:p>
      <w:pPr>
        <w:widowControl/>
      </w:pPr>
      <w:r>
        <w:rPr>
          <w:b/>
          <w:i w:val="0"/>
        </w:rPr>
        <w:t>Soutien.</w:t>
      </w:r>
      <w:r>
        <w:rPr>
          <w:b w:val="0"/>
          <w:i w:val="0"/>
        </w:rPr>
        <w:t xml:space="preserve"> Cohorte montrant du LGE chez des femmes sans LVH et principe d’inactivation du X. [R04, R07]</w:t>
      </w:r>
    </w:p>
    <w:p>
      <w:pPr>
        <w:widowControl/>
      </w:pPr>
      <w:r>
        <w:rPr>
          <w:b/>
          <w:i w:val="0"/>
        </w:rPr>
        <w:t>Affaiblissement.</w:t>
      </w:r>
      <w:r>
        <w:rPr>
          <w:b w:val="0"/>
          <w:i w:val="0"/>
        </w:rPr>
        <w:t xml:space="preserve"> Grandes cohortes longitudinales standardisées ne retrouvant jamais cette séquence après exclusion des diagnostics concurrents.</w:t>
      </w:r>
    </w:p>
    <w:p>
      <w:pPr>
        <w:widowControl/>
      </w:pPr>
      <w:r>
        <w:rPr>
          <w:b/>
          <w:i w:val="0"/>
        </w:rPr>
        <w:t>Niveau.</w:t>
      </w:r>
      <w:r>
        <w:rPr>
          <w:b w:val="0"/>
          <w:i w:val="0"/>
        </w:rPr>
        <w:t xml:space="preserve"> B pour la possibilité ; C pour le mécanisme exact.</w:t>
      </w:r>
    </w:p>
    <w:p>
      <w:pPr>
        <w:pStyle w:val="Heading2"/>
      </w:pPr>
      <w:r>
        <w:t>53. H8 — la baisse du substrat ne prédit pas à court terme la régression de cicatrice</w:t>
      </w:r>
    </w:p>
    <w:p>
      <w:pPr>
        <w:widowControl/>
      </w:pPr>
      <w:r>
        <w:rPr>
          <w:b/>
          <w:i w:val="0"/>
        </w:rPr>
        <w:t>Proposition.</w:t>
      </w:r>
      <w:r>
        <w:rPr>
          <w:b w:val="0"/>
          <w:i w:val="0"/>
        </w:rPr>
        <w:t xml:space="preserve"> Lyso-Gb3 et autres marqueurs amont répondent plus vite au traitement que le LGE, qui représente un dommage structurel lent.</w:t>
      </w:r>
    </w:p>
    <w:p>
      <w:pPr>
        <w:widowControl/>
      </w:pPr>
      <w:r>
        <w:rPr>
          <w:b/>
          <w:i w:val="0"/>
        </w:rPr>
        <w:t>Soutien.</w:t>
      </w:r>
      <w:r>
        <w:rPr>
          <w:b w:val="0"/>
          <w:i w:val="0"/>
        </w:rPr>
        <w:t xml:space="preserve"> Biologie des compartiments, histologie sous enzyme, études longitudinales et thérapeutiques hétérogènes. [R20–R21, R33, R43]</w:t>
      </w:r>
    </w:p>
    <w:p>
      <w:pPr>
        <w:widowControl/>
      </w:pPr>
      <w:r>
        <w:rPr>
          <w:b/>
          <w:i w:val="0"/>
        </w:rPr>
        <w:t>Affaiblissement.</w:t>
      </w:r>
      <w:r>
        <w:rPr>
          <w:b w:val="0"/>
          <w:i w:val="0"/>
        </w:rPr>
        <w:t xml:space="preserve"> Régression reproductible et rapide du LGE corrélée à la seule baisse de substrat dans des essais contrôlés, avec validation tissulaire.</w:t>
      </w:r>
    </w:p>
    <w:p>
      <w:pPr>
        <w:widowControl/>
      </w:pPr>
      <w:r>
        <w:rPr>
          <w:b/>
          <w:i w:val="0"/>
        </w:rPr>
        <w:t>Niveau.</w:t>
      </w:r>
      <w:r>
        <w:rPr>
          <w:b w:val="0"/>
          <w:i w:val="0"/>
        </w:rPr>
        <w:t xml:space="preserve"> B.</w:t>
      </w:r>
    </w:p>
    <w:p>
      <w:pPr>
        <w:pStyle w:val="Heading2"/>
      </w:pPr>
      <w:r>
        <w:t>54. H9 — l’ECV globale sous-estime une atteinte régionale de Fabry</w:t>
      </w:r>
    </w:p>
    <w:p>
      <w:pPr>
        <w:widowControl/>
      </w:pPr>
      <w:r>
        <w:rPr>
          <w:b/>
          <w:i w:val="0"/>
        </w:rPr>
        <w:t>Proposition.</w:t>
      </w:r>
      <w:r>
        <w:rPr>
          <w:b w:val="0"/>
          <w:i w:val="0"/>
        </w:rPr>
        <w:t xml:space="preserve"> Une moyenne globale mélange une ECV élevée dans le LGE et une ECV normale ou basse à distance.</w:t>
      </w:r>
    </w:p>
    <w:p>
      <w:pPr>
        <w:widowControl/>
      </w:pPr>
      <w:r>
        <w:rPr>
          <w:b/>
          <w:i w:val="0"/>
        </w:rPr>
        <w:t>Soutien.</w:t>
      </w:r>
      <w:r>
        <w:rPr>
          <w:b w:val="0"/>
          <w:i w:val="0"/>
        </w:rPr>
        <w:t xml:space="preserve"> Nature focale du motif et opposition entre stockage intracellulaire et expansion extracellulaire. [R09, R13, R30]</w:t>
      </w:r>
    </w:p>
    <w:p>
      <w:pPr>
        <w:widowControl/>
      </w:pPr>
      <w:r>
        <w:rPr>
          <w:b/>
          <w:i w:val="0"/>
        </w:rPr>
        <w:t>Affaiblissement.</w:t>
      </w:r>
      <w:r>
        <w:rPr>
          <w:b w:val="0"/>
          <w:i w:val="0"/>
        </w:rPr>
        <w:t xml:space="preserve"> Égalité systématique entre estimations globales et cartographie régionale dans des cohortes bien alimentées.</w:t>
      </w:r>
    </w:p>
    <w:p>
      <w:pPr>
        <w:widowControl/>
      </w:pPr>
      <w:r>
        <w:rPr>
          <w:b/>
          <w:i w:val="0"/>
        </w:rPr>
        <w:t>Niveau.</w:t>
      </w:r>
      <w:r>
        <w:rPr>
          <w:b w:val="0"/>
          <w:i w:val="0"/>
        </w:rPr>
        <w:t xml:space="preserve"> B conceptuel ; données longitudinales régionales encore limitées.</w:t>
      </w:r>
    </w:p>
    <w:p>
      <w:pPr>
        <w:pStyle w:val="Heading2"/>
      </w:pPr>
      <w:r>
        <w:t>55. H10 — le strain est un marqueur de conséquence, non de fibrose</w:t>
      </w:r>
    </w:p>
    <w:p>
      <w:pPr>
        <w:widowControl/>
      </w:pPr>
      <w:r>
        <w:rPr>
          <w:b/>
          <w:i w:val="0"/>
        </w:rPr>
        <w:t>Proposition.</w:t>
      </w:r>
      <w:r>
        <w:rPr>
          <w:b w:val="0"/>
          <w:i w:val="0"/>
        </w:rPr>
        <w:t xml:space="preserve"> L’altération du strain peut apparaître avant LGE et résulte de plusieurs mécanismes ; sa corrélation au LGE ne suffit pas à en faire un substitut.</w:t>
      </w:r>
    </w:p>
    <w:p>
      <w:pPr>
        <w:widowControl/>
      </w:pPr>
      <w:r>
        <w:rPr>
          <w:b/>
          <w:i w:val="0"/>
        </w:rPr>
        <w:t>Soutien.</w:t>
      </w:r>
      <w:r>
        <w:rPr>
          <w:b w:val="0"/>
          <w:i w:val="0"/>
        </w:rPr>
        <w:t xml:space="preserve"> Études préhypertrophiques et dépendance connue à la charge et aux méthodes. [R10–R12, R38–R39]</w:t>
      </w:r>
    </w:p>
    <w:p>
      <w:pPr>
        <w:widowControl/>
      </w:pPr>
      <w:r>
        <w:rPr>
          <w:b/>
          <w:i w:val="0"/>
        </w:rPr>
        <w:t>Affaiblissement.</w:t>
      </w:r>
      <w:r>
        <w:rPr>
          <w:b w:val="0"/>
          <w:i w:val="0"/>
        </w:rPr>
        <w:t xml:space="preserve"> Validation histologique indépendante montrant une relation spécifique et calibrée entre strain et collagène, robuste aux charges et plateformes.</w:t>
      </w:r>
    </w:p>
    <w:p>
      <w:pPr>
        <w:widowControl/>
      </w:pPr>
      <w:r>
        <w:rPr>
          <w:b/>
          <w:i w:val="0"/>
        </w:rPr>
        <w:t>Niveau.</w:t>
      </w:r>
      <w:r>
        <w:rPr>
          <w:b w:val="0"/>
          <w:i w:val="0"/>
        </w:rPr>
        <w:t xml:space="preserve"> A pour la non-spécificité ; B pour la sensibilité fonctionnelle précoce.</w:t>
      </w:r>
    </w:p>
    <w:p>
      <w:pPr>
        <w:pStyle w:val="Heading2"/>
      </w:pPr>
      <w:r>
        <w:t>56. H11 — le taux de progression dépend du sexe et du variant</w:t>
      </w:r>
    </w:p>
    <w:p>
      <w:pPr>
        <w:widowControl/>
      </w:pPr>
      <w:r>
        <w:rPr>
          <w:b/>
          <w:i w:val="0"/>
        </w:rPr>
        <w:t>Proposition.</w:t>
      </w:r>
      <w:r>
        <w:rPr>
          <w:b w:val="0"/>
          <w:i w:val="0"/>
        </w:rPr>
        <w:t xml:space="preserve"> La vitesse de masse, T1 et LGE n’est pas constante et dépend de l’hémizygotie/hétérozygotie, de l’activité résiduelle et du variant.</w:t>
      </w:r>
    </w:p>
    <w:p>
      <w:pPr>
        <w:widowControl/>
      </w:pPr>
      <w:r>
        <w:rPr>
          <w:b/>
          <w:i w:val="0"/>
        </w:rPr>
        <w:t>Soutien.</w:t>
      </w:r>
      <w:r>
        <w:rPr>
          <w:b w:val="0"/>
          <w:i w:val="0"/>
        </w:rPr>
        <w:t xml:space="preserve"> Cohortes de stades, différences homme–femme, p.N215S et suivi longitudinal. [R05–R07, R19]</w:t>
      </w:r>
    </w:p>
    <w:p>
      <w:pPr>
        <w:widowControl/>
      </w:pPr>
      <w:r>
        <w:rPr>
          <w:b/>
          <w:i w:val="0"/>
        </w:rPr>
        <w:t>Affaiblissement.</w:t>
      </w:r>
      <w:r>
        <w:rPr>
          <w:b w:val="0"/>
          <w:i w:val="0"/>
        </w:rPr>
        <w:t xml:space="preserve"> Modèle longitudinal large montrant des pentes identiques après âge et traitement, sans interaction.</w:t>
      </w:r>
    </w:p>
    <w:p>
      <w:pPr>
        <w:widowControl/>
      </w:pPr>
      <w:r>
        <w:rPr>
          <w:b/>
          <w:i w:val="0"/>
        </w:rPr>
        <w:t>Niveau.</w:t>
      </w:r>
      <w:r>
        <w:rPr>
          <w:b w:val="0"/>
          <w:i w:val="0"/>
        </w:rPr>
        <w:t xml:space="preserve"> B pour l’hétérogénéité ; C pour des taux propres à chaque variant.</w:t>
      </w:r>
    </w:p>
    <w:p>
      <w:pPr>
        <w:pStyle w:val="Heading2"/>
      </w:pPr>
      <w:r>
        <w:t>57. H12 — la CT ne peut être substituée à la CMR sans validation dédiée</w:t>
      </w:r>
    </w:p>
    <w:p>
      <w:pPr>
        <w:widowControl/>
      </w:pPr>
      <w:r>
        <w:rPr>
          <w:b/>
          <w:i w:val="0"/>
        </w:rPr>
        <w:t>Proposition.</w:t>
      </w:r>
      <w:r>
        <w:rPr>
          <w:b w:val="0"/>
          <w:i w:val="0"/>
        </w:rPr>
        <w:t xml:space="preserve"> CT-ECV et rehaussement iodé partagent certains construits mais leurs erreurs, contrastes et preuves diffèrent ; les données Fabry sont insuffisantes pour l’interchangeabilité.</w:t>
      </w:r>
    </w:p>
    <w:p>
      <w:pPr>
        <w:widowControl/>
      </w:pPr>
      <w:r>
        <w:rPr>
          <w:b/>
          <w:i w:val="0"/>
        </w:rPr>
        <w:t>Soutien.</w:t>
      </w:r>
      <w:r>
        <w:rPr>
          <w:b w:val="0"/>
          <w:i w:val="0"/>
        </w:rPr>
        <w:t xml:space="preserve"> Validation générale dans d’autres cardiomyopathies mais preuves Fabry limitées. [R40–R42]</w:t>
      </w:r>
    </w:p>
    <w:p>
      <w:pPr>
        <w:widowControl/>
      </w:pPr>
      <w:r>
        <w:rPr>
          <w:b/>
          <w:i w:val="0"/>
        </w:rPr>
        <w:t>Affaiblissement.</w:t>
      </w:r>
      <w:r>
        <w:rPr>
          <w:b w:val="0"/>
          <w:i w:val="0"/>
        </w:rPr>
        <w:t xml:space="preserve"> Étude multicentrique Fabry démontrant accord, reproductibilité, sensibilité au changement et pronostic non inférieur pour l’usage spécifié.</w:t>
      </w:r>
    </w:p>
    <w:p>
      <w:pPr>
        <w:widowControl/>
      </w:pPr>
      <w:r>
        <w:rPr>
          <w:b/>
          <w:i w:val="0"/>
        </w:rPr>
        <w:t>Niveau.</w:t>
      </w:r>
      <w:r>
        <w:rPr>
          <w:b w:val="0"/>
          <w:i w:val="0"/>
        </w:rPr>
        <w:t xml:space="preserve"> A pour l’absence actuelle de substituabilité démontrée ; C pour le potentiel futur.</w:t>
      </w:r>
    </w:p>
    <w:p>
      <w:r>
        <w:br w:type="page"/>
      </w:r>
    </w:p>
    <w:p>
      <w:pPr>
        <w:pStyle w:val="Heading1"/>
        <w:pBdr>
          <w:bottom w:val="single" w:sz="12" w:space="7" w:color="22A6B3"/>
        </w:pBdr>
      </w:pPr>
      <w:r>
        <w:t>PARTIE IX — DÉCISIONS SUCCESSIVES DU PROTOCOL DESIGNER</w:t>
      </w:r>
    </w:p>
    <w:p>
      <w:pPr>
        <w:pStyle w:val="Heading2"/>
      </w:pPr>
      <w:r>
        <w:t>58. Nature de la chaîne de décision</w:t>
      </w:r>
    </w:p>
    <w:p>
      <w:pPr>
        <w:widowControl/>
      </w:pPr>
      <w:r>
        <w:rPr>
          <w:b w:val="0"/>
          <w:i w:val="0"/>
        </w:rPr>
        <w:t xml:space="preserve">Les décisions suivantes sont des </w:t>
      </w:r>
      <w:r>
        <w:rPr>
          <w:b/>
          <w:i w:val="0"/>
        </w:rPr>
        <w:t>portes de raisonnement</w:t>
      </w:r>
      <w:r>
        <w:rPr>
          <w:b w:val="0"/>
          <w:i w:val="0"/>
        </w:rPr>
        <w:t>. Elles ne prescrivent aucune acquisition. Chacune doit produire une justification écrite, les hypothèses abandonnées et les incertitudes conservées.</w:t>
      </w:r>
    </w:p>
    <w:p>
      <w:pPr>
        <w:pStyle w:val="Heading2"/>
      </w:pPr>
      <w:r>
        <w:t>59. D0 — confirmer que la question porte bien sur la fibrose</w:t>
      </w:r>
    </w:p>
    <w:p>
      <w:pPr>
        <w:widowControl/>
      </w:pPr>
      <w:r>
        <w:rPr>
          <w:b w:val="0"/>
          <w:i w:val="0"/>
        </w:rPr>
        <w:t>Le demandeur veut-il détecter une cicatrice, quantifier une expansion diffuse, caractériser une activité lésionnelle, suivre une maladie ou prédire un événement ? Si la réponse réelle est « détecter une atteinte cardiaque précoce », le T1 et le strain deviennent centraux mais le titre « mesurer la fibrose » doit être corrigé.</w:t>
      </w:r>
    </w:p>
    <w:p>
      <w:pPr>
        <w:widowControl/>
      </w:pPr>
      <w:r>
        <w:rPr>
          <w:b/>
          <w:i w:val="0"/>
        </w:rPr>
        <w:t>Sortie attendue :</w:t>
      </w:r>
      <w:r>
        <w:rPr>
          <w:b w:val="0"/>
          <w:i w:val="0"/>
        </w:rPr>
        <w:t xml:space="preserve"> une phrase d’objectif non ambiguë et un construit unique primaire.</w:t>
      </w:r>
    </w:p>
    <w:p>
      <w:pPr>
        <w:pStyle w:val="Heading2"/>
      </w:pPr>
      <w:r>
        <w:t>60. D1 — définir la population causale</w:t>
      </w:r>
    </w:p>
    <w:p>
      <w:pPr>
        <w:widowControl/>
      </w:pPr>
      <w:r>
        <w:rPr>
          <w:b w:val="0"/>
          <w:i w:val="0"/>
        </w:rPr>
        <w:t>Maladie confirmée, suspicion, dépistage familial ou variant incertain ? Phénotype classique ou tardif ? Hommes, femmes ou les deux ? Stade, âge, fonction rénale, traitement et comorbidités ?</w:t>
      </w:r>
    </w:p>
    <w:p>
      <w:pPr>
        <w:widowControl/>
      </w:pPr>
      <w:r>
        <w:rPr>
          <w:b/>
          <w:i w:val="0"/>
        </w:rPr>
        <w:t>Point de sécurité :</w:t>
      </w:r>
      <w:r>
        <w:rPr>
          <w:b w:val="0"/>
          <w:i w:val="0"/>
        </w:rPr>
        <w:t xml:space="preserve"> ne pas inclure un VUS comme maladie confirmée sur la seule imagerie.</w:t>
      </w:r>
    </w:p>
    <w:p>
      <w:pPr>
        <w:pStyle w:val="Heading2"/>
      </w:pPr>
      <w:r>
        <w:t>61. D2 — choisir l’échelle de fibrose</w:t>
      </w:r>
    </w:p>
    <w:p>
      <w:pPr>
        <w:widowControl/>
      </w:pPr>
      <w:r>
        <w:rPr>
          <w:b w:val="0"/>
          <w:i w:val="0"/>
        </w:rPr>
        <w:t>Focale de remplacement, diffuse interstitielle, ou les deux comme estimands séparés ? L’échelle fixe le rôle du LGE, de l’ECV et de l’histologie. Une fusion ultérieure n’est pas permise sans modèle validé.</w:t>
      </w:r>
    </w:p>
    <w:p>
      <w:pPr>
        <w:pStyle w:val="Heading2"/>
      </w:pPr>
      <w:r>
        <w:t>62. D3 — décider si le contraste est compatible avec l’objectif</w:t>
      </w:r>
    </w:p>
    <w:p>
      <w:pPr>
        <w:widowControl/>
      </w:pPr>
      <w:r>
        <w:rPr>
          <w:b w:val="0"/>
          <w:i w:val="0"/>
        </w:rPr>
        <w:t>Si le contraste n’est pas disponible ou justifiable, l’objectif de cicatrice focale doit être requalifié. La fonction rénale n’est pas un simple oui/non : elle informe sécurité, hématocrite et confusions biologiques.</w:t>
      </w:r>
    </w:p>
    <w:p>
      <w:pPr>
        <w:pStyle w:val="Heading2"/>
      </w:pPr>
      <w:r>
        <w:t>63. D4 — définir l’attribution étiologique</w:t>
      </w:r>
    </w:p>
    <w:p>
      <w:pPr>
        <w:widowControl/>
      </w:pPr>
      <w:r>
        <w:rPr>
          <w:b w:val="0"/>
          <w:i w:val="0"/>
        </w:rPr>
        <w:t>Le résultat doit-il mesurer toute cicatrice ou seulement la cicatrice attribuable à Fabry ? Quels motifs ischémiques ou alternatifs seront exclus, conservés séparément ou classés indéterminés ?</w:t>
      </w:r>
    </w:p>
    <w:p>
      <w:pPr>
        <w:widowControl/>
      </w:pPr>
      <w:r>
        <w:rPr>
          <w:b/>
          <w:i w:val="0"/>
        </w:rPr>
        <w:t>Sortie attendue :</w:t>
      </w:r>
      <w:r>
        <w:rPr>
          <w:b w:val="0"/>
          <w:i w:val="0"/>
        </w:rPr>
        <w:t xml:space="preserve"> catégories d’attribution et règles de lecture, sans forcer l’unicité causale.</w:t>
      </w:r>
    </w:p>
    <w:p>
      <w:pPr>
        <w:pStyle w:val="Heading2"/>
      </w:pPr>
      <w:r>
        <w:t>64. D5 — fixer l’estimand LGE</w:t>
      </w:r>
    </w:p>
    <w:p>
      <w:pPr>
        <w:widowControl/>
      </w:pPr>
      <w:r>
        <w:rPr>
          <w:b w:val="0"/>
          <w:i w:val="0"/>
        </w:rPr>
        <w:t>Présence, distribution, segments, masse absolue, fraction, ou combinaison hiérarchisée ? Le choix dépend de l’usage. Une méthode de segmentation et une convention de masse doivent être verrouillées avant connaissance des résultats.</w:t>
      </w:r>
    </w:p>
    <w:p>
      <w:pPr>
        <w:pStyle w:val="Heading2"/>
      </w:pPr>
      <w:r>
        <w:t>65. D6 — décider le rôle de l’ECV</w:t>
      </w:r>
    </w:p>
    <w:p>
      <w:pPr>
        <w:widowControl/>
      </w:pPr>
      <w:r>
        <w:rPr>
          <w:b w:val="0"/>
          <w:i w:val="0"/>
        </w:rPr>
        <w:t>Critère primaire d’expansion diffuse, critère secondaire régional, mécanisme exploratoire ou non pertinent ? L’hématocrite et la gestion du LGE doivent appartenir à la définition. L’ECV ne peut être renommée fibrose histologique.</w:t>
      </w:r>
    </w:p>
    <w:p>
      <w:pPr>
        <w:pStyle w:val="Heading2"/>
      </w:pPr>
      <w:r>
        <w:t>66. D7 — positionner T1 et T2</w:t>
      </w:r>
    </w:p>
    <w:p>
      <w:pPr>
        <w:widowControl/>
      </w:pPr>
      <w:r>
        <w:rPr>
          <w:b w:val="0"/>
          <w:i w:val="0"/>
        </w:rPr>
        <w:t>T1 : contexte de stockage et détection de pseudonormalisation. T2 : activité/eau tissulaire. Sont-ils modificateurs d’interprétation, co-variables mécanistiques ou critères secondaires ? Ils ne doivent pas être promus en substituts du construit par défaut.</w:t>
      </w:r>
    </w:p>
    <w:p>
      <w:pPr>
        <w:pStyle w:val="Heading2"/>
      </w:pPr>
      <w:r>
        <w:t>67. D8 — positionner ciné et strain</w:t>
      </w:r>
    </w:p>
    <w:p>
      <w:pPr>
        <w:widowControl/>
      </w:pPr>
      <w:r>
        <w:rPr>
          <w:b w:val="0"/>
          <w:i w:val="0"/>
        </w:rPr>
        <w:t>La masse, les volumes et le strain servent-ils à décrire le stade, expliquer le retentissement, prédire un événement ou étudier une médiation ? La convention des papillaires et la plateforme de strain doivent être préspécifiées pour rendre les comparaisons possibles.</w:t>
      </w:r>
    </w:p>
    <w:p>
      <w:pPr>
        <w:pStyle w:val="Heading2"/>
      </w:pPr>
      <w:r>
        <w:t>68. D9 — construire le temps zéro</w:t>
      </w:r>
    </w:p>
    <w:p>
      <w:pPr>
        <w:widowControl/>
      </w:pPr>
      <w:r>
        <w:rPr>
          <w:b w:val="0"/>
          <w:i w:val="0"/>
        </w:rPr>
        <w:t>Le temps zéro est-il diagnostic, prétraitement, initiation thérapeutique ou première image de qualité ? Les traitements antérieurs et l’événement aigu doivent être datés. Sans ancrage, une pente n’a pas de sens causal.</w:t>
      </w:r>
    </w:p>
    <w:p>
      <w:pPr>
        <w:pStyle w:val="Heading2"/>
      </w:pPr>
      <w:r>
        <w:t>69. D10 — définir le changement interprétable</w:t>
      </w:r>
    </w:p>
    <w:p>
      <w:pPr>
        <w:widowControl/>
      </w:pPr>
      <w:r>
        <w:rPr>
          <w:b w:val="0"/>
          <w:i w:val="0"/>
        </w:rPr>
        <w:t>Quelle variation dépasse la répétabilité ? Quelle différence est cliniquement importante ? Si aucune MCID n’est validée, le document doit l’avouer et rapporter distributions, intervalles et erreurs plutôt que créer un seuil arbitraire.</w:t>
      </w:r>
    </w:p>
    <w:p>
      <w:pPr>
        <w:pStyle w:val="Heading2"/>
      </w:pPr>
      <w:r>
        <w:t>70. D11 — gérer les trajectoires sexe–variant</w:t>
      </w:r>
    </w:p>
    <w:p>
      <w:pPr>
        <w:widowControl/>
      </w:pPr>
      <w:r>
        <w:rPr>
          <w:b w:val="0"/>
          <w:i w:val="0"/>
        </w:rPr>
        <w:t>Les analyses testent-elles explicitement l’interaction avec le sexe biologique et les catégories de variant suffisamment étayées ? Les femmes sans LVH sont-elles préservées dans le modèle ? Les petits sous-groupes doivent être descriptifs plutôt que surinterprétés.</w:t>
      </w:r>
    </w:p>
    <w:p>
      <w:pPr>
        <w:pStyle w:val="Heading2"/>
      </w:pPr>
      <w:r>
        <w:t>71. D12 — définir les données manquantes et l’échec technique</w:t>
      </w:r>
    </w:p>
    <w:p>
      <w:pPr>
        <w:widowControl/>
      </w:pPr>
      <w:r>
        <w:rPr>
          <w:b w:val="0"/>
          <w:i w:val="0"/>
        </w:rPr>
        <w:t>Un examen sans contraste, une carte invalide ou un segment exclu n’est pas une valeur normale. Les causes de manque doivent être codées ; les analyses doivent envisager leur caractère non aléatoire.</w:t>
      </w:r>
    </w:p>
    <w:p>
      <w:pPr>
        <w:pStyle w:val="Heading2"/>
      </w:pPr>
      <w:r>
        <w:t>72. D13 — séparer analyse primaire et exploration</w:t>
      </w:r>
    </w:p>
    <w:p>
      <w:pPr>
        <w:widowControl/>
      </w:pPr>
      <w:r>
        <w:rPr>
          <w:b w:val="0"/>
          <w:i w:val="0"/>
        </w:rPr>
        <w:t>Une hypothèse, un estimand, une région et une méthode primaires doivent être identifiables. Les autres combinaisons restent secondaires ou exploratoires. Cette séparation protège contre la sélection du résultat le plus favorable.</w:t>
      </w:r>
    </w:p>
    <w:p>
      <w:pPr>
        <w:pStyle w:val="Heading2"/>
      </w:pPr>
      <w:r>
        <w:t>73. D14 — fixer le langage de sortie</w:t>
      </w:r>
    </w:p>
    <w:p>
      <w:pPr>
        <w:widowControl/>
      </w:pPr>
      <w:r>
        <w:rPr>
          <w:b w:val="0"/>
          <w:i w:val="0"/>
        </w:rPr>
        <w:t>Le compte rendu doit différencier : observé, compatible avec, probable, indéterminé et exclu dans les limites de la méthode. Les termes « fibrose », « inflammation », « progression » et « réponse » ont chacun des conditions minimales.</w:t>
      </w:r>
    </w:p>
    <w:p>
      <w:pPr>
        <w:pStyle w:val="Heading2"/>
      </w:pPr>
      <w:r>
        <w:t>74. D15 — vérifier la décision clinique ou scientifique en aval</w:t>
      </w:r>
    </w:p>
    <w:p>
      <w:pPr>
        <w:widowControl/>
      </w:pPr>
      <w:r>
        <w:rPr>
          <w:b w:val="0"/>
          <w:i w:val="0"/>
        </w:rPr>
        <w:t>Quelle décision changera si la mesure diffère ? Une mesure techniquement excellente sans conséquence interprétable peut rester scientifique, mais elle ne doit pas être présentée comme utile en clinique. À l’inverse, une décision clinique à haut risque exige une validation supérieure à une simple association.</w:t>
      </w:r>
    </w:p>
    <w:p>
      <w:pPr>
        <w:pStyle w:val="Heading2"/>
      </w:pPr>
      <w:r>
        <w:t>75. D16 — autoriser ou refuser la génération d’un protocole</w:t>
      </w:r>
    </w:p>
    <w:p>
      <w:pPr>
        <w:widowControl/>
      </w:pPr>
      <w:r>
        <w:rPr>
          <w:b w:val="0"/>
          <w:i w:val="0"/>
        </w:rPr>
        <w:t xml:space="preserve">Le Protocol Designer ne peut passer à l’étape protocolaire que lorsque le construit, la population, l’estimand, la temporalité, la méthode analytique, les confusions et le langage de sortie sont verrouillés. Sinon, la sortie correcte est </w:t>
      </w:r>
      <w:r>
        <w:rPr>
          <w:b/>
          <w:i w:val="0"/>
        </w:rPr>
        <w:t>« raisonnement insuffisant — protocole non autorisé »</w:t>
      </w:r>
      <w:r>
        <w:rPr>
          <w:b w:val="0"/>
          <w:i w:val="0"/>
        </w:rPr>
        <w:t>.</w:t>
      </w:r>
    </w:p>
    <w:p>
      <w:r>
        <w:br w:type="page"/>
      </w:r>
    </w:p>
    <w:p>
      <w:pPr>
        <w:pStyle w:val="Heading1"/>
        <w:pBdr>
          <w:bottom w:val="single" w:sz="12" w:space="7" w:color="22A6B3"/>
        </w:pBdr>
      </w:pPr>
      <w:r>
        <w:t>PARTIE X — PORTE DE NON-PROTOCOLE</w:t>
      </w:r>
    </w:p>
    <w:p>
      <w:pPr>
        <w:pStyle w:val="Heading2"/>
      </w:pPr>
      <w:r>
        <w:t>76. Conditions nécessaires avant toute génération ultérieure</w:t>
      </w:r>
    </w:p>
    <w:p>
      <w:pPr>
        <w:widowControl/>
      </w:pPr>
      <w:r>
        <w:rPr>
          <w:b w:val="0"/>
          <w:i w:val="0"/>
        </w:rPr>
        <w:t>La génération d’un protocole reste interdite tant qu’une seule des conditions suivantes n’est pas satisfaite :</w:t>
      </w:r>
    </w:p>
    <w:p>
      <w:pPr>
        <w:pStyle w:val="ListBullet"/>
      </w:pPr>
      <w:r>
        <w:rPr>
          <w:b w:val="0"/>
          <w:i w:val="0"/>
        </w:rPr>
        <w:t>objectif primaire formulé comme une question falsifiable ;</w:t>
      </w:r>
    </w:p>
    <w:p>
      <w:pPr>
        <w:pStyle w:val="ListBullet"/>
      </w:pPr>
      <w:r>
        <w:rPr>
          <w:b w:val="0"/>
          <w:i w:val="0"/>
        </w:rPr>
        <w:t>population et preuve diagnostique définies ;</w:t>
      </w:r>
    </w:p>
    <w:p>
      <w:pPr>
        <w:pStyle w:val="ListBullet"/>
      </w:pPr>
      <w:r>
        <w:rPr>
          <w:b w:val="0"/>
          <w:i w:val="0"/>
        </w:rPr>
        <w:t>distinction explicite entre hommes et femmes lorsque pertinente ;</w:t>
      </w:r>
    </w:p>
    <w:p>
      <w:pPr>
        <w:pStyle w:val="ListBullet"/>
      </w:pPr>
      <w:r>
        <w:rPr>
          <w:b w:val="0"/>
          <w:i w:val="0"/>
        </w:rPr>
        <w:t>variants pathogènes/probablement pathogènes séparés des VUS et variants débattus ;</w:t>
      </w:r>
    </w:p>
    <w:p>
      <w:pPr>
        <w:pStyle w:val="ListBullet"/>
      </w:pPr>
      <w:r>
        <w:rPr>
          <w:b w:val="0"/>
          <w:i w:val="0"/>
        </w:rPr>
        <w:t>compartiment fibreux primaire choisi ;</w:t>
      </w:r>
    </w:p>
    <w:p>
      <w:pPr>
        <w:pStyle w:val="ListBullet"/>
      </w:pPr>
      <w:r>
        <w:rPr>
          <w:b w:val="0"/>
          <w:i w:val="0"/>
        </w:rPr>
        <w:t>estimand principal et unités fixés ;</w:t>
      </w:r>
    </w:p>
    <w:p>
      <w:pPr>
        <w:pStyle w:val="ListBullet"/>
      </w:pPr>
      <w:r>
        <w:rPr>
          <w:b w:val="0"/>
          <w:i w:val="0"/>
        </w:rPr>
        <w:t>statut du contraste et alternative sans contraste correctement requalifiés ;</w:t>
      </w:r>
    </w:p>
    <w:p>
      <w:pPr>
        <w:pStyle w:val="ListBullet"/>
      </w:pPr>
      <w:r>
        <w:rPr>
          <w:b w:val="0"/>
          <w:i w:val="0"/>
        </w:rPr>
        <w:t>méthode de LGE ou d’ECV préspécifiée si utilisée ;</w:t>
      </w:r>
    </w:p>
    <w:p>
      <w:pPr>
        <w:pStyle w:val="ListBullet"/>
      </w:pPr>
      <w:r>
        <w:rPr>
          <w:b w:val="0"/>
          <w:i w:val="0"/>
        </w:rPr>
        <w:t>rôle non substitutif de T1, T2, ciné, strain et biomarqueurs déclaré ;</w:t>
      </w:r>
    </w:p>
    <w:p>
      <w:pPr>
        <w:pStyle w:val="ListBullet"/>
      </w:pPr>
      <w:r>
        <w:rPr>
          <w:b w:val="0"/>
          <w:i w:val="0"/>
        </w:rPr>
        <w:t>diagnostics différentiels et maladies coexistantes traités ;</w:t>
      </w:r>
    </w:p>
    <w:p>
      <w:pPr>
        <w:pStyle w:val="ListBullet"/>
      </w:pPr>
      <w:r>
        <w:rPr>
          <w:b w:val="0"/>
          <w:i w:val="0"/>
        </w:rPr>
        <w:t>qualité, répétabilité et changement de plateforme planifiés ;</w:t>
      </w:r>
    </w:p>
    <w:p>
      <w:pPr>
        <w:pStyle w:val="ListBullet"/>
      </w:pPr>
      <w:r>
        <w:rPr>
          <w:b w:val="0"/>
          <w:i w:val="0"/>
        </w:rPr>
        <w:t>fonction rénale, hématocrite, rythme et événement aigu intégrés ;</w:t>
      </w:r>
    </w:p>
    <w:p>
      <w:pPr>
        <w:pStyle w:val="ListBullet"/>
      </w:pPr>
      <w:r>
        <w:rPr>
          <w:b w:val="0"/>
          <w:i w:val="0"/>
        </w:rPr>
        <w:t>temporalité et statut thérapeutique datés ;</w:t>
      </w:r>
    </w:p>
    <w:p>
      <w:pPr>
        <w:pStyle w:val="ListBullet"/>
      </w:pPr>
      <w:r>
        <w:rPr>
          <w:b w:val="0"/>
          <w:i w:val="0"/>
        </w:rPr>
        <w:t>seuil de changement justifié ou absence de seuil reconnue ;</w:t>
      </w:r>
    </w:p>
    <w:p>
      <w:pPr>
        <w:pStyle w:val="ListBullet"/>
      </w:pPr>
      <w:r>
        <w:rPr>
          <w:b w:val="0"/>
          <w:i w:val="0"/>
        </w:rPr>
        <w:t>données manquantes et échecs techniques codés ;</w:t>
      </w:r>
    </w:p>
    <w:p>
      <w:pPr>
        <w:pStyle w:val="ListBullet"/>
      </w:pPr>
      <w:r>
        <w:rPr>
          <w:b w:val="0"/>
          <w:i w:val="0"/>
        </w:rPr>
        <w:t>analyse primaire séparée des explorations ;</w:t>
      </w:r>
    </w:p>
    <w:p>
      <w:pPr>
        <w:pStyle w:val="ListBullet"/>
      </w:pPr>
      <w:r>
        <w:rPr>
          <w:b w:val="0"/>
          <w:i w:val="0"/>
        </w:rPr>
        <w:t>langage de conclusion borné par la preuve ;</w:t>
      </w:r>
    </w:p>
    <w:p>
      <w:pPr>
        <w:pStyle w:val="ListBullet"/>
      </w:pPr>
      <w:r>
        <w:rPr>
          <w:b w:val="0"/>
          <w:i w:val="0"/>
        </w:rPr>
        <w:t>décision en aval identifiée ;</w:t>
      </w:r>
    </w:p>
    <w:p>
      <w:pPr>
        <w:pStyle w:val="ListBullet"/>
      </w:pPr>
      <w:r>
        <w:rPr>
          <w:b w:val="0"/>
          <w:i w:val="0"/>
        </w:rPr>
        <w:t>limites éthiques et de sécurité décrites.</w:t>
      </w:r>
    </w:p>
    <w:p>
      <w:pPr>
        <w:pStyle w:val="Heading2"/>
      </w:pPr>
      <w:r>
        <w:t>77. Situations imposant un refus immédiat</w:t>
      </w:r>
    </w:p>
    <w:p>
      <w:pPr>
        <w:widowControl/>
      </w:pPr>
      <w:r>
        <w:rPr>
          <w:b w:val="0"/>
          <w:i w:val="0"/>
        </w:rPr>
        <w:t>Le Protocol Designer doit refuser de produire un protocole si la demande :</w:t>
      </w:r>
    </w:p>
    <w:p>
      <w:pPr>
        <w:pStyle w:val="ListBullet"/>
      </w:pPr>
      <w:r>
        <w:rPr>
          <w:b w:val="0"/>
          <w:i w:val="0"/>
        </w:rPr>
        <w:t>exige un « score de fibrose » combinant des marqueurs sans validation ;</w:t>
      </w:r>
    </w:p>
    <w:p>
      <w:pPr>
        <w:pStyle w:val="ListBullet"/>
      </w:pPr>
      <w:r>
        <w:rPr>
          <w:b w:val="0"/>
          <w:i w:val="0"/>
        </w:rPr>
        <w:t>veut diagnostiquer Fabry à partir du seul T1 ou du LGE ;</w:t>
      </w:r>
    </w:p>
    <w:p>
      <w:pPr>
        <w:pStyle w:val="ListBullet"/>
      </w:pPr>
      <w:r>
        <w:rPr>
          <w:b w:val="0"/>
          <w:i w:val="0"/>
        </w:rPr>
        <w:t>assimile un VUS à une maladie confirmée ;</w:t>
      </w:r>
    </w:p>
    <w:p>
      <w:pPr>
        <w:pStyle w:val="ListBullet"/>
      </w:pPr>
      <w:r>
        <w:rPr>
          <w:b w:val="0"/>
          <w:i w:val="0"/>
        </w:rPr>
        <w:t>exclut les femmes sans hypertrophie ;</w:t>
      </w:r>
    </w:p>
    <w:p>
      <w:pPr>
        <w:pStyle w:val="ListBullet"/>
      </w:pPr>
      <w:r>
        <w:rPr>
          <w:b w:val="0"/>
          <w:i w:val="0"/>
        </w:rPr>
        <w:t>exige un seuil T1 importé d’un autre système sans référence locale ;</w:t>
      </w:r>
    </w:p>
    <w:p>
      <w:pPr>
        <w:pStyle w:val="ListBullet"/>
      </w:pPr>
      <w:r>
        <w:rPr>
          <w:b w:val="0"/>
          <w:i w:val="0"/>
        </w:rPr>
        <w:t>appelle l’ECV « pourcentage de collagène » ;</w:t>
      </w:r>
    </w:p>
    <w:p>
      <w:pPr>
        <w:pStyle w:val="ListBullet"/>
      </w:pPr>
      <w:r>
        <w:rPr>
          <w:b w:val="0"/>
          <w:i w:val="0"/>
        </w:rPr>
        <w:t>appelle le T2 « inflammation prouvée » ;</w:t>
      </w:r>
    </w:p>
    <w:p>
      <w:pPr>
        <w:pStyle w:val="ListBullet"/>
      </w:pPr>
      <w:r>
        <w:rPr>
          <w:b w:val="0"/>
          <w:i w:val="0"/>
        </w:rPr>
        <w:t>veut comparer longitudinalement des méthodes LGE différentes comme si elles étaient identiques ;</w:t>
      </w:r>
    </w:p>
    <w:p>
      <w:pPr>
        <w:pStyle w:val="ListBullet"/>
      </w:pPr>
      <w:r>
        <w:rPr>
          <w:b w:val="0"/>
          <w:i w:val="0"/>
        </w:rPr>
        <w:t>promet de mesurer la cicatrice focale sans contraste tout en conservant le même estimand ;</w:t>
      </w:r>
    </w:p>
    <w:p>
      <w:pPr>
        <w:pStyle w:val="ListBullet"/>
      </w:pPr>
      <w:r>
        <w:rPr>
          <w:b w:val="0"/>
          <w:i w:val="0"/>
        </w:rPr>
        <w:t>transforme un seuil pronostique observationnel en décision thérapeutique sans validation ;</w:t>
      </w:r>
    </w:p>
    <w:p>
      <w:pPr>
        <w:pStyle w:val="ListBullet"/>
      </w:pPr>
      <w:r>
        <w:rPr>
          <w:b w:val="0"/>
          <w:i w:val="0"/>
        </w:rPr>
        <w:t>ignore une cause ischémique ou une maladie coexistante plausible ;</w:t>
      </w:r>
    </w:p>
    <w:p>
      <w:pPr>
        <w:pStyle w:val="ListBullet"/>
      </w:pPr>
      <w:r>
        <w:rPr>
          <w:b w:val="0"/>
          <w:i w:val="0"/>
        </w:rPr>
        <w:t>demande une conclusion de réponse thérapeutique sans temporalité ni contrefactuel.</w:t>
      </w:r>
    </w:p>
    <w:p>
      <w:pPr>
        <w:pStyle w:val="Heading2"/>
      </w:pPr>
      <w:r>
        <w:t>78. Sortie minimale du Reasoning Book vers une étape future</w:t>
      </w:r>
    </w:p>
    <w:p>
      <w:pPr>
        <w:widowControl/>
      </w:pPr>
      <w:r>
        <w:rPr>
          <w:b w:val="0"/>
          <w:i w:val="0"/>
        </w:rPr>
        <w:t>L’interface scientifique vers une future conception ne transmettra pas une liste de séquences. Elle transmettra :</w:t>
      </w:r>
    </w:p>
    <w:p>
      <w:pPr>
        <w:pStyle w:val="ListNumber"/>
        <w:numPr>
          <w:ilvl w:val="0"/>
          <w:numId w:val="14"/>
        </w:numPr>
      </w:pPr>
      <w:r>
        <w:rPr>
          <w:b w:val="0"/>
          <w:i w:val="0"/>
        </w:rPr>
        <w:t>le construit primaire et les construits secondaires ;</w:t>
      </w:r>
    </w:p>
    <w:p>
      <w:pPr>
        <w:pStyle w:val="ListNumber"/>
        <w:numPr>
          <w:ilvl w:val="0"/>
          <w:numId w:val="14"/>
        </w:numPr>
      </w:pPr>
      <w:r>
        <w:rPr>
          <w:b w:val="0"/>
          <w:i w:val="0"/>
        </w:rPr>
        <w:t>la population et le domaine de validité ;</w:t>
      </w:r>
    </w:p>
    <w:p>
      <w:pPr>
        <w:pStyle w:val="ListNumber"/>
        <w:numPr>
          <w:ilvl w:val="0"/>
          <w:numId w:val="14"/>
        </w:numPr>
      </w:pPr>
      <w:r>
        <w:rPr>
          <w:b w:val="0"/>
          <w:i w:val="0"/>
        </w:rPr>
        <w:t>l’estimand et ses unités ;</w:t>
      </w:r>
    </w:p>
    <w:p>
      <w:pPr>
        <w:pStyle w:val="ListNumber"/>
        <w:numPr>
          <w:ilvl w:val="0"/>
          <w:numId w:val="14"/>
        </w:numPr>
      </w:pPr>
      <w:r>
        <w:rPr>
          <w:b w:val="0"/>
          <w:i w:val="0"/>
        </w:rPr>
        <w:t>les hypothèses principales et concurrentes ;</w:t>
      </w:r>
    </w:p>
    <w:p>
      <w:pPr>
        <w:pStyle w:val="ListNumber"/>
        <w:numPr>
          <w:ilvl w:val="0"/>
          <w:numId w:val="14"/>
        </w:numPr>
      </w:pPr>
      <w:r>
        <w:rPr>
          <w:b w:val="0"/>
          <w:i w:val="0"/>
        </w:rPr>
        <w:t>les observables admissibles et leur rôle ;</w:t>
      </w:r>
    </w:p>
    <w:p>
      <w:pPr>
        <w:pStyle w:val="ListNumber"/>
        <w:numPr>
          <w:ilvl w:val="0"/>
          <w:numId w:val="14"/>
        </w:numPr>
      </w:pPr>
      <w:r>
        <w:rPr>
          <w:b w:val="0"/>
          <w:i w:val="0"/>
        </w:rPr>
        <w:t>les confusions et modificateurs obligatoires ;</w:t>
      </w:r>
    </w:p>
    <w:p>
      <w:pPr>
        <w:pStyle w:val="ListNumber"/>
        <w:numPr>
          <w:ilvl w:val="0"/>
          <w:numId w:val="14"/>
        </w:numPr>
      </w:pPr>
      <w:r>
        <w:rPr>
          <w:b w:val="0"/>
          <w:i w:val="0"/>
        </w:rPr>
        <w:t>les règles d’attribution et d’incertitude ;</w:t>
      </w:r>
    </w:p>
    <w:p>
      <w:pPr>
        <w:pStyle w:val="ListNumber"/>
        <w:numPr>
          <w:ilvl w:val="0"/>
          <w:numId w:val="14"/>
        </w:numPr>
      </w:pPr>
      <w:r>
        <w:rPr>
          <w:b w:val="0"/>
          <w:i w:val="0"/>
        </w:rPr>
        <w:t>les exigences de reproductibilité ;</w:t>
      </w:r>
    </w:p>
    <w:p>
      <w:pPr>
        <w:pStyle w:val="ListNumber"/>
        <w:numPr>
          <w:ilvl w:val="0"/>
          <w:numId w:val="14"/>
        </w:numPr>
      </w:pPr>
      <w:r>
        <w:rPr>
          <w:b w:val="0"/>
          <w:i w:val="0"/>
        </w:rPr>
        <w:t>les critères qui falsifieraient l’interprétation ;</w:t>
      </w:r>
    </w:p>
    <w:p>
      <w:pPr>
        <w:pStyle w:val="ListNumber"/>
        <w:numPr>
          <w:ilvl w:val="0"/>
          <w:numId w:val="14"/>
        </w:numPr>
      </w:pPr>
      <w:r>
        <w:rPr>
          <w:b w:val="0"/>
          <w:i w:val="0"/>
        </w:rPr>
        <w:t>les inconnues qui resteront vraies après la mesure.</w:t>
      </w:r>
    </w:p>
    <w:p>
      <w:r>
        <w:br w:type="page"/>
      </w:r>
    </w:p>
    <w:p>
      <w:pPr>
        <w:pStyle w:val="Heading1"/>
        <w:pBdr>
          <w:bottom w:val="single" w:sz="12" w:space="7" w:color="22A6B3"/>
        </w:pBdr>
      </w:pPr>
      <w:r>
        <w:t>PARTIE XI — CARTE D’ÉVIDENCE</w:t>
      </w:r>
    </w:p>
    <w:p>
      <w:pPr>
        <w:pStyle w:val="Heading2"/>
      </w:pPr>
      <w:r>
        <w:t>79. Assertions structurantes</w:t>
      </w:r>
    </w:p>
    <w:tbl>
      <w:tblPr>
        <w:tblStyle w:val="TableGrid"/>
        <w:tblW w:type="dxa" w:w="9360"/>
        <w:jc w:val="center"/>
        <w:tblLayout w:type="fixed"/>
        <w:tblLook w:firstColumn="1" w:firstRow="1" w:lastColumn="0" w:lastRow="0" w:noHBand="0" w:noVBand="1" w:val="04A0"/>
        <w:tblBorders>
          <w:top w:val="single" w:sz="5" w:space="0" w:color="CCD9DF"/>
          <w:left w:val="single" w:sz="5" w:space="0" w:color="CCD9DF"/>
          <w:bottom w:val="single" w:sz="5" w:space="0" w:color="CCD9DF"/>
          <w:right w:val="single" w:sz="5" w:space="0" w:color="CCD9DF"/>
          <w:insideH w:val="single" w:sz="5" w:space="0" w:color="CCD9DF"/>
          <w:insideV w:val="single" w:sz="5" w:space="0" w:color="CCD9DF"/>
        </w:tblBorders>
      </w:tblPr>
      <w:tblGrid>
        <w:gridCol w:w="2600"/>
        <w:gridCol w:w="2320"/>
        <w:gridCol w:w="1200"/>
        <w:gridCol w:w="3240"/>
      </w:tblGrid>
      <w:tr>
        <w:trPr>
          <w:cantSplit/>
          <w:tblHeader w:val="true"/>
        </w:trPr>
        <w:tc>
          <w:tcPr>
            <w:tcW w:type="dxa" w:w="2600"/>
            <w:vAlign w:val="center"/>
            <w:tcMar>
              <w:top w:w="92" w:type="dxa"/>
              <w:start w:w="105" w:type="dxa"/>
              <w:bottom w:w="92" w:type="dxa"/>
              <w:end w:w="105" w:type="dxa"/>
            </w:tcMar>
            <w:shd w:fill="12344D"/>
          </w:tcPr>
          <w:p>
            <w:pPr>
              <w:spacing w:after="0" w:line="240" w:lineRule="auto"/>
              <w:jc w:val="left"/>
            </w:pPr>
            <w:r>
              <w:rPr>
                <w:b/>
                <w:i w:val="0"/>
                <w:color w:val="FFFFFF"/>
                <w:sz w:val="15"/>
              </w:rPr>
              <w:t>Assertion</w:t>
            </w:r>
          </w:p>
        </w:tc>
        <w:tc>
          <w:tcPr>
            <w:tcW w:type="dxa" w:w="2320"/>
            <w:vAlign w:val="center"/>
            <w:tcMar>
              <w:top w:w="92" w:type="dxa"/>
              <w:start w:w="105" w:type="dxa"/>
              <w:bottom w:w="92" w:type="dxa"/>
              <w:end w:w="105" w:type="dxa"/>
            </w:tcMar>
            <w:shd w:fill="12344D"/>
          </w:tcPr>
          <w:p>
            <w:pPr>
              <w:spacing w:after="0" w:line="240" w:lineRule="auto"/>
              <w:jc w:val="left"/>
            </w:pPr>
            <w:r>
              <w:rPr>
                <w:b/>
                <w:i w:val="0"/>
                <w:color w:val="FFFFFF"/>
                <w:sz w:val="15"/>
              </w:rPr>
              <w:t>Base principale</w:t>
            </w:r>
          </w:p>
        </w:tc>
        <w:tc>
          <w:tcPr>
            <w:tcW w:type="dxa" w:w="1200"/>
            <w:vAlign w:val="center"/>
            <w:tcMar>
              <w:top w:w="92" w:type="dxa"/>
              <w:start w:w="105" w:type="dxa"/>
              <w:bottom w:w="92" w:type="dxa"/>
              <w:end w:w="105" w:type="dxa"/>
            </w:tcMar>
            <w:shd w:fill="12344D"/>
          </w:tcPr>
          <w:p>
            <w:pPr>
              <w:spacing w:after="0" w:line="240" w:lineRule="auto"/>
              <w:jc w:val="left"/>
            </w:pPr>
            <w:r>
              <w:rPr>
                <w:b/>
                <w:i w:val="0"/>
                <w:color w:val="FFFFFF"/>
                <w:sz w:val="15"/>
              </w:rPr>
              <w:t>Confiance</w:t>
            </w:r>
          </w:p>
        </w:tc>
        <w:tc>
          <w:tcPr>
            <w:tcW w:type="dxa" w:w="3240"/>
            <w:vAlign w:val="center"/>
            <w:tcMar>
              <w:top w:w="92" w:type="dxa"/>
              <w:start w:w="105" w:type="dxa"/>
              <w:bottom w:w="92" w:type="dxa"/>
              <w:end w:w="105" w:type="dxa"/>
            </w:tcMar>
            <w:shd w:fill="12344D"/>
          </w:tcPr>
          <w:p>
            <w:pPr>
              <w:spacing w:after="0" w:line="240" w:lineRule="auto"/>
              <w:jc w:val="left"/>
            </w:pPr>
            <w:r>
              <w:rPr>
                <w:b/>
                <w:i w:val="0"/>
                <w:color w:val="FFFFFF"/>
                <w:sz w:val="15"/>
              </w:rPr>
              <w:t>Incertitude résiduelle</w:t>
            </w:r>
          </w:p>
        </w:tc>
      </w:tr>
      <w:tr>
        <w:trPr>
          <w:cantSplit/>
        </w:trPr>
        <w:tc>
          <w:tcPr>
            <w:tcW w:type="dxa" w:w="2600"/>
            <w:vAlign w:val="center"/>
            <w:tcMar>
              <w:top w:w="92" w:type="dxa"/>
              <w:start w:w="105" w:type="dxa"/>
              <w:bottom w:w="92" w:type="dxa"/>
              <w:end w:w="105" w:type="dxa"/>
            </w:tcMar>
            <w:shd w:fill="FFFFFF"/>
          </w:tcPr>
          <w:p>
            <w:pPr>
              <w:spacing w:after="0" w:line="240" w:lineRule="auto"/>
              <w:jc w:val="left"/>
            </w:pPr>
            <w:r>
              <w:rPr>
                <w:b w:val="0"/>
                <w:i w:val="0"/>
                <w:color w:val="24323D"/>
                <w:sz w:val="15"/>
              </w:rPr>
              <w:t>Fabry est une maladie GLA liée à l’X avec déficit α-galactosidase A et stockage Gb3/lyso-Gb3</w:t>
            </w:r>
          </w:p>
        </w:tc>
        <w:tc>
          <w:tcPr>
            <w:tcW w:type="dxa" w:w="2320"/>
            <w:vAlign w:val="center"/>
            <w:tcMar>
              <w:top w:w="92" w:type="dxa"/>
              <w:start w:w="105" w:type="dxa"/>
              <w:bottom w:w="92" w:type="dxa"/>
              <w:end w:w="105" w:type="dxa"/>
            </w:tcMar>
            <w:shd w:fill="FFFFFF"/>
          </w:tcPr>
          <w:p>
            <w:pPr>
              <w:spacing w:after="0" w:line="240" w:lineRule="auto"/>
              <w:jc w:val="left"/>
            </w:pPr>
            <w:r>
              <w:rPr>
                <w:b w:val="0"/>
                <w:i w:val="0"/>
                <w:color w:val="24323D"/>
                <w:sz w:val="15"/>
              </w:rPr>
              <w:t>Recommandations, consensus, GeneReviews [R01–R04]</w:t>
            </w:r>
          </w:p>
        </w:tc>
        <w:tc>
          <w:tcPr>
            <w:tcW w:type="dxa" w:w="1200"/>
            <w:vAlign w:val="center"/>
            <w:tcMar>
              <w:top w:w="92" w:type="dxa"/>
              <w:start w:w="105" w:type="dxa"/>
              <w:bottom w:w="92" w:type="dxa"/>
              <w:end w:w="105" w:type="dxa"/>
            </w:tcMar>
            <w:shd w:fill="FFFFFF"/>
          </w:tcPr>
          <w:p>
            <w:pPr>
              <w:spacing w:after="0" w:line="240" w:lineRule="auto"/>
              <w:jc w:val="left"/>
            </w:pPr>
            <w:r>
              <w:rPr>
                <w:b w:val="0"/>
                <w:i w:val="0"/>
                <w:color w:val="24323D"/>
                <w:sz w:val="15"/>
              </w:rPr>
              <w:t>A</w:t>
            </w:r>
          </w:p>
        </w:tc>
        <w:tc>
          <w:tcPr>
            <w:tcW w:type="dxa" w:w="3240"/>
            <w:vAlign w:val="center"/>
            <w:tcMar>
              <w:top w:w="92" w:type="dxa"/>
              <w:start w:w="105" w:type="dxa"/>
              <w:bottom w:w="92" w:type="dxa"/>
              <w:end w:w="105" w:type="dxa"/>
            </w:tcMar>
            <w:shd w:fill="FFFFFF"/>
          </w:tcPr>
          <w:p>
            <w:pPr>
              <w:spacing w:after="0" w:line="240" w:lineRule="auto"/>
              <w:jc w:val="left"/>
            </w:pPr>
            <w:r>
              <w:rPr>
                <w:b w:val="0"/>
                <w:i w:val="0"/>
                <w:color w:val="24323D"/>
                <w:sz w:val="15"/>
              </w:rPr>
              <w:t>Relation quantitative variant–organe individuelle</w:t>
            </w:r>
          </w:p>
        </w:tc>
      </w:tr>
      <w:tr>
        <w:trPr>
          <w:cantSplit/>
        </w:trPr>
        <w:tc>
          <w:tcPr>
            <w:tcW w:type="dxa" w:w="2600"/>
            <w:vAlign w:val="center"/>
            <w:tcMar>
              <w:top w:w="92" w:type="dxa"/>
              <w:start w:w="105" w:type="dxa"/>
              <w:bottom w:w="92" w:type="dxa"/>
              <w:end w:w="105" w:type="dxa"/>
            </w:tcMar>
            <w:shd w:fill="F2F8FA"/>
          </w:tcPr>
          <w:p>
            <w:pPr>
              <w:spacing w:after="0" w:line="240" w:lineRule="auto"/>
              <w:jc w:val="left"/>
            </w:pPr>
            <w:r>
              <w:rPr>
                <w:b w:val="0"/>
                <w:i w:val="0"/>
                <w:color w:val="24323D"/>
                <w:sz w:val="15"/>
              </w:rPr>
              <w:t>Les femmes peuvent présenter une atteinte cardiaque sévère et une enzyme normale</w:t>
            </w:r>
          </w:p>
        </w:tc>
        <w:tc>
          <w:tcPr>
            <w:tcW w:type="dxa" w:w="2320"/>
            <w:vAlign w:val="center"/>
            <w:tcMar>
              <w:top w:w="92" w:type="dxa"/>
              <w:start w:w="105" w:type="dxa"/>
              <w:bottom w:w="92" w:type="dxa"/>
              <w:end w:w="105" w:type="dxa"/>
            </w:tcMar>
            <w:shd w:fill="F2F8FA"/>
          </w:tcPr>
          <w:p>
            <w:pPr>
              <w:spacing w:after="0" w:line="240" w:lineRule="auto"/>
              <w:jc w:val="left"/>
            </w:pPr>
            <w:r>
              <w:rPr>
                <w:b w:val="0"/>
                <w:i w:val="0"/>
                <w:color w:val="24323D"/>
                <w:sz w:val="15"/>
              </w:rPr>
              <w:t>Génétique liée à l’X, cohortes [R01, R04, R07]</w:t>
            </w:r>
          </w:p>
        </w:tc>
        <w:tc>
          <w:tcPr>
            <w:tcW w:type="dxa" w:w="1200"/>
            <w:vAlign w:val="center"/>
            <w:tcMar>
              <w:top w:w="92" w:type="dxa"/>
              <w:start w:w="105" w:type="dxa"/>
              <w:bottom w:w="92" w:type="dxa"/>
              <w:end w:w="105" w:type="dxa"/>
            </w:tcMar>
            <w:shd w:fill="F2F8FA"/>
          </w:tcPr>
          <w:p>
            <w:pPr>
              <w:spacing w:after="0" w:line="240" w:lineRule="auto"/>
              <w:jc w:val="left"/>
            </w:pPr>
            <w:r>
              <w:rPr>
                <w:b w:val="0"/>
                <w:i w:val="0"/>
                <w:color w:val="24323D"/>
                <w:sz w:val="15"/>
              </w:rPr>
              <w:t>A</w:t>
            </w:r>
          </w:p>
        </w:tc>
        <w:tc>
          <w:tcPr>
            <w:tcW w:type="dxa" w:w="3240"/>
            <w:vAlign w:val="center"/>
            <w:tcMar>
              <w:top w:w="92" w:type="dxa"/>
              <w:start w:w="105" w:type="dxa"/>
              <w:bottom w:w="92" w:type="dxa"/>
              <w:end w:w="105" w:type="dxa"/>
            </w:tcMar>
            <w:shd w:fill="F2F8FA"/>
          </w:tcPr>
          <w:p>
            <w:pPr>
              <w:spacing w:after="0" w:line="240" w:lineRule="auto"/>
              <w:jc w:val="left"/>
            </w:pPr>
            <w:r>
              <w:rPr>
                <w:b w:val="0"/>
                <w:i w:val="0"/>
                <w:color w:val="24323D"/>
                <w:sz w:val="15"/>
              </w:rPr>
              <w:t>Prédiction individuelle par inactivation du X</w:t>
            </w:r>
          </w:p>
        </w:tc>
      </w:tr>
      <w:tr>
        <w:trPr>
          <w:cantSplit/>
        </w:trPr>
        <w:tc>
          <w:tcPr>
            <w:tcW w:type="dxa" w:w="2600"/>
            <w:vAlign w:val="center"/>
            <w:tcMar>
              <w:top w:w="92" w:type="dxa"/>
              <w:start w:w="105" w:type="dxa"/>
              <w:bottom w:w="92" w:type="dxa"/>
              <w:end w:w="105" w:type="dxa"/>
            </w:tcMar>
            <w:shd w:fill="FFFFFF"/>
          </w:tcPr>
          <w:p>
            <w:pPr>
              <w:spacing w:after="0" w:line="240" w:lineRule="auto"/>
              <w:jc w:val="left"/>
            </w:pPr>
            <w:r>
              <w:rPr>
                <w:b w:val="0"/>
                <w:i w:val="0"/>
                <w:color w:val="24323D"/>
                <w:sz w:val="15"/>
              </w:rPr>
              <w:t>Le T1 natif est souvent bas avant LVH et soutient le stockage</w:t>
            </w:r>
          </w:p>
        </w:tc>
        <w:tc>
          <w:tcPr>
            <w:tcW w:type="dxa" w:w="2320"/>
            <w:vAlign w:val="center"/>
            <w:tcMar>
              <w:top w:w="92" w:type="dxa"/>
              <w:start w:w="105" w:type="dxa"/>
              <w:bottom w:w="92" w:type="dxa"/>
              <w:end w:w="105" w:type="dxa"/>
            </w:tcMar>
            <w:shd w:fill="FFFFFF"/>
          </w:tcPr>
          <w:p>
            <w:pPr>
              <w:spacing w:after="0" w:line="240" w:lineRule="auto"/>
              <w:jc w:val="left"/>
            </w:pPr>
            <w:r>
              <w:rPr>
                <w:b w:val="0"/>
                <w:i w:val="0"/>
                <w:color w:val="24323D"/>
                <w:sz w:val="15"/>
              </w:rPr>
              <w:t>Cohortes répliquées [R08–R12]</w:t>
            </w:r>
          </w:p>
        </w:tc>
        <w:tc>
          <w:tcPr>
            <w:tcW w:type="dxa" w:w="1200"/>
            <w:vAlign w:val="center"/>
            <w:tcMar>
              <w:top w:w="92" w:type="dxa"/>
              <w:start w:w="105" w:type="dxa"/>
              <w:bottom w:w="92" w:type="dxa"/>
              <w:end w:w="105" w:type="dxa"/>
            </w:tcMar>
            <w:shd w:fill="FFFFFF"/>
          </w:tcPr>
          <w:p>
            <w:pPr>
              <w:spacing w:after="0" w:line="240" w:lineRule="auto"/>
              <w:jc w:val="left"/>
            </w:pPr>
            <w:r>
              <w:rPr>
                <w:b w:val="0"/>
                <w:i w:val="0"/>
                <w:color w:val="24323D"/>
                <w:sz w:val="15"/>
              </w:rPr>
              <w:t>B</w:t>
            </w:r>
          </w:p>
        </w:tc>
        <w:tc>
          <w:tcPr>
            <w:tcW w:type="dxa" w:w="3240"/>
            <w:vAlign w:val="center"/>
            <w:tcMar>
              <w:top w:w="92" w:type="dxa"/>
              <w:start w:w="105" w:type="dxa"/>
              <w:bottom w:w="92" w:type="dxa"/>
              <w:end w:w="105" w:type="dxa"/>
            </w:tcMar>
            <w:shd w:fill="FFFFFF"/>
          </w:tcPr>
          <w:p>
            <w:pPr>
              <w:spacing w:after="0" w:line="240" w:lineRule="auto"/>
              <w:jc w:val="left"/>
            </w:pPr>
            <w:r>
              <w:rPr>
                <w:b w:val="0"/>
                <w:i w:val="0"/>
                <w:color w:val="24323D"/>
                <w:sz w:val="15"/>
              </w:rPr>
              <w:t>Conversion en charge moléculaire impossible ; sensibilité selon variant/sexe</w:t>
            </w:r>
          </w:p>
        </w:tc>
      </w:tr>
      <w:tr>
        <w:trPr>
          <w:cantSplit/>
        </w:trPr>
        <w:tc>
          <w:tcPr>
            <w:tcW w:type="dxa" w:w="2600"/>
            <w:vAlign w:val="center"/>
            <w:tcMar>
              <w:top w:w="92" w:type="dxa"/>
              <w:start w:w="105" w:type="dxa"/>
              <w:bottom w:w="92" w:type="dxa"/>
              <w:end w:w="105" w:type="dxa"/>
            </w:tcMar>
            <w:shd w:fill="F2F8FA"/>
          </w:tcPr>
          <w:p>
            <w:pPr>
              <w:spacing w:after="0" w:line="240" w:lineRule="auto"/>
              <w:jc w:val="left"/>
            </w:pPr>
            <w:r>
              <w:rPr>
                <w:b w:val="0"/>
                <w:i w:val="0"/>
                <w:color w:val="24323D"/>
                <w:sz w:val="15"/>
              </w:rPr>
              <w:t>Un T1 normal n’exclut pas Fabry ou cicatrice</w:t>
            </w:r>
          </w:p>
        </w:tc>
        <w:tc>
          <w:tcPr>
            <w:tcW w:type="dxa" w:w="2320"/>
            <w:vAlign w:val="center"/>
            <w:tcMar>
              <w:top w:w="92" w:type="dxa"/>
              <w:start w:w="105" w:type="dxa"/>
              <w:bottom w:w="92" w:type="dxa"/>
              <w:end w:w="105" w:type="dxa"/>
            </w:tcMar>
            <w:shd w:fill="F2F8FA"/>
          </w:tcPr>
          <w:p>
            <w:pPr>
              <w:spacing w:after="0" w:line="240" w:lineRule="auto"/>
              <w:jc w:val="left"/>
            </w:pPr>
            <w:r>
              <w:rPr>
                <w:b w:val="0"/>
                <w:i w:val="0"/>
                <w:color w:val="24323D"/>
                <w:sz w:val="15"/>
              </w:rPr>
              <w:t>Pseudonormalisation et mosaïcisme [R01, R06–R07, R15]</w:t>
            </w:r>
          </w:p>
        </w:tc>
        <w:tc>
          <w:tcPr>
            <w:tcW w:type="dxa" w:w="1200"/>
            <w:vAlign w:val="center"/>
            <w:tcMar>
              <w:top w:w="92" w:type="dxa"/>
              <w:start w:w="105" w:type="dxa"/>
              <w:bottom w:w="92" w:type="dxa"/>
              <w:end w:w="105" w:type="dxa"/>
            </w:tcMar>
            <w:shd w:fill="F2F8FA"/>
          </w:tcPr>
          <w:p>
            <w:pPr>
              <w:spacing w:after="0" w:line="240" w:lineRule="auto"/>
              <w:jc w:val="left"/>
            </w:pPr>
            <w:r>
              <w:rPr>
                <w:b w:val="0"/>
                <w:i w:val="0"/>
                <w:color w:val="24323D"/>
                <w:sz w:val="15"/>
              </w:rPr>
              <w:t>B</w:t>
            </w:r>
          </w:p>
        </w:tc>
        <w:tc>
          <w:tcPr>
            <w:tcW w:type="dxa" w:w="3240"/>
            <w:vAlign w:val="center"/>
            <w:tcMar>
              <w:top w:w="92" w:type="dxa"/>
              <w:start w:w="105" w:type="dxa"/>
              <w:bottom w:w="92" w:type="dxa"/>
              <w:end w:w="105" w:type="dxa"/>
            </w:tcMar>
            <w:shd w:fill="F2F8FA"/>
          </w:tcPr>
          <w:p>
            <w:pPr>
              <w:spacing w:after="0" w:line="240" w:lineRule="auto"/>
              <w:jc w:val="left"/>
            </w:pPr>
            <w:r>
              <w:rPr>
                <w:b w:val="0"/>
                <w:i w:val="0"/>
                <w:color w:val="24323D"/>
                <w:sz w:val="15"/>
              </w:rPr>
              <w:t>Fréquence exacte par stade et plateforme</w:t>
            </w:r>
          </w:p>
        </w:tc>
      </w:tr>
      <w:tr>
        <w:trPr>
          <w:cantSplit/>
        </w:trPr>
        <w:tc>
          <w:tcPr>
            <w:tcW w:type="dxa" w:w="2600"/>
            <w:vAlign w:val="center"/>
            <w:tcMar>
              <w:top w:w="92" w:type="dxa"/>
              <w:start w:w="105" w:type="dxa"/>
              <w:bottom w:w="92" w:type="dxa"/>
              <w:end w:w="105" w:type="dxa"/>
            </w:tcMar>
            <w:shd w:fill="FFFFFF"/>
          </w:tcPr>
          <w:p>
            <w:pPr>
              <w:spacing w:after="0" w:line="240" w:lineRule="auto"/>
              <w:jc w:val="left"/>
            </w:pPr>
            <w:r>
              <w:rPr>
                <w:b w:val="0"/>
                <w:i w:val="0"/>
                <w:color w:val="24323D"/>
                <w:sz w:val="15"/>
              </w:rPr>
              <w:t>Le LGE inférolatéral représente une cicatrice focale typique</w:t>
            </w:r>
          </w:p>
        </w:tc>
        <w:tc>
          <w:tcPr>
            <w:tcW w:type="dxa" w:w="2320"/>
            <w:vAlign w:val="center"/>
            <w:tcMar>
              <w:top w:w="92" w:type="dxa"/>
              <w:start w:w="105" w:type="dxa"/>
              <w:bottom w:w="92" w:type="dxa"/>
              <w:end w:w="105" w:type="dxa"/>
            </w:tcMar>
            <w:shd w:fill="FFFFFF"/>
          </w:tcPr>
          <w:p>
            <w:pPr>
              <w:spacing w:after="0" w:line="240" w:lineRule="auto"/>
              <w:jc w:val="left"/>
            </w:pPr>
            <w:r>
              <w:rPr>
                <w:b w:val="0"/>
                <w:i w:val="0"/>
                <w:color w:val="24323D"/>
                <w:sz w:val="15"/>
              </w:rPr>
              <w:t>Histologie cœur entier et cohortes [R13, R22]</w:t>
            </w:r>
          </w:p>
        </w:tc>
        <w:tc>
          <w:tcPr>
            <w:tcW w:type="dxa" w:w="1200"/>
            <w:vAlign w:val="center"/>
            <w:tcMar>
              <w:top w:w="92" w:type="dxa"/>
              <w:start w:w="105" w:type="dxa"/>
              <w:bottom w:w="92" w:type="dxa"/>
              <w:end w:w="105" w:type="dxa"/>
            </w:tcMar>
            <w:shd w:fill="FFFFFF"/>
          </w:tcPr>
          <w:p>
            <w:pPr>
              <w:spacing w:after="0" w:line="240" w:lineRule="auto"/>
              <w:jc w:val="left"/>
            </w:pPr>
            <w:r>
              <w:rPr>
                <w:b w:val="0"/>
                <w:i w:val="0"/>
                <w:color w:val="24323D"/>
                <w:sz w:val="15"/>
              </w:rPr>
              <w:t>A</w:t>
            </w:r>
          </w:p>
        </w:tc>
        <w:tc>
          <w:tcPr>
            <w:tcW w:type="dxa" w:w="3240"/>
            <w:vAlign w:val="center"/>
            <w:tcMar>
              <w:top w:w="92" w:type="dxa"/>
              <w:start w:w="105" w:type="dxa"/>
              <w:bottom w:w="92" w:type="dxa"/>
              <w:end w:w="105" w:type="dxa"/>
            </w:tcMar>
            <w:shd w:fill="FFFFFF"/>
          </w:tcPr>
          <w:p>
            <w:pPr>
              <w:spacing w:after="0" w:line="240" w:lineRule="auto"/>
              <w:jc w:val="left"/>
            </w:pPr>
            <w:r>
              <w:rPr>
                <w:b w:val="0"/>
                <w:i w:val="0"/>
                <w:color w:val="24323D"/>
                <w:sz w:val="15"/>
              </w:rPr>
              <w:t>Spécificité étiologique non absolue</w:t>
            </w:r>
          </w:p>
        </w:tc>
      </w:tr>
      <w:tr>
        <w:trPr>
          <w:cantSplit/>
        </w:trPr>
        <w:tc>
          <w:tcPr>
            <w:tcW w:type="dxa" w:w="2600"/>
            <w:vAlign w:val="center"/>
            <w:tcMar>
              <w:top w:w="92" w:type="dxa"/>
              <w:start w:w="105" w:type="dxa"/>
              <w:bottom w:w="92" w:type="dxa"/>
              <w:end w:w="105" w:type="dxa"/>
            </w:tcMar>
            <w:shd w:fill="F2F8FA"/>
          </w:tcPr>
          <w:p>
            <w:pPr>
              <w:spacing w:after="0" w:line="240" w:lineRule="auto"/>
              <w:jc w:val="left"/>
            </w:pPr>
            <w:r>
              <w:rPr>
                <w:b w:val="0"/>
                <w:i w:val="0"/>
                <w:color w:val="24323D"/>
                <w:sz w:val="15"/>
              </w:rPr>
              <w:t>Le LGE est associé au risque d’événements</w:t>
            </w:r>
          </w:p>
        </w:tc>
        <w:tc>
          <w:tcPr>
            <w:tcW w:type="dxa" w:w="2320"/>
            <w:vAlign w:val="center"/>
            <w:tcMar>
              <w:top w:w="92" w:type="dxa"/>
              <w:start w:w="105" w:type="dxa"/>
              <w:bottom w:w="92" w:type="dxa"/>
              <w:end w:w="105" w:type="dxa"/>
            </w:tcMar>
            <w:shd w:fill="F2F8FA"/>
          </w:tcPr>
          <w:p>
            <w:pPr>
              <w:spacing w:after="0" w:line="240" w:lineRule="auto"/>
              <w:jc w:val="left"/>
            </w:pPr>
            <w:r>
              <w:rPr>
                <w:b w:val="0"/>
                <w:i w:val="0"/>
                <w:color w:val="24323D"/>
                <w:sz w:val="15"/>
              </w:rPr>
              <w:t>Cohortes et méta-analyse [R22–R24]</w:t>
            </w:r>
          </w:p>
        </w:tc>
        <w:tc>
          <w:tcPr>
            <w:tcW w:type="dxa" w:w="1200"/>
            <w:vAlign w:val="center"/>
            <w:tcMar>
              <w:top w:w="92" w:type="dxa"/>
              <w:start w:w="105" w:type="dxa"/>
              <w:bottom w:w="92" w:type="dxa"/>
              <w:end w:w="105" w:type="dxa"/>
            </w:tcMar>
            <w:shd w:fill="F2F8FA"/>
          </w:tcPr>
          <w:p>
            <w:pPr>
              <w:spacing w:after="0" w:line="240" w:lineRule="auto"/>
              <w:jc w:val="left"/>
            </w:pPr>
            <w:r>
              <w:rPr>
                <w:b w:val="0"/>
                <w:i w:val="0"/>
                <w:color w:val="24323D"/>
                <w:sz w:val="15"/>
              </w:rPr>
              <w:t>B</w:t>
            </w:r>
          </w:p>
        </w:tc>
        <w:tc>
          <w:tcPr>
            <w:tcW w:type="dxa" w:w="3240"/>
            <w:vAlign w:val="center"/>
            <w:tcMar>
              <w:top w:w="92" w:type="dxa"/>
              <w:start w:w="105" w:type="dxa"/>
              <w:bottom w:w="92" w:type="dxa"/>
              <w:end w:w="105" w:type="dxa"/>
            </w:tcMar>
            <w:shd w:fill="F2F8FA"/>
          </w:tcPr>
          <w:p>
            <w:pPr>
              <w:spacing w:after="0" w:line="240" w:lineRule="auto"/>
              <w:jc w:val="left"/>
            </w:pPr>
            <w:r>
              <w:rPr>
                <w:b w:val="0"/>
                <w:i w:val="0"/>
                <w:color w:val="24323D"/>
                <w:sz w:val="15"/>
              </w:rPr>
              <w:t>Seuil universel et utilité d’une stratégie guidée non démontrés</w:t>
            </w:r>
          </w:p>
        </w:tc>
      </w:tr>
      <w:tr>
        <w:trPr>
          <w:cantSplit/>
        </w:trPr>
        <w:tc>
          <w:tcPr>
            <w:tcW w:type="dxa" w:w="2600"/>
            <w:vAlign w:val="center"/>
            <w:tcMar>
              <w:top w:w="92" w:type="dxa"/>
              <w:start w:w="105" w:type="dxa"/>
              <w:bottom w:w="92" w:type="dxa"/>
              <w:end w:w="105" w:type="dxa"/>
            </w:tcMar>
            <w:shd w:fill="FFFFFF"/>
          </w:tcPr>
          <w:p>
            <w:pPr>
              <w:spacing w:after="0" w:line="240" w:lineRule="auto"/>
              <w:jc w:val="left"/>
            </w:pPr>
            <w:r>
              <w:rPr>
                <w:b w:val="0"/>
                <w:i w:val="0"/>
                <w:color w:val="24323D"/>
                <w:sz w:val="15"/>
              </w:rPr>
              <w:t>Les méthodes de quantification LGE ne sont pas interchangeables</w:t>
            </w:r>
          </w:p>
        </w:tc>
        <w:tc>
          <w:tcPr>
            <w:tcW w:type="dxa" w:w="2320"/>
            <w:vAlign w:val="center"/>
            <w:tcMar>
              <w:top w:w="92" w:type="dxa"/>
              <w:start w:w="105" w:type="dxa"/>
              <w:bottom w:w="92" w:type="dxa"/>
              <w:end w:w="105" w:type="dxa"/>
            </w:tcMar>
            <w:shd w:fill="FFFFFF"/>
          </w:tcPr>
          <w:p>
            <w:pPr>
              <w:spacing w:after="0" w:line="240" w:lineRule="auto"/>
              <w:jc w:val="left"/>
            </w:pPr>
            <w:r>
              <w:rPr>
                <w:b w:val="0"/>
                <w:i w:val="0"/>
                <w:color w:val="24323D"/>
                <w:sz w:val="15"/>
              </w:rPr>
              <w:t>Étude de méthodes, standards SCMR [R29, R31–R32]</w:t>
            </w:r>
          </w:p>
        </w:tc>
        <w:tc>
          <w:tcPr>
            <w:tcW w:type="dxa" w:w="1200"/>
            <w:vAlign w:val="center"/>
            <w:tcMar>
              <w:top w:w="92" w:type="dxa"/>
              <w:start w:w="105" w:type="dxa"/>
              <w:bottom w:w="92" w:type="dxa"/>
              <w:end w:w="105" w:type="dxa"/>
            </w:tcMar>
            <w:shd w:fill="FFFFFF"/>
          </w:tcPr>
          <w:p>
            <w:pPr>
              <w:spacing w:after="0" w:line="240" w:lineRule="auto"/>
              <w:jc w:val="left"/>
            </w:pPr>
            <w:r>
              <w:rPr>
                <w:b w:val="0"/>
                <w:i w:val="0"/>
                <w:color w:val="24323D"/>
                <w:sz w:val="15"/>
              </w:rPr>
              <w:t>A</w:t>
            </w:r>
          </w:p>
        </w:tc>
        <w:tc>
          <w:tcPr>
            <w:tcW w:type="dxa" w:w="3240"/>
            <w:vAlign w:val="center"/>
            <w:tcMar>
              <w:top w:w="92" w:type="dxa"/>
              <w:start w:w="105" w:type="dxa"/>
              <w:bottom w:w="92" w:type="dxa"/>
              <w:end w:w="105" w:type="dxa"/>
            </w:tcMar>
            <w:shd w:fill="FFFFFF"/>
          </w:tcPr>
          <w:p>
            <w:pPr>
              <w:spacing w:after="0" w:line="240" w:lineRule="auto"/>
              <w:jc w:val="left"/>
            </w:pPr>
            <w:r>
              <w:rPr>
                <w:b w:val="0"/>
                <w:i w:val="0"/>
                <w:color w:val="24323D"/>
                <w:sz w:val="15"/>
              </w:rPr>
              <w:t>Méthode optimale Fabry selon usage</w:t>
            </w:r>
          </w:p>
        </w:tc>
      </w:tr>
      <w:tr>
        <w:trPr>
          <w:cantSplit/>
        </w:trPr>
        <w:tc>
          <w:tcPr>
            <w:tcW w:type="dxa" w:w="2600"/>
            <w:vAlign w:val="center"/>
            <w:tcMar>
              <w:top w:w="92" w:type="dxa"/>
              <w:start w:w="105" w:type="dxa"/>
              <w:bottom w:w="92" w:type="dxa"/>
              <w:end w:w="105" w:type="dxa"/>
            </w:tcMar>
            <w:shd w:fill="F2F8FA"/>
          </w:tcPr>
          <w:p>
            <w:pPr>
              <w:spacing w:after="0" w:line="240" w:lineRule="auto"/>
              <w:jc w:val="left"/>
            </w:pPr>
            <w:r>
              <w:rPr>
                <w:b w:val="0"/>
                <w:i w:val="0"/>
                <w:color w:val="24323D"/>
                <w:sz w:val="15"/>
              </w:rPr>
              <w:t>L’ECV mesure un espace extracellulaire, pas le collagène spécifique</w:t>
            </w:r>
          </w:p>
        </w:tc>
        <w:tc>
          <w:tcPr>
            <w:tcW w:type="dxa" w:w="2320"/>
            <w:vAlign w:val="center"/>
            <w:tcMar>
              <w:top w:w="92" w:type="dxa"/>
              <w:start w:w="105" w:type="dxa"/>
              <w:bottom w:w="92" w:type="dxa"/>
              <w:end w:w="105" w:type="dxa"/>
            </w:tcMar>
            <w:shd w:fill="F2F8FA"/>
          </w:tcPr>
          <w:p>
            <w:pPr>
              <w:spacing w:after="0" w:line="240" w:lineRule="auto"/>
              <w:jc w:val="left"/>
            </w:pPr>
            <w:r>
              <w:rPr>
                <w:b w:val="0"/>
                <w:i w:val="0"/>
                <w:color w:val="24323D"/>
                <w:sz w:val="15"/>
              </w:rPr>
              <w:t>Physique/consensus [R30]</w:t>
            </w:r>
          </w:p>
        </w:tc>
        <w:tc>
          <w:tcPr>
            <w:tcW w:type="dxa" w:w="1200"/>
            <w:vAlign w:val="center"/>
            <w:tcMar>
              <w:top w:w="92" w:type="dxa"/>
              <w:start w:w="105" w:type="dxa"/>
              <w:bottom w:w="92" w:type="dxa"/>
              <w:end w:w="105" w:type="dxa"/>
            </w:tcMar>
            <w:shd w:fill="F2F8FA"/>
          </w:tcPr>
          <w:p>
            <w:pPr>
              <w:spacing w:after="0" w:line="240" w:lineRule="auto"/>
              <w:jc w:val="left"/>
            </w:pPr>
            <w:r>
              <w:rPr>
                <w:b w:val="0"/>
                <w:i w:val="0"/>
                <w:color w:val="24323D"/>
                <w:sz w:val="15"/>
              </w:rPr>
              <w:t>A</w:t>
            </w:r>
          </w:p>
        </w:tc>
        <w:tc>
          <w:tcPr>
            <w:tcW w:type="dxa" w:w="3240"/>
            <w:vAlign w:val="center"/>
            <w:tcMar>
              <w:top w:w="92" w:type="dxa"/>
              <w:start w:w="105" w:type="dxa"/>
              <w:bottom w:w="92" w:type="dxa"/>
              <w:end w:w="105" w:type="dxa"/>
            </w:tcMar>
            <w:shd w:fill="F2F8FA"/>
          </w:tcPr>
          <w:p>
            <w:pPr>
              <w:spacing w:after="0" w:line="240" w:lineRule="auto"/>
              <w:jc w:val="left"/>
            </w:pPr>
            <w:r>
              <w:rPr>
                <w:b w:val="0"/>
                <w:i w:val="0"/>
                <w:color w:val="24323D"/>
                <w:sz w:val="15"/>
              </w:rPr>
              <w:t>Charge diffuse Fabry précoce peu documentée</w:t>
            </w:r>
          </w:p>
        </w:tc>
      </w:tr>
      <w:tr>
        <w:trPr>
          <w:cantSplit/>
        </w:trPr>
        <w:tc>
          <w:tcPr>
            <w:tcW w:type="dxa" w:w="2600"/>
            <w:vAlign w:val="center"/>
            <w:tcMar>
              <w:top w:w="92" w:type="dxa"/>
              <w:start w:w="105" w:type="dxa"/>
              <w:bottom w:w="92" w:type="dxa"/>
              <w:end w:w="105" w:type="dxa"/>
            </w:tcMar>
            <w:shd w:fill="FFFFFF"/>
          </w:tcPr>
          <w:p>
            <w:pPr>
              <w:spacing w:after="0" w:line="240" w:lineRule="auto"/>
              <w:jc w:val="left"/>
            </w:pPr>
            <w:r>
              <w:rPr>
                <w:b w:val="0"/>
                <w:i w:val="0"/>
                <w:color w:val="24323D"/>
                <w:sz w:val="15"/>
              </w:rPr>
              <w:t>T2 et troponine indiquent une activité/lésion autour de certains LGE</w:t>
            </w:r>
          </w:p>
        </w:tc>
        <w:tc>
          <w:tcPr>
            <w:tcW w:type="dxa" w:w="2320"/>
            <w:vAlign w:val="center"/>
            <w:tcMar>
              <w:top w:w="92" w:type="dxa"/>
              <w:start w:w="105" w:type="dxa"/>
              <w:bottom w:w="92" w:type="dxa"/>
              <w:end w:w="105" w:type="dxa"/>
            </w:tcMar>
            <w:shd w:fill="FFFFFF"/>
          </w:tcPr>
          <w:p>
            <w:pPr>
              <w:spacing w:after="0" w:line="240" w:lineRule="auto"/>
              <w:jc w:val="left"/>
            </w:pPr>
            <w:r>
              <w:rPr>
                <w:b w:val="0"/>
                <w:i w:val="0"/>
                <w:color w:val="24323D"/>
                <w:sz w:val="15"/>
              </w:rPr>
              <w:t>Cohortes régionales [R14–R15, R25]</w:t>
            </w:r>
          </w:p>
        </w:tc>
        <w:tc>
          <w:tcPr>
            <w:tcW w:type="dxa" w:w="1200"/>
            <w:vAlign w:val="center"/>
            <w:tcMar>
              <w:top w:w="92" w:type="dxa"/>
              <w:start w:w="105" w:type="dxa"/>
              <w:bottom w:w="92" w:type="dxa"/>
              <w:end w:w="105" w:type="dxa"/>
            </w:tcMar>
            <w:shd w:fill="FFFFFF"/>
          </w:tcPr>
          <w:p>
            <w:pPr>
              <w:spacing w:after="0" w:line="240" w:lineRule="auto"/>
              <w:jc w:val="left"/>
            </w:pPr>
            <w:r>
              <w:rPr>
                <w:b w:val="0"/>
                <w:i w:val="0"/>
                <w:color w:val="24323D"/>
                <w:sz w:val="15"/>
              </w:rPr>
              <w:t>B</w:t>
            </w:r>
          </w:p>
        </w:tc>
        <w:tc>
          <w:tcPr>
            <w:tcW w:type="dxa" w:w="3240"/>
            <w:vAlign w:val="center"/>
            <w:tcMar>
              <w:top w:w="92" w:type="dxa"/>
              <w:start w:w="105" w:type="dxa"/>
              <w:bottom w:w="92" w:type="dxa"/>
              <w:end w:w="105" w:type="dxa"/>
            </w:tcMar>
            <w:shd w:fill="FFFFFF"/>
          </w:tcPr>
          <w:p>
            <w:pPr>
              <w:spacing w:after="0" w:line="240" w:lineRule="auto"/>
              <w:jc w:val="left"/>
            </w:pPr>
            <w:r>
              <w:rPr>
                <w:b w:val="0"/>
                <w:i w:val="0"/>
                <w:color w:val="24323D"/>
                <w:sz w:val="15"/>
              </w:rPr>
              <w:t>Nature inflammatoire exacte et causalité</w:t>
            </w:r>
          </w:p>
        </w:tc>
      </w:tr>
      <w:tr>
        <w:trPr>
          <w:cantSplit/>
        </w:trPr>
        <w:tc>
          <w:tcPr>
            <w:tcW w:type="dxa" w:w="2600"/>
            <w:vAlign w:val="center"/>
            <w:tcMar>
              <w:top w:w="92" w:type="dxa"/>
              <w:start w:w="105" w:type="dxa"/>
              <w:bottom w:w="92" w:type="dxa"/>
              <w:end w:w="105" w:type="dxa"/>
            </w:tcMar>
            <w:shd w:fill="F2F8FA"/>
          </w:tcPr>
          <w:p>
            <w:pPr>
              <w:spacing w:after="0" w:line="240" w:lineRule="auto"/>
              <w:jc w:val="left"/>
            </w:pPr>
            <w:r>
              <w:rPr>
                <w:b w:val="0"/>
                <w:i w:val="0"/>
                <w:color w:val="24323D"/>
                <w:sz w:val="15"/>
              </w:rPr>
              <w:t>Une myocardite histologique peut coexister</w:t>
            </w:r>
          </w:p>
        </w:tc>
        <w:tc>
          <w:tcPr>
            <w:tcW w:type="dxa" w:w="2320"/>
            <w:vAlign w:val="center"/>
            <w:tcMar>
              <w:top w:w="92" w:type="dxa"/>
              <w:start w:w="105" w:type="dxa"/>
              <w:bottom w:w="92" w:type="dxa"/>
              <w:end w:w="105" w:type="dxa"/>
            </w:tcMar>
            <w:shd w:fill="F2F8FA"/>
          </w:tcPr>
          <w:p>
            <w:pPr>
              <w:spacing w:after="0" w:line="240" w:lineRule="auto"/>
              <w:jc w:val="left"/>
            </w:pPr>
            <w:r>
              <w:rPr>
                <w:b w:val="0"/>
                <w:i w:val="0"/>
                <w:color w:val="24323D"/>
                <w:sz w:val="15"/>
              </w:rPr>
              <w:t>Cohorte biopsiée [R16]</w:t>
            </w:r>
          </w:p>
        </w:tc>
        <w:tc>
          <w:tcPr>
            <w:tcW w:type="dxa" w:w="1200"/>
            <w:vAlign w:val="center"/>
            <w:tcMar>
              <w:top w:w="92" w:type="dxa"/>
              <w:start w:w="105" w:type="dxa"/>
              <w:bottom w:w="92" w:type="dxa"/>
              <w:end w:w="105" w:type="dxa"/>
            </w:tcMar>
            <w:shd w:fill="F2F8FA"/>
          </w:tcPr>
          <w:p>
            <w:pPr>
              <w:spacing w:after="0" w:line="240" w:lineRule="auto"/>
              <w:jc w:val="left"/>
            </w:pPr>
            <w:r>
              <w:rPr>
                <w:b w:val="0"/>
                <w:i w:val="0"/>
                <w:color w:val="24323D"/>
                <w:sz w:val="15"/>
              </w:rPr>
              <w:t>C</w:t>
            </w:r>
          </w:p>
        </w:tc>
        <w:tc>
          <w:tcPr>
            <w:tcW w:type="dxa" w:w="3240"/>
            <w:vAlign w:val="center"/>
            <w:tcMar>
              <w:top w:w="92" w:type="dxa"/>
              <w:start w:w="105" w:type="dxa"/>
              <w:bottom w:w="92" w:type="dxa"/>
              <w:end w:w="105" w:type="dxa"/>
            </w:tcMar>
            <w:shd w:fill="F2F8FA"/>
          </w:tcPr>
          <w:p>
            <w:pPr>
              <w:spacing w:after="0" w:line="240" w:lineRule="auto"/>
              <w:jc w:val="left"/>
            </w:pPr>
            <w:r>
              <w:rPr>
                <w:b w:val="0"/>
                <w:i w:val="0"/>
                <w:color w:val="24323D"/>
                <w:sz w:val="15"/>
              </w:rPr>
              <w:t>Prévalence populationnelle et biais de sélection</w:t>
            </w:r>
          </w:p>
        </w:tc>
      </w:tr>
      <w:tr>
        <w:trPr>
          <w:cantSplit/>
        </w:trPr>
        <w:tc>
          <w:tcPr>
            <w:tcW w:type="dxa" w:w="2600"/>
            <w:vAlign w:val="center"/>
            <w:tcMar>
              <w:top w:w="92" w:type="dxa"/>
              <w:start w:w="105" w:type="dxa"/>
              <w:bottom w:w="92" w:type="dxa"/>
              <w:end w:w="105" w:type="dxa"/>
            </w:tcMar>
            <w:shd w:fill="FFFFFF"/>
          </w:tcPr>
          <w:p>
            <w:pPr>
              <w:spacing w:after="0" w:line="240" w:lineRule="auto"/>
              <w:jc w:val="left"/>
            </w:pPr>
            <w:r>
              <w:rPr>
                <w:b w:val="0"/>
                <w:i w:val="0"/>
                <w:color w:val="24323D"/>
                <w:sz w:val="15"/>
              </w:rPr>
              <w:t>La microvascularité peut contribuer au dommage</w:t>
            </w:r>
          </w:p>
        </w:tc>
        <w:tc>
          <w:tcPr>
            <w:tcW w:type="dxa" w:w="2320"/>
            <w:vAlign w:val="center"/>
            <w:tcMar>
              <w:top w:w="92" w:type="dxa"/>
              <w:start w:w="105" w:type="dxa"/>
              <w:bottom w:w="92" w:type="dxa"/>
              <w:end w:w="105" w:type="dxa"/>
            </w:tcMar>
            <w:shd w:fill="FFFFFF"/>
          </w:tcPr>
          <w:p>
            <w:pPr>
              <w:spacing w:after="0" w:line="240" w:lineRule="auto"/>
              <w:jc w:val="left"/>
            </w:pPr>
            <w:r>
              <w:rPr>
                <w:b w:val="0"/>
                <w:i w:val="0"/>
                <w:color w:val="24323D"/>
                <w:sz w:val="15"/>
              </w:rPr>
              <w:t>Perfusion et petite histologie [R17–R18]</w:t>
            </w:r>
          </w:p>
        </w:tc>
        <w:tc>
          <w:tcPr>
            <w:tcW w:type="dxa" w:w="1200"/>
            <w:vAlign w:val="center"/>
            <w:tcMar>
              <w:top w:w="92" w:type="dxa"/>
              <w:start w:w="105" w:type="dxa"/>
              <w:bottom w:w="92" w:type="dxa"/>
              <w:end w:w="105" w:type="dxa"/>
            </w:tcMar>
            <w:shd w:fill="FFFFFF"/>
          </w:tcPr>
          <w:p>
            <w:pPr>
              <w:spacing w:after="0" w:line="240" w:lineRule="auto"/>
              <w:jc w:val="left"/>
            </w:pPr>
            <w:r>
              <w:rPr>
                <w:b w:val="0"/>
                <w:i w:val="0"/>
                <w:color w:val="24323D"/>
                <w:sz w:val="15"/>
              </w:rPr>
              <w:t>C</w:t>
            </w:r>
          </w:p>
        </w:tc>
        <w:tc>
          <w:tcPr>
            <w:tcW w:type="dxa" w:w="3240"/>
            <w:vAlign w:val="center"/>
            <w:tcMar>
              <w:top w:w="92" w:type="dxa"/>
              <w:start w:w="105" w:type="dxa"/>
              <w:bottom w:w="92" w:type="dxa"/>
              <w:end w:w="105" w:type="dxa"/>
            </w:tcMar>
            <w:shd w:fill="FFFFFF"/>
          </w:tcPr>
          <w:p>
            <w:pPr>
              <w:spacing w:after="0" w:line="240" w:lineRule="auto"/>
              <w:jc w:val="left"/>
            </w:pPr>
            <w:r>
              <w:rPr>
                <w:b w:val="0"/>
                <w:i w:val="0"/>
                <w:color w:val="24323D"/>
                <w:sz w:val="15"/>
              </w:rPr>
              <w:t>Médiation temporelle et cible thérapeutique</w:t>
            </w:r>
          </w:p>
        </w:tc>
      </w:tr>
      <w:tr>
        <w:trPr>
          <w:cantSplit/>
        </w:trPr>
        <w:tc>
          <w:tcPr>
            <w:tcW w:type="dxa" w:w="2600"/>
            <w:vAlign w:val="center"/>
            <w:tcMar>
              <w:top w:w="92" w:type="dxa"/>
              <w:start w:w="105" w:type="dxa"/>
              <w:bottom w:w="92" w:type="dxa"/>
              <w:end w:w="105" w:type="dxa"/>
            </w:tcMar>
            <w:shd w:fill="F2F8FA"/>
          </w:tcPr>
          <w:p>
            <w:pPr>
              <w:spacing w:after="0" w:line="240" w:lineRule="auto"/>
              <w:jc w:val="left"/>
            </w:pPr>
            <w:r>
              <w:rPr>
                <w:b w:val="0"/>
                <w:i w:val="0"/>
                <w:color w:val="24323D"/>
                <w:sz w:val="15"/>
              </w:rPr>
              <w:t>Masse et strain sont conséquences composites</w:t>
            </w:r>
          </w:p>
        </w:tc>
        <w:tc>
          <w:tcPr>
            <w:tcW w:type="dxa" w:w="2320"/>
            <w:vAlign w:val="center"/>
            <w:tcMar>
              <w:top w:w="92" w:type="dxa"/>
              <w:start w:w="105" w:type="dxa"/>
              <w:bottom w:w="92" w:type="dxa"/>
              <w:end w:w="105" w:type="dxa"/>
            </w:tcMar>
            <w:shd w:fill="F2F8FA"/>
          </w:tcPr>
          <w:p>
            <w:pPr>
              <w:spacing w:after="0" w:line="240" w:lineRule="auto"/>
              <w:jc w:val="left"/>
            </w:pPr>
            <w:r>
              <w:rPr>
                <w:b w:val="0"/>
                <w:i w:val="0"/>
                <w:color w:val="24323D"/>
                <w:sz w:val="15"/>
              </w:rPr>
              <w:t>Standards et cohortes [R26–R27, R38–R39]</w:t>
            </w:r>
          </w:p>
        </w:tc>
        <w:tc>
          <w:tcPr>
            <w:tcW w:type="dxa" w:w="1200"/>
            <w:vAlign w:val="center"/>
            <w:tcMar>
              <w:top w:w="92" w:type="dxa"/>
              <w:start w:w="105" w:type="dxa"/>
              <w:bottom w:w="92" w:type="dxa"/>
              <w:end w:w="105" w:type="dxa"/>
            </w:tcMar>
            <w:shd w:fill="F2F8FA"/>
          </w:tcPr>
          <w:p>
            <w:pPr>
              <w:spacing w:after="0" w:line="240" w:lineRule="auto"/>
              <w:jc w:val="left"/>
            </w:pPr>
            <w:r>
              <w:rPr>
                <w:b w:val="0"/>
                <w:i w:val="0"/>
                <w:color w:val="24323D"/>
                <w:sz w:val="15"/>
              </w:rPr>
              <w:t>A/B</w:t>
            </w:r>
          </w:p>
        </w:tc>
        <w:tc>
          <w:tcPr>
            <w:tcW w:type="dxa" w:w="3240"/>
            <w:vAlign w:val="center"/>
            <w:tcMar>
              <w:top w:w="92" w:type="dxa"/>
              <w:start w:w="105" w:type="dxa"/>
              <w:bottom w:w="92" w:type="dxa"/>
              <w:end w:w="105" w:type="dxa"/>
            </w:tcMar>
            <w:shd w:fill="F2F8FA"/>
          </w:tcPr>
          <w:p>
            <w:pPr>
              <w:spacing w:after="0" w:line="240" w:lineRule="auto"/>
              <w:jc w:val="left"/>
            </w:pPr>
            <w:r>
              <w:rPr>
                <w:b w:val="0"/>
                <w:i w:val="0"/>
                <w:color w:val="24323D"/>
                <w:sz w:val="15"/>
              </w:rPr>
              <w:t>Sensibilité au changement et MCID Fabry</w:t>
            </w:r>
          </w:p>
        </w:tc>
      </w:tr>
      <w:tr>
        <w:trPr>
          <w:cantSplit/>
        </w:trPr>
        <w:tc>
          <w:tcPr>
            <w:tcW w:type="dxa" w:w="2600"/>
            <w:vAlign w:val="center"/>
            <w:tcMar>
              <w:top w:w="92" w:type="dxa"/>
              <w:start w:w="105" w:type="dxa"/>
              <w:bottom w:w="92" w:type="dxa"/>
              <w:end w:w="105" w:type="dxa"/>
            </w:tcMar>
            <w:shd w:fill="FFFFFF"/>
          </w:tcPr>
          <w:p>
            <w:pPr>
              <w:spacing w:after="0" w:line="240" w:lineRule="auto"/>
              <w:jc w:val="left"/>
            </w:pPr>
            <w:r>
              <w:rPr>
                <w:b w:val="0"/>
                <w:i w:val="0"/>
                <w:color w:val="24323D"/>
                <w:sz w:val="15"/>
              </w:rPr>
              <w:t>La réponse biochimique peut être dissociée de la cicatrice</w:t>
            </w:r>
          </w:p>
        </w:tc>
        <w:tc>
          <w:tcPr>
            <w:tcW w:type="dxa" w:w="2320"/>
            <w:vAlign w:val="center"/>
            <w:tcMar>
              <w:top w:w="92" w:type="dxa"/>
              <w:start w:w="105" w:type="dxa"/>
              <w:bottom w:w="92" w:type="dxa"/>
              <w:end w:w="105" w:type="dxa"/>
            </w:tcMar>
            <w:shd w:fill="FFFFFF"/>
          </w:tcPr>
          <w:p>
            <w:pPr>
              <w:spacing w:after="0" w:line="240" w:lineRule="auto"/>
              <w:jc w:val="left"/>
            </w:pPr>
            <w:r>
              <w:rPr>
                <w:b w:val="0"/>
                <w:i w:val="0"/>
                <w:color w:val="24323D"/>
                <w:sz w:val="15"/>
              </w:rPr>
              <w:t>Histologie et études thérapeutiques [R20–R21, R33, R43]</w:t>
            </w:r>
          </w:p>
        </w:tc>
        <w:tc>
          <w:tcPr>
            <w:tcW w:type="dxa" w:w="1200"/>
            <w:vAlign w:val="center"/>
            <w:tcMar>
              <w:top w:w="92" w:type="dxa"/>
              <w:start w:w="105" w:type="dxa"/>
              <w:bottom w:w="92" w:type="dxa"/>
              <w:end w:w="105" w:type="dxa"/>
            </w:tcMar>
            <w:shd w:fill="FFFFFF"/>
          </w:tcPr>
          <w:p>
            <w:pPr>
              <w:spacing w:after="0" w:line="240" w:lineRule="auto"/>
              <w:jc w:val="left"/>
            </w:pPr>
            <w:r>
              <w:rPr>
                <w:b w:val="0"/>
                <w:i w:val="0"/>
                <w:color w:val="24323D"/>
                <w:sz w:val="15"/>
              </w:rPr>
              <w:t>B</w:t>
            </w:r>
          </w:p>
        </w:tc>
        <w:tc>
          <w:tcPr>
            <w:tcW w:type="dxa" w:w="3240"/>
            <w:vAlign w:val="center"/>
            <w:tcMar>
              <w:top w:w="92" w:type="dxa"/>
              <w:start w:w="105" w:type="dxa"/>
              <w:bottom w:w="92" w:type="dxa"/>
              <w:end w:w="105" w:type="dxa"/>
            </w:tcMar>
            <w:shd w:fill="FFFFFF"/>
          </w:tcPr>
          <w:p>
            <w:pPr>
              <w:spacing w:after="0" w:line="240" w:lineRule="auto"/>
              <w:jc w:val="left"/>
            </w:pPr>
            <w:r>
              <w:rPr>
                <w:b w:val="0"/>
                <w:i w:val="0"/>
                <w:color w:val="24323D"/>
                <w:sz w:val="15"/>
              </w:rPr>
              <w:t>Effet à long terme par traitement et stade</w:t>
            </w:r>
          </w:p>
        </w:tc>
      </w:tr>
      <w:tr>
        <w:trPr>
          <w:cantSplit/>
        </w:trPr>
        <w:tc>
          <w:tcPr>
            <w:tcW w:type="dxa" w:w="2600"/>
            <w:vAlign w:val="center"/>
            <w:tcMar>
              <w:top w:w="92" w:type="dxa"/>
              <w:start w:w="105" w:type="dxa"/>
              <w:bottom w:w="92" w:type="dxa"/>
              <w:end w:w="105" w:type="dxa"/>
            </w:tcMar>
            <w:shd w:fill="F2F8FA"/>
          </w:tcPr>
          <w:p>
            <w:pPr>
              <w:spacing w:after="0" w:line="240" w:lineRule="auto"/>
              <w:jc w:val="left"/>
            </w:pPr>
            <w:r>
              <w:rPr>
                <w:b w:val="0"/>
                <w:i w:val="0"/>
                <w:color w:val="24323D"/>
                <w:sz w:val="15"/>
              </w:rPr>
              <w:t>CT-ECV n’est pas un substitut validé dans Fabry</w:t>
            </w:r>
          </w:p>
        </w:tc>
        <w:tc>
          <w:tcPr>
            <w:tcW w:type="dxa" w:w="2320"/>
            <w:vAlign w:val="center"/>
            <w:tcMar>
              <w:top w:w="92" w:type="dxa"/>
              <w:start w:w="105" w:type="dxa"/>
              <w:bottom w:w="92" w:type="dxa"/>
              <w:end w:w="105" w:type="dxa"/>
            </w:tcMar>
            <w:shd w:fill="F2F8FA"/>
          </w:tcPr>
          <w:p>
            <w:pPr>
              <w:spacing w:after="0" w:line="240" w:lineRule="auto"/>
              <w:jc w:val="left"/>
            </w:pPr>
            <w:r>
              <w:rPr>
                <w:b w:val="0"/>
                <w:i w:val="0"/>
                <w:color w:val="24323D"/>
                <w:sz w:val="15"/>
              </w:rPr>
              <w:t>Données générales et cas Fabry [R40–R42]</w:t>
            </w:r>
          </w:p>
        </w:tc>
        <w:tc>
          <w:tcPr>
            <w:tcW w:type="dxa" w:w="1200"/>
            <w:vAlign w:val="center"/>
            <w:tcMar>
              <w:top w:w="92" w:type="dxa"/>
              <w:start w:w="105" w:type="dxa"/>
              <w:bottom w:w="92" w:type="dxa"/>
              <w:end w:w="105" w:type="dxa"/>
            </w:tcMar>
            <w:shd w:fill="F2F8FA"/>
          </w:tcPr>
          <w:p>
            <w:pPr>
              <w:spacing w:after="0" w:line="240" w:lineRule="auto"/>
              <w:jc w:val="left"/>
            </w:pPr>
            <w:r>
              <w:rPr>
                <w:b w:val="0"/>
                <w:i w:val="0"/>
                <w:color w:val="24323D"/>
                <w:sz w:val="15"/>
              </w:rPr>
              <w:t>A</w:t>
            </w:r>
          </w:p>
        </w:tc>
        <w:tc>
          <w:tcPr>
            <w:tcW w:type="dxa" w:w="3240"/>
            <w:vAlign w:val="center"/>
            <w:tcMar>
              <w:top w:w="92" w:type="dxa"/>
              <w:start w:w="105" w:type="dxa"/>
              <w:bottom w:w="92" w:type="dxa"/>
              <w:end w:w="105" w:type="dxa"/>
            </w:tcMar>
            <w:shd w:fill="F2F8FA"/>
          </w:tcPr>
          <w:p>
            <w:pPr>
              <w:spacing w:after="0" w:line="240" w:lineRule="auto"/>
              <w:jc w:val="left"/>
            </w:pPr>
            <w:r>
              <w:rPr>
                <w:b w:val="0"/>
                <w:i w:val="0"/>
                <w:color w:val="24323D"/>
                <w:sz w:val="15"/>
              </w:rPr>
              <w:t>Performance future dans des cohortes dédiées</w:t>
            </w:r>
          </w:p>
        </w:tc>
      </w:tr>
    </w:tbl>
    <w:p>
      <w:pPr>
        <w:spacing w:after="20"/>
      </w:pPr>
    </w:p>
    <w:p>
      <w:pPr>
        <w:pStyle w:val="Heading2"/>
      </w:pPr>
      <w:r>
        <w:t>80. Sources de preuve les plus fortes</w:t>
      </w:r>
    </w:p>
    <w:p>
      <w:pPr>
        <w:widowControl/>
      </w:pPr>
      <w:r>
        <w:rPr>
          <w:b w:val="0"/>
          <w:i w:val="0"/>
        </w:rPr>
        <w:t>Les recommandations ESC 2023 sur les cardiomyopathies et le consensus multimodalité 2025 cadrent le diagnostic, les signaux d’imagerie et leurs usages. [R01–R02] Le consensus européen de prise en charge cardiovasculaire et GeneReviews ancrent génétique, variants et asymétrie homme–femme. [R03–R04]</w:t>
      </w:r>
    </w:p>
    <w:p>
      <w:pPr>
        <w:widowControl/>
      </w:pPr>
      <w:r>
        <w:rPr>
          <w:b w:val="0"/>
          <w:i w:val="0"/>
        </w:rPr>
        <w:t>Pour le construit fibreux, la validation histologique du motif LGE apporte une preuve directe mais étroite. [R13] Les standards SCMR fournissent la validité physique et les exigences analytiques du mapping, de l’ECV et du LGE. [R30–R32] Les cohortes longitudinales et pronostiques donnent la pertinence clinique, tout en restant observationnelles. [R19, R22–R24]</w:t>
      </w:r>
    </w:p>
    <w:p>
      <w:pPr>
        <w:pStyle w:val="Heading2"/>
      </w:pPr>
      <w:r>
        <w:t>81. Fragilités dominantes de la littérature</w:t>
      </w:r>
    </w:p>
    <w:p>
      <w:pPr>
        <w:pStyle w:val="ListBullet"/>
      </w:pPr>
      <w:r>
        <w:rPr>
          <w:b w:val="0"/>
          <w:i w:val="0"/>
        </w:rPr>
        <w:t>rareté de la maladie et petits effectifs ;</w:t>
      </w:r>
    </w:p>
    <w:p>
      <w:pPr>
        <w:pStyle w:val="ListBullet"/>
      </w:pPr>
      <w:r>
        <w:rPr>
          <w:b w:val="0"/>
          <w:i w:val="0"/>
        </w:rPr>
        <w:t>enrichissement des centres experts et biais de référence ;</w:t>
      </w:r>
    </w:p>
    <w:p>
      <w:pPr>
        <w:pStyle w:val="ListBullet"/>
      </w:pPr>
      <w:r>
        <w:rPr>
          <w:b w:val="0"/>
          <w:i w:val="0"/>
        </w:rPr>
        <w:t>mélange de variants, sexes, stades et traitements ;</w:t>
      </w:r>
    </w:p>
    <w:p>
      <w:pPr>
        <w:pStyle w:val="ListBullet"/>
      </w:pPr>
      <w:r>
        <w:rPr>
          <w:b w:val="0"/>
          <w:i w:val="0"/>
        </w:rPr>
        <w:t>analyses transversales utilisées comme histoire naturelle ;</w:t>
      </w:r>
    </w:p>
    <w:p>
      <w:pPr>
        <w:pStyle w:val="ListBullet"/>
      </w:pPr>
      <w:r>
        <w:rPr>
          <w:b w:val="0"/>
          <w:i w:val="0"/>
        </w:rPr>
        <w:t>changement de plateformes et absence de normalisation du mapping ;</w:t>
      </w:r>
    </w:p>
    <w:p>
      <w:pPr>
        <w:pStyle w:val="ListBullet"/>
      </w:pPr>
      <w:r>
        <w:rPr>
          <w:b w:val="0"/>
          <w:i w:val="0"/>
        </w:rPr>
        <w:t>définitions variables du LGE, de la LVH et des événements ;</w:t>
      </w:r>
    </w:p>
    <w:p>
      <w:pPr>
        <w:pStyle w:val="ListBullet"/>
      </w:pPr>
      <w:r>
        <w:rPr>
          <w:b w:val="0"/>
          <w:i w:val="0"/>
        </w:rPr>
        <w:t>peu de répétabilité complète acquisition–analyse ;</w:t>
      </w:r>
    </w:p>
    <w:p>
      <w:pPr>
        <w:pStyle w:val="ListBullet"/>
      </w:pPr>
      <w:r>
        <w:rPr>
          <w:b w:val="0"/>
          <w:i w:val="0"/>
        </w:rPr>
        <w:t>peu de validation histologique région par région ;</w:t>
      </w:r>
    </w:p>
    <w:p>
      <w:pPr>
        <w:pStyle w:val="ListBullet"/>
      </w:pPr>
      <w:r>
        <w:rPr>
          <w:b w:val="0"/>
          <w:i w:val="0"/>
        </w:rPr>
        <w:t>données de traitement non randomisées et confusion par indication ;</w:t>
      </w:r>
    </w:p>
    <w:p>
      <w:pPr>
        <w:pStyle w:val="ListBullet"/>
      </w:pPr>
      <w:r>
        <w:rPr>
          <w:b w:val="0"/>
          <w:i w:val="0"/>
        </w:rPr>
        <w:t>sous-représentation ou analyse inadéquate des femmes ;</w:t>
      </w:r>
    </w:p>
    <w:p>
      <w:pPr>
        <w:pStyle w:val="ListBullet"/>
      </w:pPr>
      <w:r>
        <w:rPr>
          <w:b w:val="0"/>
          <w:i w:val="0"/>
        </w:rPr>
        <w:t>faible validation externe des modèles pronostiques ;</w:t>
      </w:r>
    </w:p>
    <w:p>
      <w:pPr>
        <w:pStyle w:val="ListBullet"/>
      </w:pPr>
      <w:r>
        <w:rPr>
          <w:b w:val="0"/>
          <w:i w:val="0"/>
        </w:rPr>
        <w:t>publication préférentielle de biomarqueurs positifs.</w:t>
      </w:r>
    </w:p>
    <w:p>
      <w:r>
        <w:br w:type="page"/>
      </w:r>
    </w:p>
    <w:p>
      <w:pPr>
        <w:pStyle w:val="Heading1"/>
        <w:pBdr>
          <w:bottom w:val="single" w:sz="12" w:space="7" w:color="22A6B3"/>
        </w:pBdr>
      </w:pPr>
      <w:r>
        <w:t>PARTIE XII — QUESTIONS NON RÉSOLUES</w:t>
      </w:r>
    </w:p>
    <w:p>
      <w:pPr>
        <w:pStyle w:val="Heading2"/>
      </w:pPr>
      <w:r>
        <w:t>82. Histoire naturelle</w:t>
      </w:r>
    </w:p>
    <w:p>
      <w:pPr>
        <w:pStyle w:val="ListNumber"/>
        <w:numPr>
          <w:ilvl w:val="0"/>
          <w:numId w:val="15"/>
        </w:numPr>
      </w:pPr>
      <w:r>
        <w:rPr>
          <w:b w:val="0"/>
          <w:i w:val="0"/>
        </w:rPr>
        <w:t>Quelle est la séquence individuelle entre T1 bas, T2 régional, troponine, LGE et strain, avec mesures répétées suffisamment rapprochées pour établir la temporalité ?</w:t>
      </w:r>
    </w:p>
    <w:p>
      <w:pPr>
        <w:pStyle w:val="ListNumber"/>
        <w:numPr>
          <w:ilvl w:val="0"/>
          <w:numId w:val="15"/>
        </w:numPr>
      </w:pPr>
      <w:r>
        <w:rPr>
          <w:b w:val="0"/>
          <w:i w:val="0"/>
        </w:rPr>
        <w:t>Quelle proportion de femmes développe un LGE avant LVH, selon variant et inactivation du X ?</w:t>
      </w:r>
    </w:p>
    <w:p>
      <w:pPr>
        <w:pStyle w:val="ListNumber"/>
        <w:numPr>
          <w:ilvl w:val="0"/>
          <w:numId w:val="15"/>
        </w:numPr>
      </w:pPr>
      <w:r>
        <w:rPr>
          <w:b w:val="0"/>
          <w:i w:val="0"/>
        </w:rPr>
        <w:t>La progression du LGE est-elle linéaire, épisodique ou accélérée après un seuil de dommage ?</w:t>
      </w:r>
    </w:p>
    <w:p>
      <w:pPr>
        <w:pStyle w:val="ListNumber"/>
        <w:numPr>
          <w:ilvl w:val="0"/>
          <w:numId w:val="15"/>
        </w:numPr>
      </w:pPr>
      <w:r>
        <w:rPr>
          <w:b w:val="0"/>
          <w:i w:val="0"/>
        </w:rPr>
        <w:t>Pourquoi la paroi basale inférolatérale est-elle particulièrement vulnérable ?</w:t>
      </w:r>
    </w:p>
    <w:p>
      <w:pPr>
        <w:pStyle w:val="Heading2"/>
      </w:pPr>
      <w:r>
        <w:t>83. Histologie et mécanismes</w:t>
      </w:r>
    </w:p>
    <w:p>
      <w:pPr>
        <w:pStyle w:val="ListNumber"/>
        <w:numPr>
          <w:ilvl w:val="0"/>
          <w:numId w:val="16"/>
        </w:numPr>
      </w:pPr>
      <w:r>
        <w:rPr>
          <w:b w:val="0"/>
          <w:i w:val="0"/>
        </w:rPr>
        <w:t>Quelle part du signal T2 dans le LGE correspond à œdème, inflammation, vascularité ou myocytes résiduels ?</w:t>
      </w:r>
    </w:p>
    <w:p>
      <w:pPr>
        <w:pStyle w:val="ListNumber"/>
        <w:numPr>
          <w:ilvl w:val="0"/>
          <w:numId w:val="16"/>
        </w:numPr>
      </w:pPr>
      <w:r>
        <w:rPr>
          <w:b w:val="0"/>
          <w:i w:val="0"/>
        </w:rPr>
        <w:t>Existe-t-il une fibrose interstitielle diffuse importante avant LGE, et l’ECV peut-elle la détecter avec une sensibilité suffisante ?</w:t>
      </w:r>
    </w:p>
    <w:p>
      <w:pPr>
        <w:pStyle w:val="ListNumber"/>
        <w:numPr>
          <w:ilvl w:val="0"/>
          <w:numId w:val="16"/>
        </w:numPr>
      </w:pPr>
      <w:r>
        <w:rPr>
          <w:b w:val="0"/>
          <w:i w:val="0"/>
        </w:rPr>
        <w:t>Quels signaux lyso-Gb3 ou immunitaires activent réellement les fibroblastes humains in vivo ?</w:t>
      </w:r>
    </w:p>
    <w:p>
      <w:pPr>
        <w:pStyle w:val="ListNumber"/>
        <w:numPr>
          <w:ilvl w:val="0"/>
          <w:numId w:val="16"/>
        </w:numPr>
      </w:pPr>
      <w:r>
        <w:rPr>
          <w:b w:val="0"/>
          <w:i w:val="0"/>
        </w:rPr>
        <w:t>La dysfonction microvasculaire médie-t-elle causalement la fibrogenèse ou accompagne-t-elle le stockage ?</w:t>
      </w:r>
    </w:p>
    <w:p>
      <w:pPr>
        <w:pStyle w:val="Heading2"/>
      </w:pPr>
      <w:r>
        <w:t>84. Mesure</w:t>
      </w:r>
    </w:p>
    <w:p>
      <w:pPr>
        <w:pStyle w:val="ListNumber"/>
        <w:numPr>
          <w:ilvl w:val="0"/>
          <w:numId w:val="17"/>
        </w:numPr>
      </w:pPr>
      <w:r>
        <w:rPr>
          <w:b w:val="0"/>
          <w:i w:val="0"/>
        </w:rPr>
        <w:t>Quelle définition quantitative du LGE possède la meilleure répétabilité, validité histologique et sensibilité au changement dans Fabry ?</w:t>
      </w:r>
    </w:p>
    <w:p>
      <w:pPr>
        <w:pStyle w:val="ListNumber"/>
        <w:numPr>
          <w:ilvl w:val="0"/>
          <w:numId w:val="17"/>
        </w:numPr>
      </w:pPr>
      <w:r>
        <w:rPr>
          <w:b w:val="0"/>
          <w:i w:val="0"/>
        </w:rPr>
        <w:t>Quelle différence minimale de LGE ou d’ECV est cliniquement importante ?</w:t>
      </w:r>
    </w:p>
    <w:p>
      <w:pPr>
        <w:pStyle w:val="ListNumber"/>
        <w:numPr>
          <w:ilvl w:val="0"/>
          <w:numId w:val="17"/>
        </w:numPr>
      </w:pPr>
      <w:r>
        <w:rPr>
          <w:b w:val="0"/>
          <w:i w:val="0"/>
        </w:rPr>
        <w:t>Les approches de T1 corrigé par le sang améliorent-elles la transportabilité sans introduire de nouveaux biais ?</w:t>
      </w:r>
    </w:p>
    <w:p>
      <w:pPr>
        <w:pStyle w:val="ListNumber"/>
        <w:numPr>
          <w:ilvl w:val="0"/>
          <w:numId w:val="17"/>
        </w:numPr>
      </w:pPr>
      <w:r>
        <w:rPr>
          <w:b w:val="0"/>
          <w:i w:val="0"/>
        </w:rPr>
        <w:t>Une harmonisation multi-constructeurs peut-elle préserver les trajectoires individuelles de T1/T2 ?</w:t>
      </w:r>
    </w:p>
    <w:p>
      <w:pPr>
        <w:pStyle w:val="ListNumber"/>
        <w:numPr>
          <w:ilvl w:val="0"/>
          <w:numId w:val="17"/>
        </w:numPr>
      </w:pPr>
      <w:r>
        <w:rPr>
          <w:b w:val="0"/>
          <w:i w:val="0"/>
        </w:rPr>
        <w:t>Le strain régional ajoute-t-il une information au-delà de LGE, T1 et masse dans une validation externe ?</w:t>
      </w:r>
    </w:p>
    <w:p>
      <w:pPr>
        <w:pStyle w:val="Heading2"/>
      </w:pPr>
      <w:r>
        <w:t>85. Traitement et décisions</w:t>
      </w:r>
    </w:p>
    <w:p>
      <w:pPr>
        <w:pStyle w:val="ListNumber"/>
        <w:numPr>
          <w:ilvl w:val="0"/>
          <w:numId w:val="18"/>
        </w:numPr>
      </w:pPr>
      <w:r>
        <w:rPr>
          <w:b w:val="0"/>
          <w:i w:val="0"/>
        </w:rPr>
        <w:t>Une intervention très précoce évite-t-elle la formation du premier LGE ?</w:t>
      </w:r>
    </w:p>
    <w:p>
      <w:pPr>
        <w:pStyle w:val="ListNumber"/>
        <w:numPr>
          <w:ilvl w:val="0"/>
          <w:numId w:val="18"/>
        </w:numPr>
      </w:pPr>
      <w:r>
        <w:rPr>
          <w:b w:val="0"/>
          <w:i w:val="0"/>
        </w:rPr>
        <w:t>Une zone LGE avec T2 élevé est-elle plus modifiable qu’une zone LGE sans activité ?</w:t>
      </w:r>
    </w:p>
    <w:p>
      <w:pPr>
        <w:pStyle w:val="ListNumber"/>
        <w:numPr>
          <w:ilvl w:val="0"/>
          <w:numId w:val="18"/>
        </w:numPr>
      </w:pPr>
      <w:r>
        <w:rPr>
          <w:b w:val="0"/>
          <w:i w:val="0"/>
        </w:rPr>
        <w:t>La stabilité de cicatrice sous traitement est-elle un succès lorsque la trajectoire non traitée attendue est une progression ?</w:t>
      </w:r>
    </w:p>
    <w:p>
      <w:pPr>
        <w:pStyle w:val="ListNumber"/>
        <w:numPr>
          <w:ilvl w:val="0"/>
          <w:numId w:val="18"/>
        </w:numPr>
      </w:pPr>
      <w:r>
        <w:rPr>
          <w:b w:val="0"/>
          <w:i w:val="0"/>
        </w:rPr>
        <w:t>Quels biomarqueurs médiateurs permettent de détecter un effet avant les événements sans surpromettre un bénéfice clinique ?</w:t>
      </w:r>
    </w:p>
    <w:p>
      <w:pPr>
        <w:pStyle w:val="ListNumber"/>
        <w:numPr>
          <w:ilvl w:val="0"/>
          <w:numId w:val="18"/>
        </w:numPr>
      </w:pPr>
      <w:r>
        <w:rPr>
          <w:b w:val="0"/>
          <w:i w:val="0"/>
        </w:rPr>
        <w:t>Une stratégie guidée par l’étendue ou l’activité du LGE améliore-t-elle les résultats ?</w:t>
      </w:r>
    </w:p>
    <w:p>
      <w:pPr>
        <w:pStyle w:val="Heading2"/>
      </w:pPr>
      <w:r>
        <w:t>86. Variants et équité</w:t>
      </w:r>
    </w:p>
    <w:p>
      <w:pPr>
        <w:pStyle w:val="ListNumber"/>
        <w:numPr>
          <w:ilvl w:val="0"/>
          <w:numId w:val="19"/>
        </w:numPr>
      </w:pPr>
      <w:r>
        <w:rPr>
          <w:b w:val="0"/>
          <w:i w:val="0"/>
        </w:rPr>
        <w:t>Comment établir des trajectoires par variant sans surclasser des familles uniques ?</w:t>
      </w:r>
    </w:p>
    <w:p>
      <w:pPr>
        <w:pStyle w:val="ListNumber"/>
        <w:numPr>
          <w:ilvl w:val="0"/>
          <w:numId w:val="19"/>
        </w:numPr>
      </w:pPr>
      <w:r>
        <w:rPr>
          <w:b w:val="0"/>
          <w:i w:val="0"/>
        </w:rPr>
        <w:t>Comment intégrer les variants débattus sans dommage iatrogène du surdiagnostic ?</w:t>
      </w:r>
    </w:p>
    <w:p>
      <w:pPr>
        <w:pStyle w:val="ListNumber"/>
        <w:numPr>
          <w:ilvl w:val="0"/>
          <w:numId w:val="19"/>
        </w:numPr>
      </w:pPr>
      <w:r>
        <w:rPr>
          <w:b w:val="0"/>
          <w:i w:val="0"/>
        </w:rPr>
        <w:t>Quelles références sont nécessaires pour des populations, âges et morphologies sous-représentés ?</w:t>
      </w:r>
    </w:p>
    <w:p>
      <w:pPr>
        <w:pStyle w:val="ListNumber"/>
        <w:numPr>
          <w:ilvl w:val="0"/>
          <w:numId w:val="19"/>
        </w:numPr>
      </w:pPr>
      <w:r>
        <w:rPr>
          <w:b w:val="0"/>
          <w:i w:val="0"/>
        </w:rPr>
        <w:t>Comment documenter correctement les personnes dont la biologie chromosomique ou les parcours hormonaux ne sont pas représentés dans les cohortes binaires historiques ?</w:t>
      </w:r>
    </w:p>
    <w:p>
      <w:r>
        <w:br w:type="page"/>
      </w:r>
    </w:p>
    <w:p>
      <w:pPr>
        <w:pStyle w:val="Heading1"/>
        <w:pBdr>
          <w:bottom w:val="single" w:sz="12" w:space="7" w:color="22A6B3"/>
        </w:pBdr>
      </w:pPr>
      <w:r>
        <w:t>PARTIE XIII — GLOSSAIRE OPÉRATIONNEL</w:t>
      </w:r>
    </w:p>
    <w:p>
      <w:pPr>
        <w:pStyle w:val="Heading2"/>
      </w:pPr>
      <w:r>
        <w:t>87. Termes de maladie et de génétique</w:t>
      </w:r>
    </w:p>
    <w:p>
      <w:pPr>
        <w:widowControl/>
      </w:pPr>
      <w:r>
        <w:rPr>
          <w:b/>
          <w:i w:val="0"/>
        </w:rPr>
        <w:t>Fabry classique.</w:t>
      </w:r>
      <w:r>
        <w:rPr>
          <w:b w:val="0"/>
          <w:i w:val="0"/>
        </w:rPr>
        <w:t xml:space="preserve"> Phénotype multisystémique généralement associé à une activité enzymatique résiduelle très faible chez l’homme ; catégorie clinique, non simple étiquette de variant.</w:t>
      </w:r>
    </w:p>
    <w:p>
      <w:pPr>
        <w:widowControl/>
      </w:pPr>
      <w:r>
        <w:rPr>
          <w:b/>
          <w:i w:val="0"/>
        </w:rPr>
        <w:t>Fabry à expression tardive.</w:t>
      </w:r>
      <w:r>
        <w:rPr>
          <w:b w:val="0"/>
          <w:i w:val="0"/>
        </w:rPr>
        <w:t xml:space="preserve"> Forme dont les manifestations, souvent cardiaques ou rénales dominantes, apparaissent plus tard ; ne signifie ni bénigne ni uniquement cardiaque.</w:t>
      </w:r>
    </w:p>
    <w:p>
      <w:pPr>
        <w:widowControl/>
      </w:pPr>
      <w:r>
        <w:rPr>
          <w:b/>
          <w:i w:val="0"/>
        </w:rPr>
        <w:t>Variant pathogène/probablement pathogène.</w:t>
      </w:r>
      <w:r>
        <w:rPr>
          <w:b w:val="0"/>
          <w:i w:val="0"/>
        </w:rPr>
        <w:t xml:space="preserve"> Classification génétique étayée selon critères actuels ; sa présence définit une cause moléculaire mais ne quantifie pas l’atteinte d’organe.</w:t>
      </w:r>
    </w:p>
    <w:p>
      <w:pPr>
        <w:widowControl/>
      </w:pPr>
      <w:r>
        <w:rPr>
          <w:b/>
          <w:i w:val="0"/>
        </w:rPr>
        <w:t>VUS.</w:t>
      </w:r>
      <w:r>
        <w:rPr>
          <w:b w:val="0"/>
          <w:i w:val="0"/>
        </w:rPr>
        <w:t xml:space="preserve"> Variant de signification incertaine ; ne doit pas être utilisé seul pour diagnostiquer ou traiter comme une certitude.</w:t>
      </w:r>
    </w:p>
    <w:p>
      <w:pPr>
        <w:widowControl/>
      </w:pPr>
      <w:r>
        <w:rPr>
          <w:b/>
          <w:i w:val="0"/>
        </w:rPr>
        <w:t>Hémizygote.</w:t>
      </w:r>
      <w:r>
        <w:rPr>
          <w:b w:val="0"/>
          <w:i w:val="0"/>
        </w:rPr>
        <w:t xml:space="preserve"> Personne possédant un seul exemplaire du gène lié à l’X considéré, typiquement un homme XY.</w:t>
      </w:r>
    </w:p>
    <w:p>
      <w:pPr>
        <w:widowControl/>
      </w:pPr>
      <w:r>
        <w:rPr>
          <w:b/>
          <w:i w:val="0"/>
        </w:rPr>
        <w:t>Hétérozygote.</w:t>
      </w:r>
      <w:r>
        <w:rPr>
          <w:b w:val="0"/>
          <w:i w:val="0"/>
        </w:rPr>
        <w:t xml:space="preserve"> Personne possédant deux allèles différents, typiquement une femme avec un variant GLA sur un chromosome X.</w:t>
      </w:r>
    </w:p>
    <w:p>
      <w:pPr>
        <w:widowControl/>
      </w:pPr>
      <w:r>
        <w:rPr>
          <w:b/>
          <w:i w:val="0"/>
        </w:rPr>
        <w:t>Lyonisation.</w:t>
      </w:r>
      <w:r>
        <w:rPr>
          <w:b w:val="0"/>
          <w:i w:val="0"/>
        </w:rPr>
        <w:t xml:space="preserve"> Inactivation d’un chromosome X, aléatoire ou biaisée, pouvant produire un mosaïcisme tissulaire.</w:t>
      </w:r>
    </w:p>
    <w:p>
      <w:pPr>
        <w:pStyle w:val="Heading2"/>
      </w:pPr>
      <w:r>
        <w:t>88. Termes tissulaires</w:t>
      </w:r>
    </w:p>
    <w:p>
      <w:pPr>
        <w:widowControl/>
      </w:pPr>
      <w:r>
        <w:rPr>
          <w:b/>
          <w:i w:val="0"/>
        </w:rPr>
        <w:t>Stockage.</w:t>
      </w:r>
      <w:r>
        <w:rPr>
          <w:b w:val="0"/>
          <w:i w:val="0"/>
        </w:rPr>
        <w:t xml:space="preserve"> Accumulation intracellulaire de sphingolipides ; principal construit associé au T1 natif bas.</w:t>
      </w:r>
    </w:p>
    <w:p>
      <w:pPr>
        <w:widowControl/>
      </w:pPr>
      <w:r>
        <w:rPr>
          <w:b/>
          <w:i w:val="0"/>
        </w:rPr>
        <w:t>Fibrose interstitielle.</w:t>
      </w:r>
      <w:r>
        <w:rPr>
          <w:b w:val="0"/>
          <w:i w:val="0"/>
        </w:rPr>
        <w:t xml:space="preserve"> Augmentation de matrice entre cardiomyocytes sans perte cellulaire complète ; potentiellement diffuse.</w:t>
      </w:r>
    </w:p>
    <w:p>
      <w:pPr>
        <w:widowControl/>
      </w:pPr>
      <w:r>
        <w:rPr>
          <w:b/>
          <w:i w:val="0"/>
        </w:rPr>
        <w:t>Fibrose de remplacement.</w:t>
      </w:r>
      <w:r>
        <w:rPr>
          <w:b w:val="0"/>
          <w:i w:val="0"/>
        </w:rPr>
        <w:t xml:space="preserve"> Cicatrice remplaçant des cardiomyocytes perdus ; généralement focale/régionale.</w:t>
      </w:r>
    </w:p>
    <w:p>
      <w:pPr>
        <w:widowControl/>
      </w:pPr>
      <w:r>
        <w:rPr>
          <w:b/>
          <w:i w:val="0"/>
        </w:rPr>
        <w:t>Œdème.</w:t>
      </w:r>
      <w:r>
        <w:rPr>
          <w:b w:val="0"/>
          <w:i w:val="0"/>
        </w:rPr>
        <w:t xml:space="preserve"> Augmentation d’eau tissulaire ; peut accompagner inflammation ou autre lésion.</w:t>
      </w:r>
    </w:p>
    <w:p>
      <w:pPr>
        <w:widowControl/>
      </w:pPr>
      <w:r>
        <w:rPr>
          <w:b/>
          <w:i w:val="0"/>
        </w:rPr>
        <w:t>Inflammation.</w:t>
      </w:r>
      <w:r>
        <w:rPr>
          <w:b w:val="0"/>
          <w:i w:val="0"/>
        </w:rPr>
        <w:t xml:space="preserve"> Processus cellulaire et moléculaire ; l’histologie peut la démontrer localement, le T2 seul ne le peut pas.</w:t>
      </w:r>
    </w:p>
    <w:p>
      <w:pPr>
        <w:widowControl/>
      </w:pPr>
      <w:r>
        <w:rPr>
          <w:b/>
          <w:i w:val="0"/>
        </w:rPr>
        <w:t>Hypertrophie.</w:t>
      </w:r>
      <w:r>
        <w:rPr>
          <w:b w:val="0"/>
          <w:i w:val="0"/>
        </w:rPr>
        <w:t xml:space="preserve"> Augmentation de taille/masse myocardique résultant de plusieurs compartiments et charges.</w:t>
      </w:r>
    </w:p>
    <w:p>
      <w:pPr>
        <w:pStyle w:val="Heading2"/>
      </w:pPr>
      <w:r>
        <w:t>89. Termes de mesure</w:t>
      </w:r>
    </w:p>
    <w:p>
      <w:pPr>
        <w:widowControl/>
      </w:pPr>
      <w:r>
        <w:rPr>
          <w:b/>
          <w:i w:val="0"/>
        </w:rPr>
        <w:t>LGE.</w:t>
      </w:r>
      <w:r>
        <w:rPr>
          <w:b w:val="0"/>
          <w:i w:val="0"/>
        </w:rPr>
        <w:t xml:space="preserve"> Rehaussement tardif après agent extracellulaire, mettant en contraste des régions d’espace extracellulaire augmenté ; substitut principal de cicatrice focale.</w:t>
      </w:r>
    </w:p>
    <w:p>
      <w:pPr>
        <w:widowControl/>
      </w:pPr>
      <w:r>
        <w:rPr>
          <w:b/>
          <w:i w:val="0"/>
        </w:rPr>
        <w:t>T1 natif.</w:t>
      </w:r>
      <w:r>
        <w:rPr>
          <w:b w:val="0"/>
          <w:i w:val="0"/>
        </w:rPr>
        <w:t xml:space="preserve"> Relaxation longitudinale sans contraste, composite de composition tissulaire.</w:t>
      </w:r>
    </w:p>
    <w:p>
      <w:pPr>
        <w:widowControl/>
      </w:pPr>
      <w:r>
        <w:rPr>
          <w:b/>
          <w:i w:val="0"/>
        </w:rPr>
        <w:t>T2.</w:t>
      </w:r>
      <w:r>
        <w:rPr>
          <w:b w:val="0"/>
          <w:i w:val="0"/>
        </w:rPr>
        <w:t xml:space="preserve"> Relaxation transversale sensible à l’eau tissulaire.</w:t>
      </w:r>
    </w:p>
    <w:p>
      <w:pPr>
        <w:widowControl/>
      </w:pPr>
      <w:r>
        <w:rPr>
          <w:b/>
          <w:i w:val="0"/>
        </w:rPr>
        <w:t>ECV.</w:t>
      </w:r>
      <w:r>
        <w:rPr>
          <w:b w:val="0"/>
          <w:i w:val="0"/>
        </w:rPr>
        <w:t xml:space="preserve"> Fraction de volume extracellulaire estimée par les changements T1 sang/myocarde et l’hématocrite.</w:t>
      </w:r>
    </w:p>
    <w:p>
      <w:pPr>
        <w:widowControl/>
      </w:pPr>
      <w:r>
        <w:rPr>
          <w:b/>
          <w:i w:val="0"/>
        </w:rPr>
        <w:t>Strain.</w:t>
      </w:r>
      <w:r>
        <w:rPr>
          <w:b w:val="0"/>
          <w:i w:val="0"/>
        </w:rPr>
        <w:t xml:space="preserve"> Déformation relative du myocarde ; mesure fonctionnelle dépendante de la charge et de la méthode.</w:t>
      </w:r>
    </w:p>
    <w:p>
      <w:pPr>
        <w:widowControl/>
      </w:pPr>
      <w:r>
        <w:rPr>
          <w:b/>
          <w:i w:val="0"/>
        </w:rPr>
        <w:t>Estimand.</w:t>
      </w:r>
      <w:r>
        <w:rPr>
          <w:b w:val="0"/>
          <w:i w:val="0"/>
        </w:rPr>
        <w:t xml:space="preserve"> Quantité précisément visée par une analyse, incluant population, variable, événement intercurrent et résumé de comparaison.</w:t>
      </w:r>
    </w:p>
    <w:p>
      <w:pPr>
        <w:widowControl/>
      </w:pPr>
      <w:r>
        <w:rPr>
          <w:b/>
          <w:i w:val="0"/>
        </w:rPr>
        <w:t>Validité analytique.</w:t>
      </w:r>
      <w:r>
        <w:rPr>
          <w:b w:val="0"/>
          <w:i w:val="0"/>
        </w:rPr>
        <w:t xml:space="preserve"> Capacité de la chaîne à mesurer de façon exacte et reproductible l’observable défini.</w:t>
      </w:r>
    </w:p>
    <w:p>
      <w:pPr>
        <w:widowControl/>
      </w:pPr>
      <w:r>
        <w:rPr>
          <w:b/>
          <w:i w:val="0"/>
        </w:rPr>
        <w:t>Validité biologique.</w:t>
      </w:r>
      <w:r>
        <w:rPr>
          <w:b w:val="0"/>
          <w:i w:val="0"/>
        </w:rPr>
        <w:t xml:space="preserve"> Relation démontrée entre l’observable et le construit biologique.</w:t>
      </w:r>
    </w:p>
    <w:p>
      <w:pPr>
        <w:widowControl/>
      </w:pPr>
      <w:r>
        <w:rPr>
          <w:b/>
          <w:i w:val="0"/>
        </w:rPr>
        <w:t>Validité clinique.</w:t>
      </w:r>
      <w:r>
        <w:rPr>
          <w:b w:val="0"/>
          <w:i w:val="0"/>
        </w:rPr>
        <w:t xml:space="preserve"> Relation avec un état ou résultat cliniquement pertinent dans la population d’usage.</w:t>
      </w:r>
    </w:p>
    <w:p>
      <w:pPr>
        <w:widowControl/>
      </w:pPr>
      <w:r>
        <w:rPr>
          <w:b/>
          <w:i w:val="0"/>
        </w:rPr>
        <w:t>MCID.</w:t>
      </w:r>
      <w:r>
        <w:rPr>
          <w:b w:val="0"/>
          <w:i w:val="0"/>
        </w:rPr>
        <w:t xml:space="preserve"> Différence minimale jugée cliniquement importante ; elle ne se confond pas avec la répétabilité ni la significativité statistique.</w:t>
      </w:r>
    </w:p>
    <w:p>
      <w:pPr>
        <w:pStyle w:val="Heading2"/>
      </w:pPr>
      <w:r>
        <w:t>90. Formulations autorisées et interdites</w:t>
      </w:r>
    </w:p>
    <w:tbl>
      <w:tblPr>
        <w:tblStyle w:val="TableGrid"/>
        <w:tblW w:type="dxa" w:w="9360"/>
        <w:jc w:val="center"/>
        <w:tblLayout w:type="fixed"/>
        <w:tblLook w:firstColumn="1" w:firstRow="1" w:lastColumn="0" w:lastRow="0" w:noHBand="0" w:noVBand="1" w:val="04A0"/>
        <w:tblBorders>
          <w:top w:val="single" w:sz="5" w:space="0" w:color="CCD9DF"/>
          <w:left w:val="single" w:sz="5" w:space="0" w:color="CCD9DF"/>
          <w:bottom w:val="single" w:sz="5" w:space="0" w:color="CCD9DF"/>
          <w:right w:val="single" w:sz="5" w:space="0" w:color="CCD9DF"/>
          <w:insideH w:val="single" w:sz="5" w:space="0" w:color="CCD9DF"/>
          <w:insideV w:val="single" w:sz="5" w:space="0" w:color="CCD9DF"/>
        </w:tblBorders>
      </w:tblPr>
      <w:tblGrid>
        <w:gridCol w:w="2700"/>
        <w:gridCol w:w="2800"/>
        <w:gridCol w:w="3860"/>
      </w:tblGrid>
      <w:tr>
        <w:trPr>
          <w:cantSplit/>
          <w:tblHeader w:val="true"/>
        </w:trPr>
        <w:tc>
          <w:tcPr>
            <w:tcW w:type="dxa" w:w="2700"/>
            <w:vAlign w:val="center"/>
            <w:tcMar>
              <w:top w:w="92" w:type="dxa"/>
              <w:start w:w="105" w:type="dxa"/>
              <w:bottom w:w="92" w:type="dxa"/>
              <w:end w:w="105" w:type="dxa"/>
            </w:tcMar>
            <w:shd w:fill="12344D"/>
          </w:tcPr>
          <w:p>
            <w:pPr>
              <w:spacing w:after="0" w:line="240" w:lineRule="auto"/>
              <w:jc w:val="left"/>
            </w:pPr>
            <w:r>
              <w:rPr>
                <w:b/>
                <w:i w:val="0"/>
                <w:color w:val="FFFFFF"/>
                <w:sz w:val="15"/>
              </w:rPr>
              <w:t>Formulation autorisée</w:t>
            </w:r>
          </w:p>
        </w:tc>
        <w:tc>
          <w:tcPr>
            <w:tcW w:type="dxa" w:w="2800"/>
            <w:vAlign w:val="center"/>
            <w:tcMar>
              <w:top w:w="92" w:type="dxa"/>
              <w:start w:w="105" w:type="dxa"/>
              <w:bottom w:w="92" w:type="dxa"/>
              <w:end w:w="105" w:type="dxa"/>
            </w:tcMar>
            <w:shd w:fill="12344D"/>
          </w:tcPr>
          <w:p>
            <w:pPr>
              <w:spacing w:after="0" w:line="240" w:lineRule="auto"/>
              <w:jc w:val="left"/>
            </w:pPr>
            <w:r>
              <w:rPr>
                <w:b/>
                <w:i w:val="0"/>
                <w:color w:val="FFFFFF"/>
                <w:sz w:val="15"/>
              </w:rPr>
              <w:t>Formulation à éviter</w:t>
            </w:r>
          </w:p>
        </w:tc>
        <w:tc>
          <w:tcPr>
            <w:tcW w:type="dxa" w:w="3860"/>
            <w:vAlign w:val="center"/>
            <w:tcMar>
              <w:top w:w="92" w:type="dxa"/>
              <w:start w:w="105" w:type="dxa"/>
              <w:bottom w:w="92" w:type="dxa"/>
              <w:end w:w="105" w:type="dxa"/>
            </w:tcMar>
            <w:shd w:fill="12344D"/>
          </w:tcPr>
          <w:p>
            <w:pPr>
              <w:spacing w:after="0" w:line="240" w:lineRule="auto"/>
              <w:jc w:val="left"/>
            </w:pPr>
            <w:r>
              <w:rPr>
                <w:b/>
                <w:i w:val="0"/>
                <w:color w:val="FFFFFF"/>
                <w:sz w:val="15"/>
              </w:rPr>
              <w:t>Motif</w:t>
            </w:r>
          </w:p>
        </w:tc>
      </w:tr>
      <w:tr>
        <w:trPr>
          <w:cantSplit/>
        </w:trPr>
        <w:tc>
          <w:tcPr>
            <w:tcW w:type="dxa" w:w="2700"/>
            <w:vAlign w:val="center"/>
            <w:tcMar>
              <w:top w:w="92" w:type="dxa"/>
              <w:start w:w="105" w:type="dxa"/>
              <w:bottom w:w="92" w:type="dxa"/>
              <w:end w:w="105" w:type="dxa"/>
            </w:tcMar>
            <w:shd w:fill="FFFFFF"/>
          </w:tcPr>
          <w:p>
            <w:pPr>
              <w:spacing w:after="0" w:line="240" w:lineRule="auto"/>
              <w:jc w:val="left"/>
            </w:pPr>
            <w:r>
              <w:rPr>
                <w:b w:val="0"/>
                <w:i w:val="0"/>
                <w:color w:val="24323D"/>
                <w:sz w:val="15"/>
              </w:rPr>
              <w:t>« LGE compatible avec une cicatrice non ischémique dans le contexte de Fabry »</w:t>
            </w:r>
          </w:p>
        </w:tc>
        <w:tc>
          <w:tcPr>
            <w:tcW w:type="dxa" w:w="2800"/>
            <w:vAlign w:val="center"/>
            <w:tcMar>
              <w:top w:w="92" w:type="dxa"/>
              <w:start w:w="105" w:type="dxa"/>
              <w:bottom w:w="92" w:type="dxa"/>
              <w:end w:w="105" w:type="dxa"/>
            </w:tcMar>
            <w:shd w:fill="FFFFFF"/>
          </w:tcPr>
          <w:p>
            <w:pPr>
              <w:spacing w:after="0" w:line="240" w:lineRule="auto"/>
              <w:jc w:val="left"/>
            </w:pPr>
            <w:r>
              <w:rPr>
                <w:b w:val="0"/>
                <w:i w:val="0"/>
                <w:color w:val="24323D"/>
                <w:sz w:val="15"/>
              </w:rPr>
              <w:t>« Fibrose Fabry certaine »</w:t>
            </w:r>
          </w:p>
        </w:tc>
        <w:tc>
          <w:tcPr>
            <w:tcW w:type="dxa" w:w="3860"/>
            <w:vAlign w:val="center"/>
            <w:tcMar>
              <w:top w:w="92" w:type="dxa"/>
              <w:start w:w="105" w:type="dxa"/>
              <w:bottom w:w="92" w:type="dxa"/>
              <w:end w:w="105" w:type="dxa"/>
            </w:tcMar>
            <w:shd w:fill="FFFFFF"/>
          </w:tcPr>
          <w:p>
            <w:pPr>
              <w:spacing w:after="0" w:line="240" w:lineRule="auto"/>
              <w:jc w:val="left"/>
            </w:pPr>
            <w:r>
              <w:rPr>
                <w:b w:val="0"/>
                <w:i w:val="0"/>
                <w:color w:val="24323D"/>
                <w:sz w:val="15"/>
              </w:rPr>
              <w:t>Attribution non absolue</w:t>
            </w:r>
          </w:p>
        </w:tc>
      </w:tr>
      <w:tr>
        <w:trPr>
          <w:cantSplit/>
        </w:trPr>
        <w:tc>
          <w:tcPr>
            <w:tcW w:type="dxa" w:w="2700"/>
            <w:vAlign w:val="center"/>
            <w:tcMar>
              <w:top w:w="92" w:type="dxa"/>
              <w:start w:w="105" w:type="dxa"/>
              <w:bottom w:w="92" w:type="dxa"/>
              <w:end w:w="105" w:type="dxa"/>
            </w:tcMar>
            <w:shd w:fill="F2F8FA"/>
          </w:tcPr>
          <w:p>
            <w:pPr>
              <w:spacing w:after="0" w:line="240" w:lineRule="auto"/>
              <w:jc w:val="left"/>
            </w:pPr>
            <w:r>
              <w:rPr>
                <w:b w:val="0"/>
                <w:i w:val="0"/>
                <w:color w:val="24323D"/>
                <w:sz w:val="15"/>
              </w:rPr>
              <w:t>« ECV augmentée, indiquant une expansion extracellulaire »</w:t>
            </w:r>
          </w:p>
        </w:tc>
        <w:tc>
          <w:tcPr>
            <w:tcW w:type="dxa" w:w="2800"/>
            <w:vAlign w:val="center"/>
            <w:tcMar>
              <w:top w:w="92" w:type="dxa"/>
              <w:start w:w="105" w:type="dxa"/>
              <w:bottom w:w="92" w:type="dxa"/>
              <w:end w:w="105" w:type="dxa"/>
            </w:tcMar>
            <w:shd w:fill="F2F8FA"/>
          </w:tcPr>
          <w:p>
            <w:pPr>
              <w:spacing w:after="0" w:line="240" w:lineRule="auto"/>
              <w:jc w:val="left"/>
            </w:pPr>
            <w:r>
              <w:rPr>
                <w:b w:val="0"/>
                <w:i w:val="0"/>
                <w:color w:val="24323D"/>
                <w:sz w:val="15"/>
              </w:rPr>
              <w:t>« X % de collagène »</w:t>
            </w:r>
          </w:p>
        </w:tc>
        <w:tc>
          <w:tcPr>
            <w:tcW w:type="dxa" w:w="3860"/>
            <w:vAlign w:val="center"/>
            <w:tcMar>
              <w:top w:w="92" w:type="dxa"/>
              <w:start w:w="105" w:type="dxa"/>
              <w:bottom w:w="92" w:type="dxa"/>
              <w:end w:w="105" w:type="dxa"/>
            </w:tcMar>
            <w:shd w:fill="F2F8FA"/>
          </w:tcPr>
          <w:p>
            <w:pPr>
              <w:spacing w:after="0" w:line="240" w:lineRule="auto"/>
              <w:jc w:val="left"/>
            </w:pPr>
            <w:r>
              <w:rPr>
                <w:b w:val="0"/>
                <w:i w:val="0"/>
                <w:color w:val="24323D"/>
                <w:sz w:val="15"/>
              </w:rPr>
              <w:t>ECV non spécifique</w:t>
            </w:r>
          </w:p>
        </w:tc>
      </w:tr>
      <w:tr>
        <w:trPr>
          <w:cantSplit/>
        </w:trPr>
        <w:tc>
          <w:tcPr>
            <w:tcW w:type="dxa" w:w="2700"/>
            <w:vAlign w:val="center"/>
            <w:tcMar>
              <w:top w:w="92" w:type="dxa"/>
              <w:start w:w="105" w:type="dxa"/>
              <w:bottom w:w="92" w:type="dxa"/>
              <w:end w:w="105" w:type="dxa"/>
            </w:tcMar>
            <w:shd w:fill="FFFFFF"/>
          </w:tcPr>
          <w:p>
            <w:pPr>
              <w:spacing w:after="0" w:line="240" w:lineRule="auto"/>
              <w:jc w:val="left"/>
            </w:pPr>
            <w:r>
              <w:rPr>
                <w:b w:val="0"/>
                <w:i w:val="0"/>
                <w:color w:val="24323D"/>
                <w:sz w:val="15"/>
              </w:rPr>
              <w:t>« T1 bas compatible avec un stockage sphingolipidique »</w:t>
            </w:r>
          </w:p>
        </w:tc>
        <w:tc>
          <w:tcPr>
            <w:tcW w:type="dxa" w:w="2800"/>
            <w:vAlign w:val="center"/>
            <w:tcMar>
              <w:top w:w="92" w:type="dxa"/>
              <w:start w:w="105" w:type="dxa"/>
              <w:bottom w:w="92" w:type="dxa"/>
              <w:end w:w="105" w:type="dxa"/>
            </w:tcMar>
            <w:shd w:fill="FFFFFF"/>
          </w:tcPr>
          <w:p>
            <w:pPr>
              <w:spacing w:after="0" w:line="240" w:lineRule="auto"/>
              <w:jc w:val="left"/>
            </w:pPr>
            <w:r>
              <w:rPr>
                <w:b w:val="0"/>
                <w:i w:val="0"/>
                <w:color w:val="24323D"/>
                <w:sz w:val="15"/>
              </w:rPr>
              <w:t>« Quantité de Gb3 mesurée par T1 »</w:t>
            </w:r>
          </w:p>
        </w:tc>
        <w:tc>
          <w:tcPr>
            <w:tcW w:type="dxa" w:w="3860"/>
            <w:vAlign w:val="center"/>
            <w:tcMar>
              <w:top w:w="92" w:type="dxa"/>
              <w:start w:w="105" w:type="dxa"/>
              <w:bottom w:w="92" w:type="dxa"/>
              <w:end w:w="105" w:type="dxa"/>
            </w:tcMar>
            <w:shd w:fill="FFFFFF"/>
          </w:tcPr>
          <w:p>
            <w:pPr>
              <w:spacing w:after="0" w:line="240" w:lineRule="auto"/>
              <w:jc w:val="left"/>
            </w:pPr>
            <w:r>
              <w:rPr>
                <w:b w:val="0"/>
                <w:i w:val="0"/>
                <w:color w:val="24323D"/>
                <w:sz w:val="15"/>
              </w:rPr>
              <w:t>Pas de calibration moléculaire</w:t>
            </w:r>
          </w:p>
        </w:tc>
      </w:tr>
      <w:tr>
        <w:trPr>
          <w:cantSplit/>
        </w:trPr>
        <w:tc>
          <w:tcPr>
            <w:tcW w:type="dxa" w:w="2700"/>
            <w:vAlign w:val="center"/>
            <w:tcMar>
              <w:top w:w="92" w:type="dxa"/>
              <w:start w:w="105" w:type="dxa"/>
              <w:bottom w:w="92" w:type="dxa"/>
              <w:end w:w="105" w:type="dxa"/>
            </w:tcMar>
            <w:shd w:fill="F2F8FA"/>
          </w:tcPr>
          <w:p>
            <w:pPr>
              <w:spacing w:after="0" w:line="240" w:lineRule="auto"/>
              <w:jc w:val="left"/>
            </w:pPr>
            <w:r>
              <w:rPr>
                <w:b w:val="0"/>
                <w:i w:val="0"/>
                <w:color w:val="24323D"/>
                <w:sz w:val="15"/>
              </w:rPr>
              <w:t>« T2 élevé compatible avec une augmentation d’eau/lésion active »</w:t>
            </w:r>
          </w:p>
        </w:tc>
        <w:tc>
          <w:tcPr>
            <w:tcW w:type="dxa" w:w="2800"/>
            <w:vAlign w:val="center"/>
            <w:tcMar>
              <w:top w:w="92" w:type="dxa"/>
              <w:start w:w="105" w:type="dxa"/>
              <w:bottom w:w="92" w:type="dxa"/>
              <w:end w:w="105" w:type="dxa"/>
            </w:tcMar>
            <w:shd w:fill="F2F8FA"/>
          </w:tcPr>
          <w:p>
            <w:pPr>
              <w:spacing w:after="0" w:line="240" w:lineRule="auto"/>
              <w:jc w:val="left"/>
            </w:pPr>
            <w:r>
              <w:rPr>
                <w:b w:val="0"/>
                <w:i w:val="0"/>
                <w:color w:val="24323D"/>
                <w:sz w:val="15"/>
              </w:rPr>
              <w:t>« Myocardite prouvée »</w:t>
            </w:r>
          </w:p>
        </w:tc>
        <w:tc>
          <w:tcPr>
            <w:tcW w:type="dxa" w:w="3860"/>
            <w:vAlign w:val="center"/>
            <w:tcMar>
              <w:top w:w="92" w:type="dxa"/>
              <w:start w:w="105" w:type="dxa"/>
              <w:bottom w:w="92" w:type="dxa"/>
              <w:end w:w="105" w:type="dxa"/>
            </w:tcMar>
            <w:shd w:fill="F2F8FA"/>
          </w:tcPr>
          <w:p>
            <w:pPr>
              <w:spacing w:after="0" w:line="240" w:lineRule="auto"/>
              <w:jc w:val="left"/>
            </w:pPr>
            <w:r>
              <w:rPr>
                <w:b w:val="0"/>
                <w:i w:val="0"/>
                <w:color w:val="24323D"/>
                <w:sz w:val="15"/>
              </w:rPr>
              <w:t>Histologie et contexte nécessaires</w:t>
            </w:r>
          </w:p>
        </w:tc>
      </w:tr>
      <w:tr>
        <w:trPr>
          <w:cantSplit/>
        </w:trPr>
        <w:tc>
          <w:tcPr>
            <w:tcW w:type="dxa" w:w="2700"/>
            <w:vAlign w:val="center"/>
            <w:tcMar>
              <w:top w:w="92" w:type="dxa"/>
              <w:start w:w="105" w:type="dxa"/>
              <w:bottom w:w="92" w:type="dxa"/>
              <w:end w:w="105" w:type="dxa"/>
            </w:tcMar>
            <w:shd w:fill="FFFFFF"/>
          </w:tcPr>
          <w:p>
            <w:pPr>
              <w:spacing w:after="0" w:line="240" w:lineRule="auto"/>
              <w:jc w:val="left"/>
            </w:pPr>
            <w:r>
              <w:rPr>
                <w:b w:val="0"/>
                <w:i w:val="0"/>
                <w:color w:val="24323D"/>
                <w:sz w:val="15"/>
              </w:rPr>
              <w:t>« Variation supérieure à la répétabilité observée »</w:t>
            </w:r>
          </w:p>
        </w:tc>
        <w:tc>
          <w:tcPr>
            <w:tcW w:type="dxa" w:w="2800"/>
            <w:vAlign w:val="center"/>
            <w:tcMar>
              <w:top w:w="92" w:type="dxa"/>
              <w:start w:w="105" w:type="dxa"/>
              <w:bottom w:w="92" w:type="dxa"/>
              <w:end w:w="105" w:type="dxa"/>
            </w:tcMar>
            <w:shd w:fill="FFFFFF"/>
          </w:tcPr>
          <w:p>
            <w:pPr>
              <w:spacing w:after="0" w:line="240" w:lineRule="auto"/>
              <w:jc w:val="left"/>
            </w:pPr>
            <w:r>
              <w:rPr>
                <w:b w:val="0"/>
                <w:i w:val="0"/>
                <w:color w:val="24323D"/>
                <w:sz w:val="15"/>
              </w:rPr>
              <w:t>« Progression certaine »</w:t>
            </w:r>
          </w:p>
        </w:tc>
        <w:tc>
          <w:tcPr>
            <w:tcW w:type="dxa" w:w="3860"/>
            <w:vAlign w:val="center"/>
            <w:tcMar>
              <w:top w:w="92" w:type="dxa"/>
              <w:start w:w="105" w:type="dxa"/>
              <w:bottom w:w="92" w:type="dxa"/>
              <w:end w:w="105" w:type="dxa"/>
            </w:tcMar>
            <w:shd w:fill="FFFFFF"/>
          </w:tcPr>
          <w:p>
            <w:pPr>
              <w:spacing w:after="0" w:line="240" w:lineRule="auto"/>
              <w:jc w:val="left"/>
            </w:pPr>
            <w:r>
              <w:rPr>
                <w:b w:val="0"/>
                <w:i w:val="0"/>
                <w:color w:val="24323D"/>
                <w:sz w:val="15"/>
              </w:rPr>
              <w:t>Causalité et MCID distinctes</w:t>
            </w:r>
          </w:p>
        </w:tc>
      </w:tr>
      <w:tr>
        <w:trPr>
          <w:cantSplit/>
        </w:trPr>
        <w:tc>
          <w:tcPr>
            <w:tcW w:type="dxa" w:w="2700"/>
            <w:vAlign w:val="center"/>
            <w:tcMar>
              <w:top w:w="92" w:type="dxa"/>
              <w:start w:w="105" w:type="dxa"/>
              <w:bottom w:w="92" w:type="dxa"/>
              <w:end w:w="105" w:type="dxa"/>
            </w:tcMar>
            <w:shd w:fill="F2F8FA"/>
          </w:tcPr>
          <w:p>
            <w:pPr>
              <w:spacing w:after="0" w:line="240" w:lineRule="auto"/>
              <w:jc w:val="left"/>
            </w:pPr>
            <w:r>
              <w:rPr>
                <w:b w:val="0"/>
                <w:i w:val="0"/>
                <w:color w:val="24323D"/>
                <w:sz w:val="15"/>
              </w:rPr>
              <w:t>« Strain altéré, retentissement fonctionnel »</w:t>
            </w:r>
          </w:p>
        </w:tc>
        <w:tc>
          <w:tcPr>
            <w:tcW w:type="dxa" w:w="2800"/>
            <w:vAlign w:val="center"/>
            <w:tcMar>
              <w:top w:w="92" w:type="dxa"/>
              <w:start w:w="105" w:type="dxa"/>
              <w:bottom w:w="92" w:type="dxa"/>
              <w:end w:w="105" w:type="dxa"/>
            </w:tcMar>
            <w:shd w:fill="F2F8FA"/>
          </w:tcPr>
          <w:p>
            <w:pPr>
              <w:spacing w:after="0" w:line="240" w:lineRule="auto"/>
              <w:jc w:val="left"/>
            </w:pPr>
            <w:r>
              <w:rPr>
                <w:b w:val="0"/>
                <w:i w:val="0"/>
                <w:color w:val="24323D"/>
                <w:sz w:val="15"/>
              </w:rPr>
              <w:t>« Fibrose détectée par strain »</w:t>
            </w:r>
          </w:p>
        </w:tc>
        <w:tc>
          <w:tcPr>
            <w:tcW w:type="dxa" w:w="3860"/>
            <w:vAlign w:val="center"/>
            <w:tcMar>
              <w:top w:w="92" w:type="dxa"/>
              <w:start w:w="105" w:type="dxa"/>
              <w:bottom w:w="92" w:type="dxa"/>
              <w:end w:w="105" w:type="dxa"/>
            </w:tcMar>
            <w:shd w:fill="F2F8FA"/>
          </w:tcPr>
          <w:p>
            <w:pPr>
              <w:spacing w:after="0" w:line="240" w:lineRule="auto"/>
              <w:jc w:val="left"/>
            </w:pPr>
            <w:r>
              <w:rPr>
                <w:b w:val="0"/>
                <w:i w:val="0"/>
                <w:color w:val="24323D"/>
                <w:sz w:val="15"/>
              </w:rPr>
              <w:t>Non-spécificité mécanique</w:t>
            </w:r>
          </w:p>
        </w:tc>
      </w:tr>
      <w:tr>
        <w:trPr>
          <w:cantSplit/>
        </w:trPr>
        <w:tc>
          <w:tcPr>
            <w:tcW w:type="dxa" w:w="2700"/>
            <w:vAlign w:val="center"/>
            <w:tcMar>
              <w:top w:w="92" w:type="dxa"/>
              <w:start w:w="105" w:type="dxa"/>
              <w:bottom w:w="92" w:type="dxa"/>
              <w:end w:w="105" w:type="dxa"/>
            </w:tcMar>
            <w:shd w:fill="FFFFFF"/>
          </w:tcPr>
          <w:p>
            <w:pPr>
              <w:spacing w:after="0" w:line="240" w:lineRule="auto"/>
              <w:jc w:val="left"/>
            </w:pPr>
            <w:r>
              <w:rPr>
                <w:b w:val="0"/>
                <w:i w:val="0"/>
                <w:color w:val="24323D"/>
                <w:sz w:val="15"/>
              </w:rPr>
              <w:t>« Cicatrice focale non directement évaluée sans contraste »</w:t>
            </w:r>
          </w:p>
        </w:tc>
        <w:tc>
          <w:tcPr>
            <w:tcW w:type="dxa" w:w="2800"/>
            <w:vAlign w:val="center"/>
            <w:tcMar>
              <w:top w:w="92" w:type="dxa"/>
              <w:start w:w="105" w:type="dxa"/>
              <w:bottom w:w="92" w:type="dxa"/>
              <w:end w:w="105" w:type="dxa"/>
            </w:tcMar>
            <w:shd w:fill="FFFFFF"/>
          </w:tcPr>
          <w:p>
            <w:pPr>
              <w:spacing w:after="0" w:line="240" w:lineRule="auto"/>
              <w:jc w:val="left"/>
            </w:pPr>
            <w:r>
              <w:rPr>
                <w:b w:val="0"/>
                <w:i w:val="0"/>
                <w:color w:val="24323D"/>
                <w:sz w:val="15"/>
              </w:rPr>
              <w:t>« Fibrose absente »</w:t>
            </w:r>
          </w:p>
        </w:tc>
        <w:tc>
          <w:tcPr>
            <w:tcW w:type="dxa" w:w="3860"/>
            <w:vAlign w:val="center"/>
            <w:tcMar>
              <w:top w:w="92" w:type="dxa"/>
              <w:start w:w="105" w:type="dxa"/>
              <w:bottom w:w="92" w:type="dxa"/>
              <w:end w:w="105" w:type="dxa"/>
            </w:tcMar>
            <w:shd w:fill="FFFFFF"/>
          </w:tcPr>
          <w:p>
            <w:pPr>
              <w:spacing w:after="0" w:line="240" w:lineRule="auto"/>
              <w:jc w:val="left"/>
            </w:pPr>
            <w:r>
              <w:rPr>
                <w:b w:val="0"/>
                <w:i w:val="0"/>
                <w:color w:val="24323D"/>
                <w:sz w:val="15"/>
              </w:rPr>
              <w:t>Limite de construit</w:t>
            </w:r>
          </w:p>
        </w:tc>
      </w:tr>
    </w:tbl>
    <w:p>
      <w:pPr>
        <w:spacing w:after="20"/>
      </w:pPr>
    </w:p>
    <w:p>
      <w:r>
        <w:br w:type="page"/>
      </w:r>
    </w:p>
    <w:p>
      <w:pPr>
        <w:pStyle w:val="Heading1"/>
        <w:pBdr>
          <w:bottom w:val="single" w:sz="12" w:space="7" w:color="22A6B3"/>
        </w:pBdr>
      </w:pPr>
      <w:r>
        <w:t>CONCLUSION — CE QUE LE PROTOCOL DESIGNER DOIT SAVOIR AVANT D’AGIR</w:t>
      </w:r>
    </w:p>
    <w:p>
      <w:pPr>
        <w:widowControl/>
      </w:pPr>
      <w:r>
        <w:rPr>
          <w:b w:val="0"/>
          <w:i w:val="0"/>
        </w:rPr>
        <w:t>Mesurer la fibrose myocardique dans la maladie de Fabry n’est pas choisir une séquence : c’est décider quel dommage tissulaire est visé, à quel stade, chez quel génotype et dans quelle trajectoire biologique.</w:t>
      </w:r>
    </w:p>
    <w:p>
      <w:pPr>
        <w:widowControl/>
      </w:pPr>
      <w:r>
        <w:rPr>
          <w:b w:val="0"/>
          <w:i w:val="0"/>
        </w:rPr>
        <w:t>Le cœur Fabry superpose des compartiments qui déplacent les signaux dans des directions différentes. Le stockage intracellulaire abaisse souvent le T1 ; l’hypertrophie augmente la masse ; l’activité lésionnelle peut augmenter T2 et troponine ; l’expansion extracellulaire augmente l’ECV ; la cicatrice focale produit un LGE ; la fonction peut rester globalement préservée alors que le strain régional se dégrade. Une moyenne normale peut cacher une mosaïque ou une pseudonormalisation. Une femme peut porter une cicatrice avant toute LVH. Une baisse de substrat circulant ne signifie pas que le collagène a disparu.</w:t>
      </w:r>
    </w:p>
    <w:p>
      <w:pPr>
        <w:widowControl/>
      </w:pPr>
      <w:r>
        <w:rPr>
          <w:b w:val="0"/>
          <w:i w:val="0"/>
        </w:rPr>
        <w:t xml:space="preserve">Le construit primaire le plus défendable est la </w:t>
      </w:r>
      <w:r>
        <w:rPr>
          <w:b/>
          <w:i w:val="0"/>
        </w:rPr>
        <w:t>cicatrice focale de remplacement</w:t>
      </w:r>
      <w:r>
        <w:rPr>
          <w:b w:val="0"/>
          <w:i w:val="0"/>
        </w:rPr>
        <w:t>, dont le LGE est le substitut non invasif principal à condition d’en fixer la distribution, la méthode de quantification et l’attribution. L’ECV répond à une question complémentaire d’expansion extracellulaire. T1, T2, ciné, strain, enzyme, lyso-Gb3, troponine et NT-proBNP sont indispensables au raisonnement, mais aucun ne doit usurper le nom de fibrose.</w:t>
      </w:r>
    </w:p>
    <w:p>
      <w:pPr>
        <w:widowControl/>
      </w:pPr>
      <w:r>
        <w:rPr>
          <w:b w:val="0"/>
          <w:i w:val="0"/>
        </w:rPr>
        <w:t>Le premier succès du Protocol Designer n’est donc pas de produire un protocole. C’est de savoir refuser d’en produire un tant que l’objectif, l’estimand, la temporalité, les confusions et le langage de conclusion ne sont pas suffisamment explicites.</w:t>
      </w:r>
    </w:p>
    <w:p>
      <w:pPr>
        <w:spacing w:before="140" w:after="200" w:line="264" w:lineRule="auto"/>
        <w:ind w:left="173" w:right="86"/>
        <w:shd w:fill="E5F5F7"/>
        <w:pBdr>
          <w:left w:val="single" w:sz="24" w:space="9" w:color="22A6B3"/>
        </w:pBdr>
      </w:pPr>
      <w:r>
        <w:rPr>
          <w:b/>
          <w:i w:val="0"/>
          <w:color w:val="12344D"/>
          <w:sz w:val="19"/>
        </w:rPr>
        <w:t>Décision finale de PD-002.</w:t>
      </w:r>
      <w:r>
        <w:rPr>
          <w:b w:val="0"/>
          <w:i w:val="0"/>
          <w:color w:val="12344D"/>
          <w:sz w:val="19"/>
        </w:rPr>
        <w:t xml:space="preserve"> Le raisonnement scientifique est suffisant pour définir les portes de décision d’un futur travail de conception. Il n’autorise pas encore un protocole, car aucun objectif d’usage unique, aucune population opérationnelle et aucun estimand primaire n’ont été sélectionnés par le demandeur.</w:t>
      </w:r>
    </w:p>
    <w:p>
      <w:r>
        <w:br w:type="page"/>
      </w:r>
    </w:p>
    <w:p>
      <w:pPr>
        <w:pStyle w:val="Heading1"/>
        <w:pBdr>
          <w:bottom w:val="single" w:sz="12" w:space="7" w:color="22A6B3"/>
        </w:pBdr>
      </w:pPr>
      <w:r>
        <w:t>RÉFÉRENCES SCIENTIFIQUES</w:t>
      </w:r>
    </w:p>
    <w:p>
      <w:pPr>
        <w:pStyle w:val="Heading2"/>
      </w:pPr>
      <w:r>
        <w:t>Recommandations, consensus et génétique</w:t>
      </w:r>
    </w:p>
    <w:p>
      <w:pPr>
        <w:pStyle w:val="Reference"/>
        <w:spacing w:line="245" w:lineRule="auto" w:after="84"/>
        <w:jc w:val="left"/>
        <w:widowControl/>
      </w:pPr>
      <w:r>
        <w:rPr>
          <w:b w:val="0"/>
          <w:i w:val="0"/>
        </w:rPr>
        <w:t xml:space="preserve">[R01] Elliott PM, Anastasakis A, Borger MA, et al. 2023 ESC Guidelines for the management of cardiomyopathies. </w:t>
      </w:r>
      <w:r>
        <w:rPr>
          <w:b w:val="0"/>
          <w:i/>
        </w:rPr>
        <w:t>European Heart Journal</w:t>
      </w:r>
      <w:r>
        <w:rPr>
          <w:b w:val="0"/>
          <w:i w:val="0"/>
        </w:rPr>
        <w:t xml:space="preserve">. 2023;44:3503–3626. doi:10.1093/eurheartj/ehad194. </w:t>
      </w:r>
      <w:hyperlink r:id="rId9">
        <w:r>
          <w:rPr>
            <w:color w:val="22A6B3"/>
            <w:u w:val="single"/>
          </w:rPr>
          <w:t>https://academic.oup.com/eurheartj/article/44/37/3503/7246608</w:t>
        </w:r>
      </w:hyperlink>
    </w:p>
    <w:p>
      <w:pPr>
        <w:pStyle w:val="Reference"/>
        <w:spacing w:line="245" w:lineRule="auto" w:after="84"/>
        <w:jc w:val="left"/>
        <w:widowControl/>
      </w:pPr>
      <w:r>
        <w:rPr>
          <w:b w:val="0"/>
          <w:i w:val="0"/>
        </w:rPr>
        <w:t xml:space="preserve">[R02] Cameli M, Pieroni M, Pastore MC, et al. The role of cardiovascular multimodality imaging in the evaluation of Anderson–Fabry disease: from early diagnosis to therapy monitoring. </w:t>
      </w:r>
      <w:r>
        <w:rPr>
          <w:b w:val="0"/>
          <w:i/>
        </w:rPr>
        <w:t>European Heart Journal – Cardiovascular Imaging</w:t>
      </w:r>
      <w:r>
        <w:rPr>
          <w:b w:val="0"/>
          <w:i w:val="0"/>
        </w:rPr>
        <w:t xml:space="preserve">. 2025;26:814–829. doi:10.1093/ehjci/jeaf038. PMID 39903606. </w:t>
      </w:r>
      <w:hyperlink r:id="rId10">
        <w:r>
          <w:rPr>
            <w:color w:val="22A6B3"/>
            <w:u w:val="single"/>
          </w:rPr>
          <w:t>https://academic.oup.com/ehjcimaging/article/26/5/814/7998777</w:t>
        </w:r>
      </w:hyperlink>
    </w:p>
    <w:p>
      <w:pPr>
        <w:pStyle w:val="Reference"/>
        <w:spacing w:line="245" w:lineRule="auto" w:after="84"/>
        <w:jc w:val="left"/>
        <w:widowControl/>
      </w:pPr>
      <w:r>
        <w:rPr>
          <w:b w:val="0"/>
          <w:i w:val="0"/>
        </w:rPr>
        <w:t xml:space="preserve">[R03] Linhart A, Germain DP, Olivotto I, et al. An expert consensus document on the management of cardiovascular manifestations of Fabry disease. </w:t>
      </w:r>
      <w:r>
        <w:rPr>
          <w:b w:val="0"/>
          <w:i/>
        </w:rPr>
        <w:t>European Journal of Heart Failure</w:t>
      </w:r>
      <w:r>
        <w:rPr>
          <w:b w:val="0"/>
          <w:i w:val="0"/>
        </w:rPr>
        <w:t xml:space="preserve">. 2020;22:1076–1096. doi:10.1002/ejhf.1960. </w:t>
      </w:r>
      <w:hyperlink r:id="rId11">
        <w:r>
          <w:rPr>
            <w:color w:val="22A6B3"/>
            <w:u w:val="single"/>
          </w:rPr>
          <w:t>https://onlinelibrary.wiley.com/doi/full/10.1002/ejhf.1960</w:t>
        </w:r>
      </w:hyperlink>
    </w:p>
    <w:p>
      <w:pPr>
        <w:pStyle w:val="Reference"/>
        <w:spacing w:line="245" w:lineRule="auto" w:after="84"/>
        <w:jc w:val="left"/>
        <w:widowControl/>
      </w:pPr>
      <w:r>
        <w:rPr>
          <w:b w:val="0"/>
          <w:i w:val="0"/>
        </w:rPr>
        <w:t xml:space="preserve">[R04] Mehta A, Hughes DA. Fabry Disease. </w:t>
      </w:r>
      <w:r>
        <w:rPr>
          <w:b w:val="0"/>
          <w:i/>
        </w:rPr>
        <w:t>GeneReviews®</w:t>
      </w:r>
      <w:r>
        <w:rPr>
          <w:b w:val="0"/>
          <w:i w:val="0"/>
        </w:rPr>
        <w:t xml:space="preserve">. University of Washington, Seattle; mise à jour consultée le 2 août 2026. </w:t>
      </w:r>
      <w:hyperlink r:id="rId12">
        <w:r>
          <w:rPr>
            <w:color w:val="22A6B3"/>
            <w:u w:val="single"/>
          </w:rPr>
          <w:t>https://www.ncbi.nlm.nih.gov/books/NBK1292/</w:t>
        </w:r>
      </w:hyperlink>
    </w:p>
    <w:p>
      <w:pPr>
        <w:pStyle w:val="Reference"/>
        <w:spacing w:line="245" w:lineRule="auto" w:after="84"/>
        <w:jc w:val="left"/>
        <w:widowControl/>
      </w:pPr>
      <w:r>
        <w:rPr>
          <w:b w:val="0"/>
          <w:i w:val="0"/>
        </w:rPr>
        <w:t xml:space="preserve">[R05] Germain DP, Brand E, Burlina A, et al. Phenotypic characteristics of the p.Asn215Ser (p.N215S) GLA mutation in male and female patients with Fabry disease: a multicenter Fabry Registry study. </w:t>
      </w:r>
      <w:r>
        <w:rPr>
          <w:b w:val="0"/>
          <w:i/>
        </w:rPr>
        <w:t>Molecular Genetics &amp; Genomic Medicine</w:t>
      </w:r>
      <w:r>
        <w:rPr>
          <w:b w:val="0"/>
          <w:i w:val="0"/>
        </w:rPr>
        <w:t xml:space="preserve">. 2018;6:492–503. doi:10.1002/mgg3.389. PMID 29649853. </w:t>
      </w:r>
      <w:hyperlink r:id="rId13">
        <w:r>
          <w:rPr>
            <w:color w:val="22A6B3"/>
            <w:u w:val="single"/>
          </w:rPr>
          <w:t>https://pubmed.ncbi.nlm.nih.gov/29649853/</w:t>
        </w:r>
      </w:hyperlink>
    </w:p>
    <w:p>
      <w:pPr>
        <w:pStyle w:val="Heading2"/>
      </w:pPr>
      <w:r>
        <w:t>Histoire naturelle, sexe et phénotype précoce</w:t>
      </w:r>
    </w:p>
    <w:p>
      <w:pPr>
        <w:pStyle w:val="Reference"/>
        <w:spacing w:line="245" w:lineRule="auto" w:after="84"/>
        <w:jc w:val="left"/>
        <w:widowControl/>
      </w:pPr>
      <w:r>
        <w:rPr>
          <w:b w:val="0"/>
          <w:i w:val="0"/>
        </w:rPr>
        <w:t xml:space="preserve">[R06] Nordin S, Kozor R, Medina-Menacho K, et al. Proposed stages of myocardial phenotype development in Fabry disease. </w:t>
      </w:r>
      <w:r>
        <w:rPr>
          <w:b w:val="0"/>
          <w:i/>
        </w:rPr>
        <w:t>JACC: Cardiovascular Imaging</w:t>
      </w:r>
      <w:r>
        <w:rPr>
          <w:b w:val="0"/>
          <w:i w:val="0"/>
        </w:rPr>
        <w:t xml:space="preserve">. 2019;12:1673–1683. doi:10.1016/j.jcmg.2018.03.020. </w:t>
      </w:r>
      <w:hyperlink r:id="rId14">
        <w:r>
          <w:rPr>
            <w:color w:val="22A6B3"/>
            <w:u w:val="single"/>
          </w:rPr>
          <w:t>https://www.jacc.org/doi/10.1016/j.jcmg.2018.03.020</w:t>
        </w:r>
      </w:hyperlink>
    </w:p>
    <w:p>
      <w:pPr>
        <w:pStyle w:val="Reference"/>
        <w:spacing w:line="245" w:lineRule="auto" w:after="84"/>
        <w:jc w:val="left"/>
        <w:widowControl/>
      </w:pPr>
      <w:r>
        <w:rPr>
          <w:b w:val="0"/>
          <w:i w:val="0"/>
        </w:rPr>
        <w:t xml:space="preserve">[R07] Niemann M, Herrmann S, Hu K, et al. Differences in Fabry cardiomyopathy between female and male patients: consequences for diagnostic assessment. </w:t>
      </w:r>
      <w:r>
        <w:rPr>
          <w:b w:val="0"/>
          <w:i/>
        </w:rPr>
        <w:t>JACC: Cardiovascular Imaging</w:t>
      </w:r>
      <w:r>
        <w:rPr>
          <w:b w:val="0"/>
          <w:i w:val="0"/>
        </w:rPr>
        <w:t xml:space="preserve">. 2011;4:592–601. doi:10.1016/j.jcmg.2011.01.020. PMID 21679893. </w:t>
      </w:r>
      <w:hyperlink r:id="rId15">
        <w:r>
          <w:rPr>
            <w:color w:val="22A6B3"/>
            <w:u w:val="single"/>
          </w:rPr>
          <w:t>https://pubmed.ncbi.nlm.nih.gov/21679893/</w:t>
        </w:r>
      </w:hyperlink>
    </w:p>
    <w:p>
      <w:pPr>
        <w:pStyle w:val="Reference"/>
        <w:spacing w:line="245" w:lineRule="auto" w:after="84"/>
        <w:jc w:val="left"/>
        <w:widowControl/>
      </w:pPr>
      <w:r>
        <w:rPr>
          <w:b w:val="0"/>
          <w:i w:val="0"/>
        </w:rPr>
        <w:t xml:space="preserve">[R08] Sado DM, White SK, Piechnik SK, et al. Identification and assessment of Anderson–Fabry disease by cardiovascular magnetic resonance noncontrast myocardial T1 mapping. </w:t>
      </w:r>
      <w:r>
        <w:rPr>
          <w:b w:val="0"/>
          <w:i/>
        </w:rPr>
        <w:t>Circulation: Cardiovascular Imaging</w:t>
      </w:r>
      <w:r>
        <w:rPr>
          <w:b w:val="0"/>
          <w:i w:val="0"/>
        </w:rPr>
        <w:t xml:space="preserve">. 2013;6:392–398. doi:10.1161/CIRCIMAGING.112.000070. PMID 23564562. </w:t>
      </w:r>
      <w:hyperlink r:id="rId16">
        <w:r>
          <w:rPr>
            <w:color w:val="22A6B3"/>
            <w:u w:val="single"/>
          </w:rPr>
          <w:t>https://pubmed.ncbi.nlm.nih.gov/23564562/</w:t>
        </w:r>
      </w:hyperlink>
    </w:p>
    <w:p>
      <w:pPr>
        <w:pStyle w:val="Reference"/>
        <w:spacing w:line="245" w:lineRule="auto" w:after="84"/>
        <w:jc w:val="left"/>
        <w:widowControl/>
      </w:pPr>
      <w:r>
        <w:rPr>
          <w:b w:val="0"/>
          <w:i w:val="0"/>
        </w:rPr>
        <w:t xml:space="preserve">[R09] Thompson RB, Chow K, Khan A, et al. T1 mapping with cardiovascular MRI is highly sensitive for Fabry disease independent of hypertrophy and sex. </w:t>
      </w:r>
      <w:r>
        <w:rPr>
          <w:b w:val="0"/>
          <w:i/>
        </w:rPr>
        <w:t>Circulation: Cardiovascular Imaging</w:t>
      </w:r>
      <w:r>
        <w:rPr>
          <w:b w:val="0"/>
          <w:i w:val="0"/>
        </w:rPr>
        <w:t xml:space="preserve">. 2013;6:637–645. doi:10.1161/CIRCIMAGING.113.000482. PMID 23922004. </w:t>
      </w:r>
      <w:hyperlink r:id="rId17">
        <w:r>
          <w:rPr>
            <w:color w:val="22A6B3"/>
            <w:u w:val="single"/>
          </w:rPr>
          <w:t>https://pubmed.ncbi.nlm.nih.gov/23922004/</w:t>
        </w:r>
      </w:hyperlink>
    </w:p>
    <w:p>
      <w:pPr>
        <w:pStyle w:val="Reference"/>
        <w:spacing w:line="245" w:lineRule="auto" w:after="84"/>
        <w:jc w:val="left"/>
        <w:widowControl/>
      </w:pPr>
      <w:r>
        <w:rPr>
          <w:b w:val="0"/>
          <w:i w:val="0"/>
        </w:rPr>
        <w:t xml:space="preserve">[R10] Pica S, Sado DM, Maestrini V, et al. Reproducibility of native myocardial T1 mapping in the assessment of Fabry disease and its role in early detection of cardiac involvement by cardiovascular magnetic resonance. </w:t>
      </w:r>
      <w:r>
        <w:rPr>
          <w:b w:val="0"/>
          <w:i/>
        </w:rPr>
        <w:t>Journal of Cardiovascular Magnetic Resonance</w:t>
      </w:r>
      <w:r>
        <w:rPr>
          <w:b w:val="0"/>
          <w:i w:val="0"/>
        </w:rPr>
        <w:t xml:space="preserve">. 2014;16:99. doi:10.1186/s12968-014-0099-4. PMID 25475749. </w:t>
      </w:r>
      <w:hyperlink r:id="rId18">
        <w:r>
          <w:rPr>
            <w:color w:val="22A6B3"/>
            <w:u w:val="single"/>
          </w:rPr>
          <w:t>https://pubmed.ncbi.nlm.nih.gov/25475749/</w:t>
        </w:r>
      </w:hyperlink>
    </w:p>
    <w:p>
      <w:pPr>
        <w:pStyle w:val="Reference"/>
        <w:spacing w:line="245" w:lineRule="auto" w:after="84"/>
        <w:jc w:val="left"/>
        <w:widowControl/>
      </w:pPr>
      <w:r>
        <w:rPr>
          <w:b w:val="0"/>
          <w:i w:val="0"/>
        </w:rPr>
        <w:t xml:space="preserve">[R11] Nordin S, Kozor R, Baig S, et al. Cardiac phenotype of prehypertrophic Fabry disease. </w:t>
      </w:r>
      <w:r>
        <w:rPr>
          <w:b w:val="0"/>
          <w:i/>
        </w:rPr>
        <w:t>Circulation: Cardiovascular Imaging</w:t>
      </w:r>
      <w:r>
        <w:rPr>
          <w:b w:val="0"/>
          <w:i w:val="0"/>
        </w:rPr>
        <w:t xml:space="preserve">. 2018;11:e007168. doi:10.1161/CIRCIMAGING.117.007168. PMID 29853467. </w:t>
      </w:r>
      <w:hyperlink r:id="rId19">
        <w:r>
          <w:rPr>
            <w:color w:val="22A6B3"/>
            <w:u w:val="single"/>
          </w:rPr>
          <w:t>https://pubmed.ncbi.nlm.nih.gov/29853467/</w:t>
        </w:r>
      </w:hyperlink>
    </w:p>
    <w:p>
      <w:pPr>
        <w:pStyle w:val="Reference"/>
        <w:spacing w:line="245" w:lineRule="auto" w:after="84"/>
        <w:jc w:val="left"/>
        <w:widowControl/>
      </w:pPr>
      <w:r>
        <w:rPr>
          <w:b w:val="0"/>
          <w:i w:val="0"/>
        </w:rPr>
        <w:t xml:space="preserve">[R12] Augusto JB, Johner N, Shah D, et al. The myocardial phenotype of Fabry disease pre-hypertrophy and pre-detectable storage. </w:t>
      </w:r>
      <w:r>
        <w:rPr>
          <w:b w:val="0"/>
          <w:i/>
        </w:rPr>
        <w:t>European Heart Journal – Cardiovascular Imaging</w:t>
      </w:r>
      <w:r>
        <w:rPr>
          <w:b w:val="0"/>
          <w:i w:val="0"/>
        </w:rPr>
        <w:t xml:space="preserve">. 2021;22:790–799. doi:10.1093/ehjci/jeaa101. PMID 32514567. </w:t>
      </w:r>
      <w:hyperlink r:id="rId20">
        <w:r>
          <w:rPr>
            <w:color w:val="22A6B3"/>
            <w:u w:val="single"/>
          </w:rPr>
          <w:t>https://pmc.ncbi.nlm.nih.gov/articles/PMC8219366/</w:t>
        </w:r>
      </w:hyperlink>
    </w:p>
    <w:p>
      <w:pPr>
        <w:pStyle w:val="Heading2"/>
      </w:pPr>
      <w:r>
        <w:t>Fibrose, activité lésionnelle et microvascularité</w:t>
      </w:r>
    </w:p>
    <w:p>
      <w:pPr>
        <w:pStyle w:val="Reference"/>
        <w:spacing w:line="245" w:lineRule="auto" w:after="84"/>
        <w:jc w:val="left"/>
        <w:widowControl/>
      </w:pPr>
      <w:r>
        <w:rPr>
          <w:b w:val="0"/>
          <w:i w:val="0"/>
        </w:rPr>
        <w:t xml:space="preserve">[R13] Moon JCC, Sheppard M, Reed E, Lee P, Elliott PM, Pennell DJ. The histological basis of late gadolinium enhancement cardiovascular magnetic resonance in a patient with Anderson–Fabry disease. </w:t>
      </w:r>
      <w:r>
        <w:rPr>
          <w:b w:val="0"/>
          <w:i/>
        </w:rPr>
        <w:t>Journal of Cardiovascular Magnetic Resonance</w:t>
      </w:r>
      <w:r>
        <w:rPr>
          <w:b w:val="0"/>
          <w:i w:val="0"/>
        </w:rPr>
        <w:t xml:space="preserve">. 2006;8:479–482. doi:10.1080/10976640600605002. PMID 16755835. </w:t>
      </w:r>
      <w:hyperlink r:id="rId21">
        <w:r>
          <w:rPr>
            <w:color w:val="22A6B3"/>
            <w:u w:val="single"/>
          </w:rPr>
          <w:t>https://pubmed.ncbi.nlm.nih.gov/16755835/</w:t>
        </w:r>
      </w:hyperlink>
    </w:p>
    <w:p>
      <w:pPr>
        <w:pStyle w:val="Reference"/>
        <w:spacing w:line="245" w:lineRule="auto" w:after="84"/>
        <w:jc w:val="left"/>
        <w:widowControl/>
      </w:pPr>
      <w:r>
        <w:rPr>
          <w:b w:val="0"/>
          <w:i w:val="0"/>
        </w:rPr>
        <w:t xml:space="preserve">[R14] Nordin S, Kozor R, Bulluck H, et al. Cardiac Fabry disease with late gadolinium enhancement is a chronic inflammatory cardiomyopathy. </w:t>
      </w:r>
      <w:r>
        <w:rPr>
          <w:b w:val="0"/>
          <w:i/>
        </w:rPr>
        <w:t>Journal of the American College of Cardiology</w:t>
      </w:r>
      <w:r>
        <w:rPr>
          <w:b w:val="0"/>
          <w:i w:val="0"/>
        </w:rPr>
        <w:t xml:space="preserve">. 2016;68:1707–1708. doi:10.1016/j.jacc.2016.07.741. PMID 27712787. </w:t>
      </w:r>
      <w:hyperlink r:id="rId22">
        <w:r>
          <w:rPr>
            <w:color w:val="22A6B3"/>
            <w:u w:val="single"/>
          </w:rPr>
          <w:t>https://www.jacc.org/doi/10.1016/j.jacc.2016.07.741</w:t>
        </w:r>
      </w:hyperlink>
    </w:p>
    <w:p>
      <w:pPr>
        <w:pStyle w:val="Reference"/>
        <w:spacing w:line="245" w:lineRule="auto" w:after="84"/>
        <w:jc w:val="left"/>
        <w:widowControl/>
      </w:pPr>
      <w:r>
        <w:rPr>
          <w:b w:val="0"/>
          <w:i w:val="0"/>
        </w:rPr>
        <w:t xml:space="preserve">[R15] Augusto JB, Nordin S, Vijapurapu R, et al. Myocardial edema, myocyte injury, and disease severity in Fabry disease. </w:t>
      </w:r>
      <w:r>
        <w:rPr>
          <w:b w:val="0"/>
          <w:i/>
        </w:rPr>
        <w:t>Circulation: Cardiovascular Imaging</w:t>
      </w:r>
      <w:r>
        <w:rPr>
          <w:b w:val="0"/>
          <w:i w:val="0"/>
        </w:rPr>
        <w:t xml:space="preserve">. 2020;13:e010171. doi:10.1161/CIRCIMAGING.119.010171. </w:t>
      </w:r>
      <w:hyperlink r:id="rId23">
        <w:r>
          <w:rPr>
            <w:color w:val="22A6B3"/>
            <w:u w:val="single"/>
          </w:rPr>
          <w:t>https://discovery.ucl.ac.uk/id/eprint/10093251/1/CIRCIMAGING.119.010171.pdf</w:t>
        </w:r>
      </w:hyperlink>
    </w:p>
    <w:p>
      <w:pPr>
        <w:pStyle w:val="Reference"/>
        <w:spacing w:line="245" w:lineRule="auto" w:after="84"/>
        <w:jc w:val="left"/>
        <w:widowControl/>
      </w:pPr>
      <w:r>
        <w:rPr>
          <w:b w:val="0"/>
          <w:i w:val="0"/>
        </w:rPr>
        <w:t xml:space="preserve">[R16] Frustaci A, Verardo R, Grande C, et al. Immune-mediated myocarditis in Fabry disease cardiomyopathy. </w:t>
      </w:r>
      <w:r>
        <w:rPr>
          <w:b w:val="0"/>
          <w:i/>
        </w:rPr>
        <w:t>Journal of the American Heart Association</w:t>
      </w:r>
      <w:r>
        <w:rPr>
          <w:b w:val="0"/>
          <w:i w:val="0"/>
        </w:rPr>
        <w:t xml:space="preserve">. 2018;7:e009052. doi:10.1161/JAHA.118.009052. PMID 30371172. </w:t>
      </w:r>
      <w:hyperlink r:id="rId24">
        <w:r>
          <w:rPr>
            <w:color w:val="22A6B3"/>
            <w:u w:val="single"/>
          </w:rPr>
          <w:t>https://pubmed.ncbi.nlm.nih.gov/30371172/</w:t>
        </w:r>
      </w:hyperlink>
    </w:p>
    <w:p>
      <w:pPr>
        <w:pStyle w:val="Reference"/>
        <w:spacing w:line="245" w:lineRule="auto" w:after="84"/>
        <w:jc w:val="left"/>
        <w:widowControl/>
      </w:pPr>
      <w:r>
        <w:rPr>
          <w:b w:val="0"/>
          <w:i w:val="0"/>
        </w:rPr>
        <w:t xml:space="preserve">[R17] Knott KD, Augusto JB, Nordin S, et al. Quantitative myocardial perfusion in Fabry disease. </w:t>
      </w:r>
      <w:r>
        <w:rPr>
          <w:b w:val="0"/>
          <w:i/>
        </w:rPr>
        <w:t>Circulation: Cardiovascular Imaging</w:t>
      </w:r>
      <w:r>
        <w:rPr>
          <w:b w:val="0"/>
          <w:i w:val="0"/>
        </w:rPr>
        <w:t xml:space="preserve">. 2019. PMID 31269811. </w:t>
      </w:r>
      <w:hyperlink r:id="rId25">
        <w:r>
          <w:rPr>
            <w:color w:val="22A6B3"/>
            <w:u w:val="single"/>
          </w:rPr>
          <w:t>https://pubmed.ncbi.nlm.nih.gov/31269811/</w:t>
        </w:r>
      </w:hyperlink>
    </w:p>
    <w:p>
      <w:pPr>
        <w:pStyle w:val="Reference"/>
        <w:spacing w:line="245" w:lineRule="auto" w:after="84"/>
        <w:jc w:val="left"/>
        <w:widowControl/>
      </w:pPr>
      <w:r>
        <w:rPr>
          <w:b w:val="0"/>
          <w:i w:val="0"/>
        </w:rPr>
        <w:t xml:space="preserve">[R18] Chimenti C, Morgante E, Tanzilli G, et al. Angina in Fabry disease reflects coronary small vessel disease. </w:t>
      </w:r>
      <w:r>
        <w:rPr>
          <w:b w:val="0"/>
          <w:i/>
        </w:rPr>
        <w:t>Circulation: Heart Failure</w:t>
      </w:r>
      <w:r>
        <w:rPr>
          <w:b w:val="0"/>
          <w:i w:val="0"/>
        </w:rPr>
        <w:t xml:space="preserve">. 2008;1:161–169. doi:10.1161/CIRCHEARTFAILURE.108.769729. PMID 19808286. </w:t>
      </w:r>
      <w:hyperlink r:id="rId26">
        <w:r>
          <w:rPr>
            <w:color w:val="22A6B3"/>
            <w:u w:val="single"/>
          </w:rPr>
          <w:t>https://pubmed.ncbi.nlm.nih.gov/19808286/</w:t>
        </w:r>
      </w:hyperlink>
    </w:p>
    <w:p>
      <w:pPr>
        <w:pStyle w:val="Heading2"/>
      </w:pPr>
      <w:r>
        <w:t>Longitudinal, traitement et pronostic</w:t>
      </w:r>
    </w:p>
    <w:p>
      <w:pPr>
        <w:pStyle w:val="Reference"/>
        <w:spacing w:line="245" w:lineRule="auto" w:after="84"/>
        <w:jc w:val="left"/>
        <w:widowControl/>
      </w:pPr>
      <w:r>
        <w:rPr>
          <w:b w:val="0"/>
          <w:i w:val="0"/>
        </w:rPr>
        <w:t xml:space="preserve">[R19] Vijapurapu R, Baig S, Nordin S, et al. Longitudinal assessment of cardiac involvement in Fabry disease using cardiovascular magnetic resonance imaging. </w:t>
      </w:r>
      <w:r>
        <w:rPr>
          <w:b w:val="0"/>
          <w:i/>
        </w:rPr>
        <w:t>JACC: Cardiovascular Imaging</w:t>
      </w:r>
      <w:r>
        <w:rPr>
          <w:b w:val="0"/>
          <w:i w:val="0"/>
        </w:rPr>
        <w:t xml:space="preserve">. 2020;13:1850–1852. doi:10.1016/j.jcmg.2020.03.004. PMID 32305479. </w:t>
      </w:r>
      <w:hyperlink r:id="rId27">
        <w:r>
          <w:rPr>
            <w:color w:val="22A6B3"/>
            <w:u w:val="single"/>
          </w:rPr>
          <w:t>https://www.jacc.org/doi/10.1016/j.jcmg.2020.03.004</w:t>
        </w:r>
      </w:hyperlink>
    </w:p>
    <w:p>
      <w:pPr>
        <w:pStyle w:val="Reference"/>
        <w:spacing w:line="245" w:lineRule="auto" w:after="84"/>
        <w:jc w:val="left"/>
        <w:widowControl/>
      </w:pPr>
      <w:r>
        <w:rPr>
          <w:b w:val="0"/>
          <w:i w:val="0"/>
        </w:rPr>
        <w:t xml:space="preserve">[R20] Nordin S, Kozor R, Vijapurapu R, et al. Myocardial storage, inflammation, and cardiac phenotype in Fabry disease after one year of enzyme replacement therapy. </w:t>
      </w:r>
      <w:r>
        <w:rPr>
          <w:b w:val="0"/>
          <w:i/>
        </w:rPr>
        <w:t>Circulation: Cardiovascular Imaging</w:t>
      </w:r>
      <w:r>
        <w:rPr>
          <w:b w:val="0"/>
          <w:i w:val="0"/>
        </w:rPr>
        <w:t xml:space="preserve">. PMID 31826677. </w:t>
      </w:r>
      <w:hyperlink r:id="rId28">
        <w:r>
          <w:rPr>
            <w:color w:val="22A6B3"/>
            <w:u w:val="single"/>
          </w:rPr>
          <w:t>https://pubmed.ncbi.nlm.nih.gov/31826677/</w:t>
        </w:r>
      </w:hyperlink>
    </w:p>
    <w:p>
      <w:pPr>
        <w:pStyle w:val="Reference"/>
        <w:spacing w:line="245" w:lineRule="auto" w:after="84"/>
        <w:jc w:val="left"/>
        <w:widowControl/>
      </w:pPr>
      <w:r>
        <w:rPr>
          <w:b w:val="0"/>
          <w:i w:val="0"/>
        </w:rPr>
        <w:t xml:space="preserve">[R21] Weidemann F, Niemann M, Störk S, et al. Long-term outcome of enzyme-replacement therapy in advanced Fabry disease: evidence for disease progression towards serious complications. </w:t>
      </w:r>
      <w:r>
        <w:rPr>
          <w:b w:val="0"/>
          <w:i/>
        </w:rPr>
        <w:t>Journal of Internal Medicine</w:t>
      </w:r>
      <w:r>
        <w:rPr>
          <w:b w:val="0"/>
          <w:i w:val="0"/>
        </w:rPr>
        <w:t xml:space="preserve">. 2013. PMID 23586858. </w:t>
      </w:r>
      <w:hyperlink r:id="rId29">
        <w:r>
          <w:rPr>
            <w:color w:val="22A6B3"/>
            <w:u w:val="single"/>
          </w:rPr>
          <w:t>https://pubmed.ncbi.nlm.nih.gov/23586858/</w:t>
        </w:r>
      </w:hyperlink>
    </w:p>
    <w:p>
      <w:pPr>
        <w:pStyle w:val="Reference"/>
        <w:spacing w:line="245" w:lineRule="auto" w:after="84"/>
        <w:jc w:val="left"/>
        <w:widowControl/>
      </w:pPr>
      <w:r>
        <w:rPr>
          <w:b w:val="0"/>
          <w:i w:val="0"/>
        </w:rPr>
        <w:t xml:space="preserve">[R22] Hanneman K, Karur GR, Wasim S, Wald RM, Iwanochko RM, Morel CF. Left ventricular hypertrophy and late gadolinium enhancement at cardiac MRI are associated with adverse cardiac events in Fabry disease. </w:t>
      </w:r>
      <w:r>
        <w:rPr>
          <w:b w:val="0"/>
          <w:i/>
        </w:rPr>
        <w:t>Radiology</w:t>
      </w:r>
      <w:r>
        <w:rPr>
          <w:b w:val="0"/>
          <w:i w:val="0"/>
        </w:rPr>
        <w:t xml:space="preserve">. 2020;294:42–49. doi:10.1148/radiol.2019191385. PMID 31660802. </w:t>
      </w:r>
      <w:hyperlink r:id="rId30">
        <w:r>
          <w:rPr>
            <w:color w:val="22A6B3"/>
            <w:u w:val="single"/>
          </w:rPr>
          <w:t>https://pubmed.ncbi.nlm.nih.gov/31660802/</w:t>
        </w:r>
      </w:hyperlink>
    </w:p>
    <w:p>
      <w:pPr>
        <w:pStyle w:val="Reference"/>
        <w:spacing w:line="245" w:lineRule="auto" w:after="84"/>
        <w:jc w:val="left"/>
        <w:widowControl/>
      </w:pPr>
      <w:r>
        <w:rPr>
          <w:b w:val="0"/>
          <w:i w:val="0"/>
        </w:rPr>
        <w:t xml:space="preserve">[R23] Stankowski K, Figliozzi S, Rojanathagoon T, et al. Imaging predictors of adverse prognosis in Fabry disease cardiomyopathy: a systematic review and meta-analysis. </w:t>
      </w:r>
      <w:r>
        <w:rPr>
          <w:b w:val="0"/>
          <w:i/>
        </w:rPr>
        <w:t>European Journal of Clinical Investigation</w:t>
      </w:r>
      <w:r>
        <w:rPr>
          <w:b w:val="0"/>
          <w:i w:val="0"/>
        </w:rPr>
        <w:t xml:space="preserve">. 2025;55:e14388. doi:10.1111/eci.14388. PMID 39840688. </w:t>
      </w:r>
      <w:hyperlink r:id="rId31">
        <w:r>
          <w:rPr>
            <w:color w:val="22A6B3"/>
            <w:u w:val="single"/>
          </w:rPr>
          <w:t>https://pmc.ncbi.nlm.nih.gov/articles/PMC12011678/</w:t>
        </w:r>
      </w:hyperlink>
    </w:p>
    <w:p>
      <w:pPr>
        <w:pStyle w:val="Reference"/>
        <w:spacing w:line="245" w:lineRule="auto" w:after="84"/>
        <w:jc w:val="left"/>
        <w:widowControl/>
      </w:pPr>
      <w:r>
        <w:rPr>
          <w:b w:val="0"/>
          <w:i w:val="0"/>
        </w:rPr>
        <w:t xml:space="preserve">[R24] Camporeale A, et al. A cardiovascular magnetic resonance-based prognostic score in Fabry disease. </w:t>
      </w:r>
      <w:r>
        <w:rPr>
          <w:b w:val="0"/>
          <w:i/>
        </w:rPr>
        <w:t>European Heart Journal – Quality of Care and Clinical Outcomes</w:t>
      </w:r>
      <w:r>
        <w:rPr>
          <w:b w:val="0"/>
          <w:i w:val="0"/>
        </w:rPr>
        <w:t xml:space="preserve">. 2026;12:344–354. doi:10.1093/ehjqcco/qcaf154. PMID 41392709. </w:t>
      </w:r>
      <w:hyperlink r:id="rId32">
        <w:r>
          <w:rPr>
            <w:color w:val="22A6B3"/>
            <w:u w:val="single"/>
          </w:rPr>
          <w:t>https://pubmed.ncbi.nlm.nih.gov/41392709/</w:t>
        </w:r>
      </w:hyperlink>
    </w:p>
    <w:p>
      <w:pPr>
        <w:pStyle w:val="Reference"/>
        <w:spacing w:line="245" w:lineRule="auto" w:after="84"/>
        <w:jc w:val="left"/>
        <w:widowControl/>
      </w:pPr>
      <w:r>
        <w:rPr>
          <w:b w:val="0"/>
          <w:i w:val="0"/>
        </w:rPr>
        <w:t xml:space="preserve">[R25] Seydelmann N, Liu D, Krämer J, et al. High-sensitivity troponin: a clinical blood biomarker for staging cardiomyopathy in Fabry disease. </w:t>
      </w:r>
      <w:r>
        <w:rPr>
          <w:b w:val="0"/>
          <w:i/>
        </w:rPr>
        <w:t>Journal of the American Heart Association</w:t>
      </w:r>
      <w:r>
        <w:rPr>
          <w:b w:val="0"/>
          <w:i w:val="0"/>
        </w:rPr>
        <w:t xml:space="preserve">. 2016;5:e002839. doi:10.1161/JAHA.115.002839. PMID 27247331. </w:t>
      </w:r>
      <w:hyperlink r:id="rId33">
        <w:r>
          <w:rPr>
            <w:color w:val="22A6B3"/>
            <w:u w:val="single"/>
          </w:rPr>
          <w:t>https://pmc.ncbi.nlm.nih.gov/articles/PMC4937248/</w:t>
        </w:r>
      </w:hyperlink>
    </w:p>
    <w:p>
      <w:pPr>
        <w:pStyle w:val="Heading2"/>
      </w:pPr>
      <w:r>
        <w:t>Morphologie, strain et méthodes CMR</w:t>
      </w:r>
    </w:p>
    <w:p>
      <w:pPr>
        <w:pStyle w:val="Reference"/>
        <w:spacing w:line="245" w:lineRule="auto" w:after="84"/>
        <w:jc w:val="left"/>
        <w:widowControl/>
      </w:pPr>
      <w:r>
        <w:rPr>
          <w:b w:val="0"/>
          <w:i w:val="0"/>
        </w:rPr>
        <w:t xml:space="preserve">[R26] Kozor R, Callaghan F, Tchan M, et al. A disproportionate contribution of papillary muscles and trabeculations to total left ventricular mass makes choice of cardiovascular magnetic resonance analysis technique critical in Fabry disease. </w:t>
      </w:r>
      <w:r>
        <w:rPr>
          <w:b w:val="0"/>
          <w:i/>
        </w:rPr>
        <w:t>Journal of Cardiovascular Magnetic Resonance</w:t>
      </w:r>
      <w:r>
        <w:rPr>
          <w:b w:val="0"/>
          <w:i w:val="0"/>
        </w:rPr>
        <w:t xml:space="preserve">. 2015;17:22. doi:10.1186/s12968-015-0114-4. PMID 25890002. </w:t>
      </w:r>
      <w:hyperlink r:id="rId34">
        <w:r>
          <w:rPr>
            <w:color w:val="22A6B3"/>
            <w:u w:val="single"/>
          </w:rPr>
          <w:t>https://pubmed.ncbi.nlm.nih.gov/25890002/</w:t>
        </w:r>
      </w:hyperlink>
    </w:p>
    <w:p>
      <w:pPr>
        <w:pStyle w:val="Reference"/>
        <w:spacing w:line="245" w:lineRule="auto" w:after="84"/>
        <w:jc w:val="left"/>
        <w:widowControl/>
      </w:pPr>
      <w:r>
        <w:rPr>
          <w:b w:val="0"/>
          <w:i w:val="0"/>
        </w:rPr>
        <w:t xml:space="preserve">[R27] Al-Arnawoot A, O’Brien C, Karur GR, et al. Clinical significance of papillary muscles on left ventricular mass quantification using cardiac magnetic resonance imaging: reproducibility and prognostic value in Fabry disease. </w:t>
      </w:r>
      <w:r>
        <w:rPr>
          <w:b w:val="0"/>
          <w:i/>
        </w:rPr>
        <w:t>Journal of Thoracic Imaging</w:t>
      </w:r>
      <w:r>
        <w:rPr>
          <w:b w:val="0"/>
          <w:i w:val="0"/>
        </w:rPr>
        <w:t xml:space="preserve">. 2021;36:242–247. doi:10.1097/RTI.0000000000000556. PMID 32852417. </w:t>
      </w:r>
      <w:hyperlink r:id="rId35">
        <w:r>
          <w:rPr>
            <w:color w:val="22A6B3"/>
            <w:u w:val="single"/>
          </w:rPr>
          <w:t>https://pubmed.ncbi.nlm.nih.gov/32852417/</w:t>
        </w:r>
      </w:hyperlink>
    </w:p>
    <w:p>
      <w:pPr>
        <w:pStyle w:val="Reference"/>
        <w:spacing w:line="245" w:lineRule="auto" w:after="84"/>
        <w:jc w:val="left"/>
        <w:widowControl/>
      </w:pPr>
      <w:r>
        <w:rPr>
          <w:b w:val="0"/>
          <w:i w:val="0"/>
        </w:rPr>
        <w:t xml:space="preserve">[R28] Nickander J, Cole B, Nordin S, et al. Increased cardiac involvement in Fabry disease using blood-corrected native T1 mapping. </w:t>
      </w:r>
      <w:r>
        <w:rPr>
          <w:b w:val="0"/>
          <w:i/>
        </w:rPr>
        <w:t>Scientific Reports</w:t>
      </w:r>
      <w:r>
        <w:rPr>
          <w:b w:val="0"/>
          <w:i w:val="0"/>
        </w:rPr>
        <w:t xml:space="preserve">. 2023;13. doi:10.1038/s41598-023-31211-9. PMID 36932097. </w:t>
      </w:r>
      <w:hyperlink r:id="rId36">
        <w:r>
          <w:rPr>
            <w:color w:val="22A6B3"/>
            <w:u w:val="single"/>
          </w:rPr>
          <w:t>https://pmc.ncbi.nlm.nih.gov/articles/PMC10023696/</w:t>
        </w:r>
      </w:hyperlink>
    </w:p>
    <w:p>
      <w:pPr>
        <w:pStyle w:val="Reference"/>
        <w:spacing w:line="245" w:lineRule="auto" w:after="84"/>
        <w:jc w:val="left"/>
        <w:widowControl/>
      </w:pPr>
      <w:r>
        <w:rPr>
          <w:b w:val="0"/>
          <w:i w:val="0"/>
        </w:rPr>
        <w:t xml:space="preserve">[R29] Sokolska JM, Károlyi M, Hiestand DR, et al. Myocardial fibrosis quantification methods by cardiovascular magnetic resonance imaging in patients with Fabry disease. </w:t>
      </w:r>
      <w:r>
        <w:rPr>
          <w:b w:val="0"/>
          <w:i/>
        </w:rPr>
        <w:t>Journal of Clinical Medicine</w:t>
      </w:r>
      <w:r>
        <w:rPr>
          <w:b w:val="0"/>
          <w:i w:val="0"/>
        </w:rPr>
        <w:t xml:space="preserve">. 2024;13:5047. doi:10.3390/jcm13175047. PMID 39274260. </w:t>
      </w:r>
      <w:hyperlink r:id="rId37">
        <w:r>
          <w:rPr>
            <w:color w:val="22A6B3"/>
            <w:u w:val="single"/>
          </w:rPr>
          <w:t>https://pubmed.ncbi.nlm.nih.gov/39274260/</w:t>
        </w:r>
      </w:hyperlink>
    </w:p>
    <w:p>
      <w:pPr>
        <w:pStyle w:val="Reference"/>
        <w:spacing w:line="245" w:lineRule="auto" w:after="84"/>
        <w:jc w:val="left"/>
        <w:widowControl/>
      </w:pPr>
      <w:r>
        <w:rPr>
          <w:b w:val="0"/>
          <w:i w:val="0"/>
        </w:rPr>
        <w:t>[R30] Messroghli DR, Moon JC, Ferreira VM, et al. Clinical recommendations for cardiovascular magnetic resonance mapping of T1, T2, T2</w:t>
      </w:r>
      <w:r>
        <w:rPr>
          <w:b w:val="0"/>
          <w:i/>
        </w:rPr>
        <w:t xml:space="preserve"> and extracellular volume: a consensus statement by SCMR and EACVI. </w:t>
      </w:r>
      <w:r>
        <w:rPr>
          <w:b w:val="0"/>
          <w:i w:val="0"/>
        </w:rPr>
        <w:t xml:space="preserve">Journal of Cardiovascular Magnetic Resonance*. 2017;19:75. doi:10.1186/s12968-017-0389-8. </w:t>
      </w:r>
      <w:hyperlink r:id="rId38">
        <w:r>
          <w:rPr>
            <w:color w:val="22A6B3"/>
            <w:u w:val="single"/>
          </w:rPr>
          <w:t>https://www.journalofcmr.com/article/S1097-6647%2823%2901109-2/fulltext</w:t>
        </w:r>
      </w:hyperlink>
    </w:p>
    <w:p>
      <w:pPr>
        <w:pStyle w:val="Reference"/>
        <w:spacing w:line="245" w:lineRule="auto" w:after="84"/>
        <w:jc w:val="left"/>
        <w:widowControl/>
      </w:pPr>
      <w:r>
        <w:rPr>
          <w:b w:val="0"/>
          <w:i w:val="0"/>
        </w:rPr>
        <w:t xml:space="preserve">[R31] Schulz-Menger J, Bluemke DA, Bremerich J, et al. Standardized image interpretation and post-processing in cardiovascular magnetic resonance — 2020 update. </w:t>
      </w:r>
      <w:r>
        <w:rPr>
          <w:b w:val="0"/>
          <w:i/>
        </w:rPr>
        <w:t>Journal of Cardiovascular Magnetic Resonance</w:t>
      </w:r>
      <w:r>
        <w:rPr>
          <w:b w:val="0"/>
          <w:i w:val="0"/>
        </w:rPr>
        <w:t xml:space="preserve">. 2020;22:19. doi:10.1186/s12968-020-00610-6. </w:t>
      </w:r>
      <w:hyperlink r:id="rId39">
        <w:r>
          <w:rPr>
            <w:color w:val="22A6B3"/>
            <w:u w:val="single"/>
          </w:rPr>
          <w:t>https://scmr.org/news/standardized-image-interpretation-and-post-processing-in-cardiovascular-magnetic-resonance-2020/</w:t>
        </w:r>
      </w:hyperlink>
    </w:p>
    <w:p>
      <w:pPr>
        <w:pStyle w:val="Reference"/>
        <w:spacing w:line="245" w:lineRule="auto" w:after="84"/>
        <w:jc w:val="left"/>
        <w:widowControl/>
      </w:pPr>
      <w:r>
        <w:rPr>
          <w:b w:val="0"/>
          <w:i w:val="0"/>
        </w:rPr>
        <w:t xml:space="preserve">[R32] Puntmann VO, Valbuena S, Hinojar R, et al. Society for Cardiovascular Magnetic Resonance expert consensus for CMR imaging endpoints in clinical research: part I — analytical validation and clinical qualification. </w:t>
      </w:r>
      <w:r>
        <w:rPr>
          <w:b w:val="0"/>
          <w:i/>
        </w:rPr>
        <w:t>Journal of Cardiovascular Magnetic Resonance</w:t>
      </w:r>
      <w:r>
        <w:rPr>
          <w:b w:val="0"/>
          <w:i w:val="0"/>
        </w:rPr>
        <w:t xml:space="preserve">. 2018;20:67. doi:10.1186/s12968-018-0484-5. PMID 30231886. </w:t>
      </w:r>
      <w:hyperlink r:id="rId40">
        <w:r>
          <w:rPr>
            <w:color w:val="22A6B3"/>
            <w:u w:val="single"/>
          </w:rPr>
          <w:t>https://pmc.ncbi.nlm.nih.gov/articles/PMC6147157/</w:t>
        </w:r>
      </w:hyperlink>
    </w:p>
    <w:p>
      <w:pPr>
        <w:pStyle w:val="Reference"/>
        <w:spacing w:line="245" w:lineRule="auto" w:after="84"/>
        <w:jc w:val="left"/>
        <w:widowControl/>
      </w:pPr>
      <w:r>
        <w:rPr>
          <w:b w:val="0"/>
          <w:i w:val="0"/>
        </w:rPr>
        <w:t xml:space="preserve">[R33] Figliozzi S, Kollia E, et al. Effects of enzyme replacement therapy on cardiac MRI findings in Fabry disease: a systematic review and meta-analysis. </w:t>
      </w:r>
      <w:r>
        <w:rPr>
          <w:b w:val="0"/>
          <w:i/>
        </w:rPr>
        <w:t>Radiology: Cardiothoracic Imaging</w:t>
      </w:r>
      <w:r>
        <w:rPr>
          <w:b w:val="0"/>
          <w:i w:val="0"/>
        </w:rPr>
        <w:t xml:space="preserve">. 2024;6:e230154. doi:10.1148/ryct.230154. PMID 38842453. </w:t>
      </w:r>
      <w:hyperlink r:id="rId41">
        <w:r>
          <w:rPr>
            <w:color w:val="22A6B3"/>
            <w:u w:val="single"/>
          </w:rPr>
          <w:t>https://pmc.ncbi.nlm.nih.gov/articles/PMC11211942/</w:t>
        </w:r>
      </w:hyperlink>
    </w:p>
    <w:p>
      <w:pPr>
        <w:pStyle w:val="Reference"/>
        <w:spacing w:line="245" w:lineRule="auto" w:after="84"/>
        <w:jc w:val="left"/>
        <w:widowControl/>
      </w:pPr>
      <w:r>
        <w:rPr>
          <w:b w:val="0"/>
          <w:i w:val="0"/>
        </w:rPr>
        <w:t xml:space="preserve">[R34] Weinreb JC, Rodby RA, Yee J, et al. Use of intravenous gadolinium-based contrast media in patients with kidney disease: consensus statements from the American College of Radiology and the National Kidney Foundation. </w:t>
      </w:r>
      <w:r>
        <w:rPr>
          <w:b w:val="0"/>
          <w:i/>
        </w:rPr>
        <w:t>Kidney Medicine</w:t>
      </w:r>
      <w:r>
        <w:rPr>
          <w:b w:val="0"/>
          <w:i w:val="0"/>
        </w:rPr>
        <w:t xml:space="preserve">. 2021;3:142–150. doi:10.1016/j.xkme.2020.10.001. PMID 33604544. </w:t>
      </w:r>
      <w:hyperlink r:id="rId42">
        <w:r>
          <w:rPr>
            <w:color w:val="22A6B3"/>
            <w:u w:val="single"/>
          </w:rPr>
          <w:t>https://pubmed.ncbi.nlm.nih.gov/33604544/</w:t>
        </w:r>
      </w:hyperlink>
    </w:p>
    <w:p>
      <w:pPr>
        <w:pStyle w:val="Heading2"/>
      </w:pPr>
      <w:r>
        <w:t>Variants débattus</w:t>
      </w:r>
    </w:p>
    <w:p>
      <w:pPr>
        <w:pStyle w:val="Reference"/>
        <w:spacing w:line="245" w:lineRule="auto" w:after="84"/>
        <w:jc w:val="left"/>
        <w:widowControl/>
      </w:pPr>
      <w:r>
        <w:rPr>
          <w:b w:val="0"/>
          <w:i w:val="0"/>
        </w:rPr>
        <w:t xml:space="preserve">[R35] Hasholt L, Ballegaard M, Bundgaard H, et al. The D313Y variant in the GLA gene — no evidence of a pathogenic role in Fabry disease. </w:t>
      </w:r>
      <w:r>
        <w:rPr>
          <w:b w:val="0"/>
          <w:i/>
        </w:rPr>
        <w:t>Scandinavian Journal of Clinical and Laboratory Investigation</w:t>
      </w:r>
      <w:r>
        <w:rPr>
          <w:b w:val="0"/>
          <w:i w:val="0"/>
        </w:rPr>
        <w:t xml:space="preserve">. 2017;77:617–621. doi:10.1080/00365513.2017.1390782. PMID 29037082. </w:t>
      </w:r>
      <w:hyperlink r:id="rId43">
        <w:r>
          <w:rPr>
            <w:color w:val="22A6B3"/>
            <w:u w:val="single"/>
          </w:rPr>
          <w:t>https://pubmed.ncbi.nlm.nih.gov/29037082/</w:t>
        </w:r>
      </w:hyperlink>
    </w:p>
    <w:p>
      <w:pPr>
        <w:pStyle w:val="Reference"/>
        <w:spacing w:line="245" w:lineRule="auto" w:after="84"/>
        <w:jc w:val="left"/>
        <w:widowControl/>
      </w:pPr>
      <w:r>
        <w:rPr>
          <w:b w:val="0"/>
          <w:i w:val="0"/>
        </w:rPr>
        <w:t xml:space="preserve">[R36] Macklin S, Laney D, Lisi E, Atherton A, Smith E. The psychosocial impact of carrying a debated variant in the GLA gene. </w:t>
      </w:r>
      <w:r>
        <w:rPr>
          <w:b w:val="0"/>
          <w:i/>
        </w:rPr>
        <w:t>Journal of Genetic Counseling</w:t>
      </w:r>
      <w:r>
        <w:rPr>
          <w:b w:val="0"/>
          <w:i w:val="0"/>
        </w:rPr>
        <w:t xml:space="preserve">. 2018;27:217–224. doi:10.1007/s10897-017-0139-y. PMID 28799081. </w:t>
      </w:r>
      <w:hyperlink r:id="rId44">
        <w:r>
          <w:rPr>
            <w:color w:val="22A6B3"/>
            <w:u w:val="single"/>
          </w:rPr>
          <w:t>https://pubmed.ncbi.nlm.nih.gov/28799081/</w:t>
        </w:r>
      </w:hyperlink>
    </w:p>
    <w:p>
      <w:pPr>
        <w:pStyle w:val="Reference"/>
        <w:spacing w:line="245" w:lineRule="auto" w:after="84"/>
        <w:jc w:val="left"/>
        <w:widowControl/>
      </w:pPr>
      <w:r>
        <w:rPr>
          <w:b w:val="0"/>
          <w:i w:val="0"/>
        </w:rPr>
        <w:t xml:space="preserve">[R37] Avanesov M, Asgari A, Muschol N, et al. Comparison of classical Fabry and its p.D313Y and p.A143T variants by cardiac T1 mapping, LGE and feature tracking myocardial strain. </w:t>
      </w:r>
      <w:r>
        <w:rPr>
          <w:b w:val="0"/>
          <w:i/>
        </w:rPr>
        <w:t>Scientific Reports</w:t>
      </w:r>
      <w:r>
        <w:rPr>
          <w:b w:val="0"/>
          <w:i w:val="0"/>
        </w:rPr>
        <w:t xml:space="preserve">. 2023;13:5809. doi:10.1038/s41598-023-32464-0. PMID 37037838. </w:t>
      </w:r>
      <w:hyperlink r:id="rId45">
        <w:r>
          <w:rPr>
            <w:color w:val="22A6B3"/>
            <w:u w:val="single"/>
          </w:rPr>
          <w:t>https://pubmed.ncbi.nlm.nih.gov/37037838/</w:t>
        </w:r>
      </w:hyperlink>
    </w:p>
    <w:p>
      <w:pPr>
        <w:pStyle w:val="Heading2"/>
      </w:pPr>
      <w:r>
        <w:t>Strain, CT et mécanismes expérimentaux</w:t>
      </w:r>
    </w:p>
    <w:p>
      <w:pPr>
        <w:pStyle w:val="Reference"/>
        <w:spacing w:line="245" w:lineRule="auto" w:after="84"/>
        <w:jc w:val="left"/>
        <w:widowControl/>
      </w:pPr>
      <w:r>
        <w:rPr>
          <w:b w:val="0"/>
          <w:i w:val="0"/>
        </w:rPr>
        <w:t xml:space="preserve">[R38] Zhao L, Zhang C, Tian J, et al. Quantification of myocardial deformation in patients with Fabry disease by cardiovascular magnetic resonance feature tracking imaging. </w:t>
      </w:r>
      <w:r>
        <w:rPr>
          <w:b w:val="0"/>
          <w:i/>
        </w:rPr>
        <w:t>Cardiovascular Diagnosis and Therapy</w:t>
      </w:r>
      <w:r>
        <w:rPr>
          <w:b w:val="0"/>
          <w:i w:val="0"/>
        </w:rPr>
        <w:t xml:space="preserve">. 2021;11:91–101. doi:10.21037/cdt-20-897. PMID 33708481. </w:t>
      </w:r>
      <w:hyperlink r:id="rId46">
        <w:r>
          <w:rPr>
            <w:color w:val="22A6B3"/>
            <w:u w:val="single"/>
          </w:rPr>
          <w:t>https://pubmed.ncbi.nlm.nih.gov/33708481/</w:t>
        </w:r>
      </w:hyperlink>
    </w:p>
    <w:p>
      <w:pPr>
        <w:pStyle w:val="Reference"/>
        <w:spacing w:line="245" w:lineRule="auto" w:after="84"/>
        <w:jc w:val="left"/>
        <w:widowControl/>
      </w:pPr>
      <w:r>
        <w:rPr>
          <w:b w:val="0"/>
          <w:i w:val="0"/>
        </w:rPr>
        <w:t xml:space="preserve">[R39] Nakagawa S, Amano M, Tamai Y, et al. Usefulness of native T1 in cardiac magnetic resonance imaging and echocardiographic strain parameters for detecting early cardiac involvement in Fabry cardiomyopathy. </w:t>
      </w:r>
      <w:r>
        <w:rPr>
          <w:b w:val="0"/>
          <w:i/>
        </w:rPr>
        <w:t>Circulation Reports</w:t>
      </w:r>
      <w:r>
        <w:rPr>
          <w:b w:val="0"/>
          <w:i w:val="0"/>
        </w:rPr>
        <w:t xml:space="preserve">. 2024;6:456–464. doi:10.1253/circrep.CR-24-0068. PMID 39391545. </w:t>
      </w:r>
      <w:hyperlink r:id="rId47">
        <w:r>
          <w:rPr>
            <w:color w:val="22A6B3"/>
            <w:u w:val="single"/>
          </w:rPr>
          <w:t>https://pubmed.ncbi.nlm.nih.gov/39391545/</w:t>
        </w:r>
      </w:hyperlink>
    </w:p>
    <w:p>
      <w:pPr>
        <w:pStyle w:val="Reference"/>
        <w:spacing w:line="245" w:lineRule="auto" w:after="84"/>
        <w:jc w:val="left"/>
        <w:widowControl/>
      </w:pPr>
      <w:r>
        <w:rPr>
          <w:b w:val="0"/>
          <w:i w:val="0"/>
        </w:rPr>
        <w:t xml:space="preserve">[R40] Abadia AF, Aquino GJ, Schoepf UJ, et al. Automated dual-energy computed tomography-based extracellular volume estimation for myocardial characterization in patients with ischemic and nonischemic cardiomyopathy. </w:t>
      </w:r>
      <w:r>
        <w:rPr>
          <w:b w:val="0"/>
          <w:i/>
        </w:rPr>
        <w:t>Journal of Thoracic Imaging</w:t>
      </w:r>
      <w:r>
        <w:rPr>
          <w:b w:val="0"/>
          <w:i w:val="0"/>
        </w:rPr>
        <w:t xml:space="preserve">. 2022;37:307–314. doi:10.1097/RTI.0000000000000656. PMID 35475983. </w:t>
      </w:r>
      <w:hyperlink r:id="rId48">
        <w:r>
          <w:rPr>
            <w:color w:val="22A6B3"/>
            <w:u w:val="single"/>
          </w:rPr>
          <w:t>https://pubmed.ncbi.nlm.nih.gov/35475983/</w:t>
        </w:r>
      </w:hyperlink>
    </w:p>
    <w:p>
      <w:pPr>
        <w:pStyle w:val="Reference"/>
        <w:spacing w:line="245" w:lineRule="auto" w:after="84"/>
        <w:jc w:val="left"/>
        <w:widowControl/>
      </w:pPr>
      <w:r>
        <w:rPr>
          <w:b w:val="0"/>
          <w:i w:val="0"/>
        </w:rPr>
        <w:t xml:space="preserve">[R41] Baggiano A, Conte E, Spiritigliozzi L, et al. Quantification of extracellular volume with cardiac computed tomography in patients with dilated cardiomyopathy. </w:t>
      </w:r>
      <w:r>
        <w:rPr>
          <w:b w:val="0"/>
          <w:i/>
        </w:rPr>
        <w:t>Journal of Cardiovascular Computed Tomography</w:t>
      </w:r>
      <w:r>
        <w:rPr>
          <w:b w:val="0"/>
          <w:i w:val="0"/>
        </w:rPr>
        <w:t xml:space="preserve">. 2023;17:261–268. doi:10.1016/j.jcct.2023.04.005. PMID 37147147. </w:t>
      </w:r>
      <w:hyperlink r:id="rId49">
        <w:r>
          <w:rPr>
            <w:color w:val="22A6B3"/>
            <w:u w:val="single"/>
          </w:rPr>
          <w:t>https://pubmed.ncbi.nlm.nih.gov/37147147/</w:t>
        </w:r>
      </w:hyperlink>
    </w:p>
    <w:p>
      <w:pPr>
        <w:pStyle w:val="Reference"/>
        <w:spacing w:line="245" w:lineRule="auto" w:after="84"/>
        <w:jc w:val="left"/>
        <w:widowControl/>
      </w:pPr>
      <w:r>
        <w:rPr>
          <w:b w:val="0"/>
          <w:i w:val="0"/>
        </w:rPr>
        <w:t xml:space="preserve">[R42] Tahara T, Usui E, Hada M, Ueno H, Kakuta T. Multimodality imaging of Fabry disease cardiomyopathy complicated with coronary vasospasm. </w:t>
      </w:r>
      <w:r>
        <w:rPr>
          <w:b w:val="0"/>
          <w:i/>
        </w:rPr>
        <w:t>JACC: Case Reports</w:t>
      </w:r>
      <w:r>
        <w:rPr>
          <w:b w:val="0"/>
          <w:i w:val="0"/>
        </w:rPr>
        <w:t xml:space="preserve">. 2024;29:102257. doi:10.1016/j.jaccas.2024.102257. PMID 38645294. </w:t>
      </w:r>
      <w:hyperlink r:id="rId50">
        <w:r>
          <w:rPr>
            <w:color w:val="22A6B3"/>
            <w:u w:val="single"/>
          </w:rPr>
          <w:t>https://pubmed.ncbi.nlm.nih.gov/38645294/</w:t>
        </w:r>
      </w:hyperlink>
    </w:p>
    <w:p>
      <w:pPr>
        <w:pStyle w:val="Reference"/>
        <w:spacing w:line="245" w:lineRule="auto" w:after="84"/>
        <w:jc w:val="left"/>
        <w:widowControl/>
      </w:pPr>
      <w:r>
        <w:rPr>
          <w:b w:val="0"/>
          <w:i w:val="0"/>
        </w:rPr>
        <w:t xml:space="preserve">[R43] Thurberg BL, Fallon JT, Mitchell R, Aretz T, Gordon RE, O’Callaghan MW. Cardiac microvascular pathology in Fabry disease: evaluation of endomyocardial biopsies before and after enzyme replacement therapy. </w:t>
      </w:r>
      <w:r>
        <w:rPr>
          <w:b w:val="0"/>
          <w:i/>
        </w:rPr>
        <w:t>Circulation</w:t>
      </w:r>
      <w:r>
        <w:rPr>
          <w:b w:val="0"/>
          <w:i w:val="0"/>
        </w:rPr>
        <w:t xml:space="preserve">. 2009;119:2561–2567. doi:10.1161/CIRCULATIONAHA.108.841494. PMID 19414635. </w:t>
      </w:r>
      <w:hyperlink r:id="rId51">
        <w:r>
          <w:rPr>
            <w:color w:val="22A6B3"/>
            <w:u w:val="single"/>
          </w:rPr>
          <w:t>https://pubmed.ncbi.nlm.nih.gov/19414635/</w:t>
        </w:r>
      </w:hyperlink>
    </w:p>
    <w:p>
      <w:pPr>
        <w:pStyle w:val="Reference"/>
        <w:spacing w:line="245" w:lineRule="auto" w:after="84"/>
        <w:jc w:val="left"/>
        <w:widowControl/>
      </w:pPr>
      <w:r>
        <w:rPr>
          <w:b w:val="0"/>
          <w:i w:val="0"/>
        </w:rPr>
        <w:t xml:space="preserve">[R44] Nikolaenko V, Warnock DG, Mills K, Heywood WE. Elucidating the toxic effect and disease mechanisms associated with Lyso-Gb3 in Fabry disease. </w:t>
      </w:r>
      <w:r>
        <w:rPr>
          <w:b w:val="0"/>
          <w:i/>
        </w:rPr>
        <w:t>Human Molecular Genetics</w:t>
      </w:r>
      <w:r>
        <w:rPr>
          <w:b w:val="0"/>
          <w:i w:val="0"/>
        </w:rPr>
        <w:t xml:space="preserve">. 2023;32:2464–2472. doi:10.1093/hmg/ddad073. PMID 37145097. </w:t>
      </w:r>
      <w:hyperlink r:id="rId52">
        <w:r>
          <w:rPr>
            <w:color w:val="22A6B3"/>
            <w:u w:val="single"/>
          </w:rPr>
          <w:t>https://pubmed.ncbi.nlm.nih.gov/37145097/</w:t>
        </w:r>
      </w:hyperlink>
    </w:p>
    <w:p>
      <w:pPr>
        <w:pStyle w:val="Heading2"/>
      </w:pPr>
      <w:r>
        <w:t>Note de clôture bibliographique</w:t>
      </w:r>
    </w:p>
    <w:p>
      <w:pPr>
        <w:widowControl/>
      </w:pPr>
      <w:r>
        <w:rPr>
          <w:b w:val="0"/>
          <w:i w:val="0"/>
        </w:rPr>
        <w:t xml:space="preserve">La recherche documentaire a été arrêtée au </w:t>
      </w:r>
      <w:r>
        <w:rPr>
          <w:b/>
          <w:i w:val="0"/>
        </w:rPr>
        <w:t>2 août 2026</w:t>
      </w:r>
      <w:r>
        <w:rPr>
          <w:b w:val="0"/>
          <w:i w:val="0"/>
        </w:rPr>
        <w:t>. Les recommandations, classifications de variants, méthodes de contraste et modèles pronostiques sont susceptibles d’évoluer. Toute utilisation ultérieure doit vérifier leur version effective et distinguer les preuves disponibles de la date du présent cahier des résultats publiés ensuite.</w:t>
      </w:r>
    </w:p>
    <w:sectPr w:rsidR="00FC693F" w:rsidRPr="0006063C" w:rsidSect="00034616">
      <w:headerReference w:type="default" r:id="rId53"/>
      <w:footerReference w:type="default" r:id="rId54"/>
      <w:pgSz w:w="12240" w:h="15840"/>
      <w:pgMar w:top="1181" w:right="1440" w:bottom="1037" w:left="1440" w:header="461"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center"/>
      <w:tblLayout w:type="fixed"/>
      <w:tblLook w:firstColumn="1" w:firstRow="1" w:lastColumn="0" w:lastRow="0" w:noHBand="0" w:noVBand="1" w:val="04A0"/>
      <w:tblBorders>
        <w:top w:val="nil"/>
        <w:left w:val="nil"/>
        <w:bottom w:val="nil"/>
        <w:right w:val="nil"/>
        <w:insideH w:val="nil"/>
        <w:insideV w:val="nil"/>
      </w:tblBorders>
    </w:tblPr>
    <w:tblGrid>
      <w:gridCol w:w="7600"/>
      <w:gridCol w:w="1760"/>
    </w:tblGrid>
    <w:tr>
      <w:tc>
        <w:tcPr>
          <w:tcW w:type="dxa" w:w="7600"/>
          <w:tcMar>
            <w:top w:w="0" w:type="dxa"/>
            <w:start w:w="0" w:type="dxa"/>
            <w:bottom w:w="0" w:type="dxa"/>
            <w:end w:w="0" w:type="dxa"/>
          </w:tcMar>
        </w:tcPr>
        <w:p>
          <w:pPr>
            <w:jc w:val="left"/>
          </w:pPr>
          <w:r>
            <w:rPr>
              <w:color w:val="667085"/>
              <w:sz w:val="15"/>
            </w:rPr>
            <w:t>PD-002  •  REASONING BOOK 01  •  FABRY</w:t>
          </w:r>
        </w:p>
      </w:tc>
      <w:tc>
        <w:tcPr>
          <w:tcW w:type="dxa" w:w="1760"/>
          <w:tcMar>
            <w:top w:w="0" w:type="dxa"/>
            <w:start w:w="0" w:type="dxa"/>
            <w:bottom w:w="0" w:type="dxa"/>
            <w:end w:w="0" w:type="dxa"/>
          </w:tcMar>
        </w:tcPr>
        <w:p>
          <w:pPr>
            <w:jc w:val="right"/>
          </w:pPr>
          <w:r>
            <w:rPr>
              <w:color w:val="667085"/>
              <w:sz w:val="15"/>
            </w:rPr>
            <w:t xml:space="preserve">PAGE </w:t>
          </w:r>
          <w:r>
            <w:rPr>
              <w:color w:val="667085"/>
              <w:sz w:val="15"/>
            </w:rP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9" w:space="5" w:color="22A6B3"/>
      </w:pBdr>
    </w:pPr>
    <w:r>
      <w:rPr>
        <w:b/>
        <w:color w:val="12344D"/>
        <w:sz w:val="16"/>
      </w:rPr>
      <w:t>NOXIA  /  PROTOCOL DESIGNER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5"/>
    </w:lvlOverride>
  </w:num>
  <w:num w:numId="17">
    <w:abstractNumId w:val="7"/>
    <w:lvlOverride w:ilvl="0">
      <w:startOverride w:val="9"/>
    </w:lvlOverride>
  </w:num>
  <w:num w:numId="18">
    <w:abstractNumId w:val="7"/>
    <w:lvlOverride w:ilvl="0">
      <w:startOverride w:val="14"/>
    </w:lvlOverride>
  </w:num>
  <w:num w:numId="19">
    <w:abstractNumId w:val="7"/>
    <w:lvlOverride w:ilvl="0">
      <w:startOverride w:val="19"/>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Rule="auto" w:line="276" w:after="112"/>
      <w:jc w:val="both"/>
    </w:pPr>
    <w:rPr>
      <w:rFonts w:ascii="Calibri" w:hAnsi="Calibri" w:eastAsia="Calibri"/>
      <w:color w:val="2432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jc w:val="left"/>
      <w:outlineLvl w:val="0"/>
    </w:pPr>
    <w:rPr>
      <w:rFonts w:asciiTheme="majorHAnsi" w:eastAsiaTheme="majorEastAsia" w:hAnsiTheme="majorHAnsi" w:cstheme="majorBidi" w:ascii="Calibri" w:hAnsi="Calibri"/>
      <w:b/>
      <w:bCs/>
      <w:color w:val="12344D"/>
      <w:sz w:val="36"/>
      <w:szCs w:val="28"/>
    </w:rPr>
  </w:style>
  <w:style w:type="paragraph" w:styleId="Heading2">
    <w:name w:val="heading 2"/>
    <w:basedOn w:val="Normal"/>
    <w:next w:val="Normal"/>
    <w:link w:val="Heading2Char"/>
    <w:uiPriority w:val="9"/>
    <w:unhideWhenUsed/>
    <w:qFormat/>
    <w:rsid w:val="00FC693F"/>
    <w:pPr>
      <w:keepNext/>
      <w:keepLines/>
      <w:spacing w:before="260" w:after="120"/>
      <w:jc w:val="left"/>
      <w:outlineLvl w:val="1"/>
    </w:pPr>
    <w:rPr>
      <w:rFonts w:asciiTheme="majorHAnsi" w:eastAsiaTheme="majorEastAsia" w:hAnsiTheme="majorHAnsi" w:cstheme="majorBidi" w:ascii="Calibri" w:hAnsi="Calibri"/>
      <w:b/>
      <w:bCs/>
      <w:color w:val="22A6B3"/>
      <w:sz w:val="28"/>
      <w:szCs w:val="26"/>
    </w:rPr>
  </w:style>
  <w:style w:type="paragraph" w:styleId="Heading3">
    <w:name w:val="heading 3"/>
    <w:basedOn w:val="Normal"/>
    <w:next w:val="Normal"/>
    <w:link w:val="Heading3Char"/>
    <w:uiPriority w:val="9"/>
    <w:unhideWhenUsed/>
    <w:qFormat/>
    <w:rsid w:val="00FC693F"/>
    <w:pPr>
      <w:keepNext/>
      <w:keepLines/>
      <w:spacing w:before="170" w:after="70"/>
      <w:jc w:val="left"/>
      <w:outlineLvl w:val="2"/>
    </w:pPr>
    <w:rPr>
      <w:rFonts w:asciiTheme="majorHAnsi" w:eastAsiaTheme="majorEastAsia" w:hAnsiTheme="majorHAnsi" w:cstheme="majorBidi" w:ascii="Calibri" w:hAnsi="Calibri"/>
      <w:b/>
      <w:bCs/>
      <w:color w:val="1234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234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2" w:line="269" w:lineRule="auto"/>
      <w:ind w:left="346" w:hanging="230"/>
      <w:contextualSpacing/>
    </w:pPr>
    <w:rPr>
      <w:rFonts w:ascii="Calibri" w:hAnsi="Calibri"/>
      <w:color w:val="24323D"/>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2" w:line="269" w:lineRule="auto"/>
      <w:ind w:left="346" w:hanging="230"/>
      <w:contextualSpacing/>
    </w:pPr>
    <w:rPr>
      <w:rFonts w:ascii="Calibri" w:hAnsi="Calibri"/>
      <w:color w:val="24323D"/>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widowControl/>
      <w:spacing w:line="245" w:lineRule="auto" w:after="84"/>
      <w:jc w:val="left"/>
    </w:pPr>
    <w:rPr>
      <w:rFonts w:ascii="Calibri" w:hAnsi="Calibri"/>
      <w:color w:val="24323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cademic.oup.com/eurheartj/article/44/37/3503/7246608" TargetMode="External"/><Relationship Id="rId10" Type="http://schemas.openxmlformats.org/officeDocument/2006/relationships/hyperlink" Target="https://academic.oup.com/ehjcimaging/article/26/5/814/7998777" TargetMode="External"/><Relationship Id="rId11" Type="http://schemas.openxmlformats.org/officeDocument/2006/relationships/hyperlink" Target="https://onlinelibrary.wiley.com/doi/full/10.1002/ejhf.1960" TargetMode="External"/><Relationship Id="rId12" Type="http://schemas.openxmlformats.org/officeDocument/2006/relationships/hyperlink" Target="https://www.ncbi.nlm.nih.gov/books/NBK1292/" TargetMode="External"/><Relationship Id="rId13" Type="http://schemas.openxmlformats.org/officeDocument/2006/relationships/hyperlink" Target="https://pubmed.ncbi.nlm.nih.gov/29649853/" TargetMode="External"/><Relationship Id="rId14" Type="http://schemas.openxmlformats.org/officeDocument/2006/relationships/hyperlink" Target="https://www.jacc.org/doi/10.1016/j.jcmg.2018.03.020" TargetMode="External"/><Relationship Id="rId15" Type="http://schemas.openxmlformats.org/officeDocument/2006/relationships/hyperlink" Target="https://pubmed.ncbi.nlm.nih.gov/21679893/" TargetMode="External"/><Relationship Id="rId16" Type="http://schemas.openxmlformats.org/officeDocument/2006/relationships/hyperlink" Target="https://pubmed.ncbi.nlm.nih.gov/23564562/" TargetMode="External"/><Relationship Id="rId17" Type="http://schemas.openxmlformats.org/officeDocument/2006/relationships/hyperlink" Target="https://pubmed.ncbi.nlm.nih.gov/23922004/" TargetMode="External"/><Relationship Id="rId18" Type="http://schemas.openxmlformats.org/officeDocument/2006/relationships/hyperlink" Target="https://pubmed.ncbi.nlm.nih.gov/25475749/" TargetMode="External"/><Relationship Id="rId19" Type="http://schemas.openxmlformats.org/officeDocument/2006/relationships/hyperlink" Target="https://pubmed.ncbi.nlm.nih.gov/29853467/" TargetMode="External"/><Relationship Id="rId20" Type="http://schemas.openxmlformats.org/officeDocument/2006/relationships/hyperlink" Target="https://pmc.ncbi.nlm.nih.gov/articles/PMC8219366/" TargetMode="External"/><Relationship Id="rId21" Type="http://schemas.openxmlformats.org/officeDocument/2006/relationships/hyperlink" Target="https://pubmed.ncbi.nlm.nih.gov/16755835/" TargetMode="External"/><Relationship Id="rId22" Type="http://schemas.openxmlformats.org/officeDocument/2006/relationships/hyperlink" Target="https://www.jacc.org/doi/10.1016/j.jacc.2016.07.741" TargetMode="External"/><Relationship Id="rId23" Type="http://schemas.openxmlformats.org/officeDocument/2006/relationships/hyperlink" Target="https://discovery.ucl.ac.uk/id/eprint/10093251/1/CIRCIMAGING.119.010171.pdf" TargetMode="External"/><Relationship Id="rId24" Type="http://schemas.openxmlformats.org/officeDocument/2006/relationships/hyperlink" Target="https://pubmed.ncbi.nlm.nih.gov/30371172/" TargetMode="External"/><Relationship Id="rId25" Type="http://schemas.openxmlformats.org/officeDocument/2006/relationships/hyperlink" Target="https://pubmed.ncbi.nlm.nih.gov/31269811/" TargetMode="External"/><Relationship Id="rId26" Type="http://schemas.openxmlformats.org/officeDocument/2006/relationships/hyperlink" Target="https://pubmed.ncbi.nlm.nih.gov/19808286/" TargetMode="External"/><Relationship Id="rId27" Type="http://schemas.openxmlformats.org/officeDocument/2006/relationships/hyperlink" Target="https://www.jacc.org/doi/10.1016/j.jcmg.2020.03.004" TargetMode="External"/><Relationship Id="rId28" Type="http://schemas.openxmlformats.org/officeDocument/2006/relationships/hyperlink" Target="https://pubmed.ncbi.nlm.nih.gov/31826677/" TargetMode="External"/><Relationship Id="rId29" Type="http://schemas.openxmlformats.org/officeDocument/2006/relationships/hyperlink" Target="https://pubmed.ncbi.nlm.nih.gov/23586858/" TargetMode="External"/><Relationship Id="rId30" Type="http://schemas.openxmlformats.org/officeDocument/2006/relationships/hyperlink" Target="https://pubmed.ncbi.nlm.nih.gov/31660802/" TargetMode="External"/><Relationship Id="rId31" Type="http://schemas.openxmlformats.org/officeDocument/2006/relationships/hyperlink" Target="https://pmc.ncbi.nlm.nih.gov/articles/PMC12011678/" TargetMode="External"/><Relationship Id="rId32" Type="http://schemas.openxmlformats.org/officeDocument/2006/relationships/hyperlink" Target="https://pubmed.ncbi.nlm.nih.gov/41392709/" TargetMode="External"/><Relationship Id="rId33" Type="http://schemas.openxmlformats.org/officeDocument/2006/relationships/hyperlink" Target="https://pmc.ncbi.nlm.nih.gov/articles/PMC4937248/" TargetMode="External"/><Relationship Id="rId34" Type="http://schemas.openxmlformats.org/officeDocument/2006/relationships/hyperlink" Target="https://pubmed.ncbi.nlm.nih.gov/25890002/" TargetMode="External"/><Relationship Id="rId35" Type="http://schemas.openxmlformats.org/officeDocument/2006/relationships/hyperlink" Target="https://pubmed.ncbi.nlm.nih.gov/32852417/" TargetMode="External"/><Relationship Id="rId36" Type="http://schemas.openxmlformats.org/officeDocument/2006/relationships/hyperlink" Target="https://pmc.ncbi.nlm.nih.gov/articles/PMC10023696/" TargetMode="External"/><Relationship Id="rId37" Type="http://schemas.openxmlformats.org/officeDocument/2006/relationships/hyperlink" Target="https://pubmed.ncbi.nlm.nih.gov/39274260/" TargetMode="External"/><Relationship Id="rId38" Type="http://schemas.openxmlformats.org/officeDocument/2006/relationships/hyperlink" Target="https://www.journalofcmr.com/article/S1097-6647%2823%2901109-2/fulltext" TargetMode="External"/><Relationship Id="rId39" Type="http://schemas.openxmlformats.org/officeDocument/2006/relationships/hyperlink" Target="https://scmr.org/news/standardized-image-interpretation-and-post-processing-in-cardiovascular-magnetic-resonance-2020/" TargetMode="External"/><Relationship Id="rId40" Type="http://schemas.openxmlformats.org/officeDocument/2006/relationships/hyperlink" Target="https://pmc.ncbi.nlm.nih.gov/articles/PMC6147157/" TargetMode="External"/><Relationship Id="rId41" Type="http://schemas.openxmlformats.org/officeDocument/2006/relationships/hyperlink" Target="https://pmc.ncbi.nlm.nih.gov/articles/PMC11211942/" TargetMode="External"/><Relationship Id="rId42" Type="http://schemas.openxmlformats.org/officeDocument/2006/relationships/hyperlink" Target="https://pubmed.ncbi.nlm.nih.gov/33604544/" TargetMode="External"/><Relationship Id="rId43" Type="http://schemas.openxmlformats.org/officeDocument/2006/relationships/hyperlink" Target="https://pubmed.ncbi.nlm.nih.gov/29037082/" TargetMode="External"/><Relationship Id="rId44" Type="http://schemas.openxmlformats.org/officeDocument/2006/relationships/hyperlink" Target="https://pubmed.ncbi.nlm.nih.gov/28799081/" TargetMode="External"/><Relationship Id="rId45" Type="http://schemas.openxmlformats.org/officeDocument/2006/relationships/hyperlink" Target="https://pubmed.ncbi.nlm.nih.gov/37037838/" TargetMode="External"/><Relationship Id="rId46" Type="http://schemas.openxmlformats.org/officeDocument/2006/relationships/hyperlink" Target="https://pubmed.ncbi.nlm.nih.gov/33708481/" TargetMode="External"/><Relationship Id="rId47" Type="http://schemas.openxmlformats.org/officeDocument/2006/relationships/hyperlink" Target="https://pubmed.ncbi.nlm.nih.gov/39391545/" TargetMode="External"/><Relationship Id="rId48" Type="http://schemas.openxmlformats.org/officeDocument/2006/relationships/hyperlink" Target="https://pubmed.ncbi.nlm.nih.gov/35475983/" TargetMode="External"/><Relationship Id="rId49" Type="http://schemas.openxmlformats.org/officeDocument/2006/relationships/hyperlink" Target="https://pubmed.ncbi.nlm.nih.gov/37147147/" TargetMode="External"/><Relationship Id="rId50" Type="http://schemas.openxmlformats.org/officeDocument/2006/relationships/hyperlink" Target="https://pubmed.ncbi.nlm.nih.gov/38645294/" TargetMode="External"/><Relationship Id="rId51" Type="http://schemas.openxmlformats.org/officeDocument/2006/relationships/hyperlink" Target="https://pubmed.ncbi.nlm.nih.gov/19414635/" TargetMode="External"/><Relationship Id="rId52" Type="http://schemas.openxmlformats.org/officeDocument/2006/relationships/hyperlink" Target="https://pubmed.ncbi.nlm.nih.gov/37145097/" TargetMode="External"/><Relationship Id="rId53" Type="http://schemas.openxmlformats.org/officeDocument/2006/relationships/header" Target="header1.xml"/><Relationship Id="rId5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PD-002 — Mesurer la fibrose myocardique dans la maladie de Fabry</dc:title>
  <dc:subject>Reasoning Book 01 du NOXIA Protocol Designer</dc:subject>
  <dc:creator>NOXIA Protocol Designer</dc:creator>
  <cp:keywords>Fabry; fibrose myocardique; LGE; T1; T2; ECV; strain; raisonnement scientifique</cp:keywords>
  <dc:description>Document de raisonnement scientifique — aucun protocole d’acquisition.</dc:description>
  <cp:lastModifiedBy/>
  <cp:revision>1</cp:revision>
  <dcterms:created xsi:type="dcterms:W3CDTF">2013-12-23T23:15:00Z</dcterms:created>
  <dcterms:modified xsi:type="dcterms:W3CDTF">2013-12-23T23:15:00Z</dcterms:modified>
  <cp:category/>
</cp:coreProperties>
</file>