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EB251" w14:textId="39A8BC9B" w:rsidR="00DC0862" w:rsidRDefault="00D43A8A">
      <w:pPr>
        <w:rPr>
          <w:rFonts w:ascii="Times New Roman" w:hAnsi="Times New Roman" w:cs="Times New Roman"/>
        </w:rPr>
      </w:pPr>
      <w:r>
        <w:rPr>
          <w:rFonts w:ascii="Times New Roman" w:hAnsi="Times New Roman" w:cs="Times New Roman"/>
        </w:rPr>
        <w:t>Hook</w:t>
      </w:r>
    </w:p>
    <w:p w14:paraId="1958640C" w14:textId="6F02DCC0" w:rsidR="00D43A8A" w:rsidRDefault="00D43A8A">
      <w:pPr>
        <w:rPr>
          <w:rFonts w:ascii="Times New Roman" w:hAnsi="Times New Roman" w:cs="Times New Roman"/>
        </w:rPr>
      </w:pPr>
    </w:p>
    <w:p w14:paraId="75DD3AAF" w14:textId="6696F2D2" w:rsidR="00D43A8A" w:rsidRPr="00D43A8A" w:rsidRDefault="00D43A8A" w:rsidP="00D43A8A">
      <w:pPr>
        <w:rPr>
          <w:rFonts w:ascii="Times New Roman" w:hAnsi="Times New Roman" w:cs="Times New Roman"/>
        </w:rPr>
      </w:pPr>
      <w:r w:rsidRPr="00D43A8A">
        <w:rPr>
          <w:rFonts w:ascii="Times New Roman" w:hAnsi="Times New Roman" w:cs="Times New Roman"/>
        </w:rPr>
        <w:t>Organizational citizenship behaviors (OCBs), or</w:t>
      </w:r>
      <w:r w:rsidR="00E267A5">
        <w:rPr>
          <w:rFonts w:ascii="Times New Roman" w:hAnsi="Times New Roman" w:cs="Times New Roman"/>
        </w:rPr>
        <w:t xml:space="preserve"> extra-role</w:t>
      </w:r>
      <w:r w:rsidRPr="00D43A8A">
        <w:rPr>
          <w:rFonts w:ascii="Times New Roman" w:hAnsi="Times New Roman" w:cs="Times New Roman"/>
        </w:rPr>
        <w:t xml:space="preserve"> behaviors </w:t>
      </w:r>
      <w:r w:rsidR="00E267A5">
        <w:rPr>
          <w:rFonts w:ascii="Times New Roman" w:hAnsi="Times New Roman" w:cs="Times New Roman"/>
        </w:rPr>
        <w:t xml:space="preserve">that are not necessarily part of an employee’s formal job description such as assisting others, </w:t>
      </w:r>
      <w:r w:rsidRPr="00D43A8A">
        <w:rPr>
          <w:rFonts w:ascii="Times New Roman" w:hAnsi="Times New Roman" w:cs="Times New Roman"/>
        </w:rPr>
        <w:t>volunteering for additional work, or speaking highly of the company, are increasingly emphasized in the organizational sciences</w:t>
      </w:r>
      <w:r>
        <w:rPr>
          <w:rFonts w:ascii="Times New Roman" w:hAnsi="Times New Roman" w:cs="Times New Roman"/>
        </w:rPr>
        <w:t xml:space="preserve"> (Dalal &amp; </w:t>
      </w:r>
      <w:r w:rsidR="003B2A31">
        <w:rPr>
          <w:rFonts w:ascii="Times New Roman" w:hAnsi="Times New Roman" w:cs="Times New Roman"/>
        </w:rPr>
        <w:t>Carpenter</w:t>
      </w:r>
      <w:r>
        <w:rPr>
          <w:rFonts w:ascii="Times New Roman" w:hAnsi="Times New Roman" w:cs="Times New Roman"/>
        </w:rPr>
        <w:t>, 2018)</w:t>
      </w:r>
      <w:r w:rsidRPr="00D43A8A">
        <w:rPr>
          <w:rFonts w:ascii="Times New Roman" w:hAnsi="Times New Roman" w:cs="Times New Roman"/>
        </w:rPr>
        <w:t xml:space="preserve">. </w:t>
      </w:r>
      <w:r>
        <w:rPr>
          <w:rFonts w:ascii="Times New Roman" w:hAnsi="Times New Roman" w:cs="Times New Roman"/>
        </w:rPr>
        <w:t xml:space="preserve">Leaders put OCBs on equal footing to task performance when asked about the merits of different behaviors within their teams (Podsakoff, MacKenzie, &amp; Podsakoff, 2018), and researchers have gone so far as to describe OCBs as the key social aspect </w:t>
      </w:r>
      <w:r w:rsidR="00E267A5">
        <w:rPr>
          <w:rFonts w:ascii="Times New Roman" w:hAnsi="Times New Roman" w:cs="Times New Roman"/>
        </w:rPr>
        <w:t xml:space="preserve">driving organizational success </w:t>
      </w:r>
      <w:r>
        <w:rPr>
          <w:rFonts w:ascii="Times New Roman" w:hAnsi="Times New Roman" w:cs="Times New Roman"/>
        </w:rPr>
        <w:t xml:space="preserve">(Bellairs &amp; Halbesleben, 2018). </w:t>
      </w:r>
      <w:r w:rsidRPr="00D43A8A">
        <w:rPr>
          <w:rFonts w:ascii="Times New Roman" w:hAnsi="Times New Roman" w:cs="Times New Roman"/>
        </w:rPr>
        <w:t>Researchers, as well as consultants, managers, and employees, are interested in knowing why people differ on this behavior, and in particular why someone might have sustained, superior levels of OCBs over time.</w:t>
      </w:r>
    </w:p>
    <w:p w14:paraId="4321323A" w14:textId="192C2C91" w:rsidR="00D43A8A" w:rsidRDefault="00D43A8A" w:rsidP="00D43A8A">
      <w:pPr>
        <w:rPr>
          <w:rFonts w:ascii="Times New Roman" w:hAnsi="Times New Roman" w:cs="Times New Roman"/>
        </w:rPr>
      </w:pPr>
    </w:p>
    <w:p w14:paraId="180229BE" w14:textId="77777777" w:rsidR="00E545C6" w:rsidRDefault="00B84919" w:rsidP="008554F7">
      <w:pPr>
        <w:rPr>
          <w:rFonts w:ascii="Times New Roman" w:hAnsi="Times New Roman" w:cs="Times New Roman"/>
        </w:rPr>
      </w:pPr>
      <w:r>
        <w:rPr>
          <w:rFonts w:ascii="Times New Roman" w:hAnsi="Times New Roman" w:cs="Times New Roman"/>
        </w:rPr>
        <w:t xml:space="preserve">Prior explanations of what fuels sustained OCBs. </w:t>
      </w:r>
    </w:p>
    <w:p w14:paraId="33577892" w14:textId="067D1C81" w:rsidR="008554F7" w:rsidRDefault="008554F7" w:rsidP="00E545C6">
      <w:pPr>
        <w:pStyle w:val="ListParagraph"/>
        <w:numPr>
          <w:ilvl w:val="0"/>
          <w:numId w:val="1"/>
        </w:numPr>
        <w:rPr>
          <w:rFonts w:ascii="Times New Roman" w:hAnsi="Times New Roman" w:cs="Times New Roman"/>
        </w:rPr>
      </w:pPr>
      <w:r w:rsidRPr="00E545C6">
        <w:rPr>
          <w:rFonts w:ascii="Times New Roman" w:hAnsi="Times New Roman" w:cs="Times New Roman"/>
        </w:rPr>
        <w:t>Why do some people help more frequently and to a greater degree than others?</w:t>
      </w:r>
    </w:p>
    <w:p w14:paraId="47EE590D" w14:textId="1DDB1DBE" w:rsidR="00E267A5" w:rsidRPr="00E545C6" w:rsidRDefault="00E267A5" w:rsidP="00E545C6">
      <w:pPr>
        <w:pStyle w:val="ListParagraph"/>
        <w:numPr>
          <w:ilvl w:val="0"/>
          <w:numId w:val="1"/>
        </w:numPr>
        <w:rPr>
          <w:rFonts w:ascii="Times New Roman" w:hAnsi="Times New Roman" w:cs="Times New Roman"/>
        </w:rPr>
      </w:pPr>
      <w:r>
        <w:rPr>
          <w:rFonts w:ascii="Times New Roman" w:hAnsi="Times New Roman" w:cs="Times New Roman"/>
        </w:rPr>
        <w:t>Why do some show sustained, superior OCBs across time?</w:t>
      </w:r>
    </w:p>
    <w:p w14:paraId="222D0869" w14:textId="1A84A32A" w:rsidR="008554F7" w:rsidRPr="008554F7" w:rsidRDefault="008554F7" w:rsidP="008554F7">
      <w:pPr>
        <w:pStyle w:val="ListParagraph"/>
        <w:numPr>
          <w:ilvl w:val="0"/>
          <w:numId w:val="1"/>
        </w:numPr>
        <w:rPr>
          <w:rFonts w:ascii="Times New Roman" w:hAnsi="Times New Roman" w:cs="Times New Roman"/>
        </w:rPr>
      </w:pPr>
      <w:r>
        <w:rPr>
          <w:rFonts w:ascii="Times New Roman" w:hAnsi="Times New Roman" w:cs="Times New Roman"/>
        </w:rPr>
        <w:t>Individual difference perspectives (Lepak, Shipp, &amp; Boswell, 2017)</w:t>
      </w:r>
    </w:p>
    <w:p w14:paraId="78AEA3A8" w14:textId="0ECDBAEF" w:rsidR="00D43A8A" w:rsidRDefault="008554F7" w:rsidP="00D43A8A">
      <w:pPr>
        <w:pStyle w:val="ListParagraph"/>
        <w:numPr>
          <w:ilvl w:val="0"/>
          <w:numId w:val="1"/>
        </w:numPr>
        <w:rPr>
          <w:rFonts w:ascii="Times New Roman" w:hAnsi="Times New Roman" w:cs="Times New Roman"/>
        </w:rPr>
      </w:pPr>
      <w:r>
        <w:rPr>
          <w:rFonts w:ascii="Times New Roman" w:hAnsi="Times New Roman" w:cs="Times New Roman"/>
        </w:rPr>
        <w:t>Cognitive perspectives (</w:t>
      </w:r>
      <w:r w:rsidR="00B84919" w:rsidRPr="008554F7">
        <w:rPr>
          <w:rFonts w:ascii="Times New Roman" w:hAnsi="Times New Roman" w:cs="Times New Roman"/>
        </w:rPr>
        <w:t>Li, Zhao, Walter, Zhang, &amp; Yu)</w:t>
      </w:r>
    </w:p>
    <w:p w14:paraId="05891FE5" w14:textId="77777777" w:rsidR="008554F7" w:rsidRPr="008554F7" w:rsidRDefault="008554F7" w:rsidP="008554F7">
      <w:pPr>
        <w:pStyle w:val="ListParagraph"/>
        <w:rPr>
          <w:rFonts w:ascii="Times New Roman" w:hAnsi="Times New Roman" w:cs="Times New Roman"/>
        </w:rPr>
      </w:pPr>
    </w:p>
    <w:p w14:paraId="5BDB9B06" w14:textId="4E548C88" w:rsidR="00D43A8A" w:rsidRDefault="00D43A8A" w:rsidP="00D43A8A">
      <w:pPr>
        <w:rPr>
          <w:rFonts w:ascii="Times New Roman" w:hAnsi="Times New Roman" w:cs="Times New Roman"/>
        </w:rPr>
      </w:pPr>
      <w:r w:rsidRPr="00D43A8A">
        <w:rPr>
          <w:rFonts w:ascii="Times New Roman" w:hAnsi="Times New Roman" w:cs="Times New Roman"/>
        </w:rPr>
        <w:t>We offer an alternative</w:t>
      </w:r>
      <w:r w:rsidR="00E267A5">
        <w:rPr>
          <w:rFonts w:ascii="Times New Roman" w:hAnsi="Times New Roman" w:cs="Times New Roman"/>
        </w:rPr>
        <w:t xml:space="preserve">, perhaps simpler, model to explain sustained, superior levels of OCBs – one that </w:t>
      </w:r>
      <w:r w:rsidRPr="00D43A8A">
        <w:rPr>
          <w:rFonts w:ascii="Times New Roman" w:hAnsi="Times New Roman" w:cs="Times New Roman"/>
        </w:rPr>
        <w:t>does not rely on individual differences or cognitive biases</w:t>
      </w:r>
      <w:r w:rsidR="00E267A5">
        <w:rPr>
          <w:rFonts w:ascii="Times New Roman" w:hAnsi="Times New Roman" w:cs="Times New Roman"/>
        </w:rPr>
        <w:t xml:space="preserve">. </w:t>
      </w:r>
      <w:r w:rsidRPr="00D43A8A">
        <w:rPr>
          <w:rFonts w:ascii="Times New Roman" w:hAnsi="Times New Roman" w:cs="Times New Roman"/>
        </w:rPr>
        <w:t xml:space="preserve">The </w:t>
      </w:r>
      <w:r w:rsidR="00B84919">
        <w:rPr>
          <w:rFonts w:ascii="Times New Roman" w:hAnsi="Times New Roman" w:cs="Times New Roman"/>
        </w:rPr>
        <w:t>mechanism</w:t>
      </w:r>
      <w:r w:rsidRPr="00D43A8A">
        <w:rPr>
          <w:rFonts w:ascii="Times New Roman" w:hAnsi="Times New Roman" w:cs="Times New Roman"/>
        </w:rPr>
        <w:t>, instead, uses</w:t>
      </w:r>
      <w:r w:rsidR="00E267A5">
        <w:rPr>
          <w:rFonts w:ascii="Times New Roman" w:hAnsi="Times New Roman" w:cs="Times New Roman"/>
        </w:rPr>
        <w:t xml:space="preserve"> (a) opportunities, or signals that an act of assistance can be performed, and (b)</w:t>
      </w:r>
      <w:r w:rsidRPr="00D43A8A">
        <w:rPr>
          <w:rFonts w:ascii="Times New Roman" w:hAnsi="Times New Roman" w:cs="Times New Roman"/>
        </w:rPr>
        <w:t xml:space="preserve"> accumulation, or </w:t>
      </w:r>
      <w:r w:rsidR="00E267A5">
        <w:rPr>
          <w:rFonts w:ascii="Times New Roman" w:hAnsi="Times New Roman" w:cs="Times New Roman"/>
        </w:rPr>
        <w:t xml:space="preserve">the notion of </w:t>
      </w:r>
      <w:r w:rsidRPr="00D43A8A">
        <w:rPr>
          <w:rFonts w:ascii="Times New Roman" w:hAnsi="Times New Roman" w:cs="Times New Roman"/>
        </w:rPr>
        <w:t xml:space="preserve">assembling components to an existing stock as an employee moves through time. To say that an employee accumulates </w:t>
      </w:r>
      <w:r w:rsidR="00E267A5">
        <w:rPr>
          <w:rFonts w:ascii="Times New Roman" w:hAnsi="Times New Roman" w:cs="Times New Roman"/>
        </w:rPr>
        <w:t xml:space="preserve">opportunities </w:t>
      </w:r>
      <w:r w:rsidRPr="00D43A8A">
        <w:rPr>
          <w:rFonts w:ascii="Times New Roman" w:hAnsi="Times New Roman" w:cs="Times New Roman"/>
        </w:rPr>
        <w:t>is to mean that he or she is confronted with</w:t>
      </w:r>
      <w:r w:rsidR="00E267A5">
        <w:rPr>
          <w:rFonts w:ascii="Times New Roman" w:hAnsi="Times New Roman" w:cs="Times New Roman"/>
        </w:rPr>
        <w:t xml:space="preserve"> requests, notifications, or events that signal an act of help can be</w:t>
      </w:r>
      <w:r w:rsidR="00BD4647">
        <w:rPr>
          <w:rFonts w:ascii="Times New Roman" w:hAnsi="Times New Roman" w:cs="Times New Roman"/>
        </w:rPr>
        <w:t xml:space="preserve"> performed</w:t>
      </w:r>
      <w:bookmarkStart w:id="0" w:name="_GoBack"/>
      <w:bookmarkEnd w:id="0"/>
      <w:r w:rsidR="00E267A5">
        <w:rPr>
          <w:rFonts w:ascii="Times New Roman" w:hAnsi="Times New Roman" w:cs="Times New Roman"/>
        </w:rPr>
        <w:t xml:space="preserve"> </w:t>
      </w:r>
      <w:r w:rsidRPr="00D43A8A">
        <w:rPr>
          <w:rFonts w:ascii="Times New Roman" w:hAnsi="Times New Roman" w:cs="Times New Roman"/>
        </w:rPr>
        <w:t xml:space="preserve">and that each successive case compiles or is added into his or her existing pool. We show that whenever help requests or opportunities accumulate, then superior, sustained citizenship behaviors by one employee compared to others is not only a possibility but is the most likely case </w:t>
      </w:r>
      <w:r w:rsidR="00B84919">
        <w:rPr>
          <w:rFonts w:ascii="Times New Roman" w:hAnsi="Times New Roman" w:cs="Times New Roman"/>
        </w:rPr>
        <w:t xml:space="preserve">– </w:t>
      </w:r>
      <w:r w:rsidRPr="00D43A8A">
        <w:rPr>
          <w:rFonts w:ascii="Times New Roman" w:hAnsi="Times New Roman" w:cs="Times New Roman"/>
        </w:rPr>
        <w:t>it is to be expected. Even when two people have the same level of trust toward others, empathy, or prosocial values, one will have continual, superior helping due to the underlying accumulation process. Moreover, this result occurs even when the mechanism is identical for every employee. In other words, we show that vastly different observed citizenship does not depend on a unique causal diagram for every employee. The fundamental process</w:t>
      </w:r>
      <w:r w:rsidR="00B84919">
        <w:rPr>
          <w:rFonts w:ascii="Times New Roman" w:hAnsi="Times New Roman" w:cs="Times New Roman"/>
        </w:rPr>
        <w:t xml:space="preserve"> – accumulation – is </w:t>
      </w:r>
      <w:r w:rsidRPr="00D43A8A">
        <w:rPr>
          <w:rFonts w:ascii="Times New Roman" w:hAnsi="Times New Roman" w:cs="Times New Roman"/>
        </w:rPr>
        <w:t>the same, but the manifest complexity leading some individuals to have greater citizenship than others occurs due to the unique gradient one experiences across time. Such an alternative explanation does not necessarily challenge existing ideas, but it has the potential to change our understanding of what generates sustained, superior behavior.</w:t>
      </w:r>
    </w:p>
    <w:p w14:paraId="650A41D0" w14:textId="558BA519" w:rsidR="00B84919" w:rsidRDefault="00B84919" w:rsidP="00D43A8A">
      <w:pPr>
        <w:rPr>
          <w:rFonts w:ascii="Times New Roman" w:hAnsi="Times New Roman" w:cs="Times New Roman"/>
        </w:rPr>
      </w:pPr>
    </w:p>
    <w:p w14:paraId="0456F0AA" w14:textId="356C2200" w:rsidR="00B84919" w:rsidRDefault="00B84919" w:rsidP="00D43A8A">
      <w:pPr>
        <w:rPr>
          <w:rFonts w:ascii="Times New Roman" w:hAnsi="Times New Roman" w:cs="Times New Roman"/>
        </w:rPr>
      </w:pPr>
      <w:r>
        <w:rPr>
          <w:rFonts w:ascii="Times New Roman" w:hAnsi="Times New Roman" w:cs="Times New Roman"/>
        </w:rPr>
        <w:t>Paper Sections</w:t>
      </w:r>
    </w:p>
    <w:p w14:paraId="106136C4" w14:textId="2E41BFF2"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OCB theory and literature</w:t>
      </w:r>
    </w:p>
    <w:p w14:paraId="2B6D7032" w14:textId="7CD56BF9"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Sustained OCB theory and literature (extra milers and good soldiers)</w:t>
      </w:r>
    </w:p>
    <w:p w14:paraId="229C3A60" w14:textId="304B1997"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Opportunity accumulation as an alternative</w:t>
      </w:r>
    </w:p>
    <w:p w14:paraId="71EEE9E6" w14:textId="22C28F15" w:rsidR="00B84919" w:rsidRDefault="00B84919" w:rsidP="00B84919">
      <w:pPr>
        <w:pStyle w:val="ListParagraph"/>
        <w:numPr>
          <w:ilvl w:val="1"/>
          <w:numId w:val="1"/>
        </w:numPr>
        <w:rPr>
          <w:rFonts w:ascii="Times New Roman" w:hAnsi="Times New Roman" w:cs="Times New Roman"/>
        </w:rPr>
      </w:pPr>
      <w:r>
        <w:rPr>
          <w:rFonts w:ascii="Times New Roman" w:hAnsi="Times New Roman" w:cs="Times New Roman"/>
        </w:rPr>
        <w:t>The key is to consider opportunities as a random walk</w:t>
      </w:r>
    </w:p>
    <w:p w14:paraId="1CF7D446" w14:textId="6027A6AE"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Literature on random walks</w:t>
      </w:r>
    </w:p>
    <w:p w14:paraId="21773815" w14:textId="77777777"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Simulations</w:t>
      </w:r>
    </w:p>
    <w:p w14:paraId="6C325B1E" w14:textId="0665FC13" w:rsidR="00B84919" w:rsidRDefault="00B84919" w:rsidP="00B84919">
      <w:pPr>
        <w:pStyle w:val="ListParagraph"/>
        <w:numPr>
          <w:ilvl w:val="1"/>
          <w:numId w:val="1"/>
        </w:numPr>
        <w:rPr>
          <w:rFonts w:ascii="Times New Roman" w:hAnsi="Times New Roman" w:cs="Times New Roman"/>
        </w:rPr>
      </w:pPr>
      <w:r>
        <w:rPr>
          <w:rFonts w:ascii="Times New Roman" w:hAnsi="Times New Roman" w:cs="Times New Roman"/>
        </w:rPr>
        <w:lastRenderedPageBreak/>
        <w:t>The extent to which one individual demonstrates sustained, superior levels of OCBs compared to others depends on the characteristics of the random walk</w:t>
      </w:r>
    </w:p>
    <w:p w14:paraId="11841E00" w14:textId="23E171A5"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Method</w:t>
      </w:r>
    </w:p>
    <w:p w14:paraId="1AD1892E" w14:textId="1F6EC088" w:rsidR="00C664CF" w:rsidRDefault="00C664CF" w:rsidP="00C664CF">
      <w:pPr>
        <w:pStyle w:val="ListParagraph"/>
        <w:numPr>
          <w:ilvl w:val="1"/>
          <w:numId w:val="1"/>
        </w:numPr>
        <w:rPr>
          <w:rFonts w:ascii="Times New Roman" w:hAnsi="Times New Roman" w:cs="Times New Roman"/>
        </w:rPr>
      </w:pPr>
      <w:r>
        <w:rPr>
          <w:rFonts w:ascii="Times New Roman" w:hAnsi="Times New Roman" w:cs="Times New Roman"/>
        </w:rPr>
        <w:t>The goal is to demonstrate that OCB opportunities follow a random walk</w:t>
      </w:r>
    </w:p>
    <w:p w14:paraId="76DCE1C4" w14:textId="1B042C76" w:rsidR="00C664CF" w:rsidRDefault="00C664CF" w:rsidP="00C664CF">
      <w:pPr>
        <w:pStyle w:val="ListParagraph"/>
        <w:numPr>
          <w:ilvl w:val="2"/>
          <w:numId w:val="1"/>
        </w:numPr>
        <w:rPr>
          <w:rFonts w:ascii="Times New Roman" w:hAnsi="Times New Roman" w:cs="Times New Roman"/>
        </w:rPr>
      </w:pPr>
      <w:r>
        <w:rPr>
          <w:rFonts w:ascii="Times New Roman" w:hAnsi="Times New Roman" w:cs="Times New Roman"/>
        </w:rPr>
        <w:t>Just like Aguinis’ power law papers where he demonstrates that performance sometimes follows a power curve.</w:t>
      </w:r>
    </w:p>
    <w:p w14:paraId="4FB55114" w14:textId="2E868B80" w:rsidR="00B84919" w:rsidRDefault="00B84919" w:rsidP="00B84919">
      <w:pPr>
        <w:pStyle w:val="ListParagraph"/>
        <w:numPr>
          <w:ilvl w:val="1"/>
          <w:numId w:val="1"/>
        </w:numPr>
        <w:rPr>
          <w:rFonts w:ascii="Times New Roman" w:hAnsi="Times New Roman" w:cs="Times New Roman"/>
        </w:rPr>
      </w:pPr>
      <w:r>
        <w:rPr>
          <w:rFonts w:ascii="Times New Roman" w:hAnsi="Times New Roman" w:cs="Times New Roman"/>
        </w:rPr>
        <w:t>Core data source</w:t>
      </w:r>
    </w:p>
    <w:p w14:paraId="25013EF6" w14:textId="77777777" w:rsidR="00E267A5" w:rsidRDefault="00E267A5" w:rsidP="00B84919">
      <w:pPr>
        <w:pStyle w:val="ListParagraph"/>
        <w:numPr>
          <w:ilvl w:val="2"/>
          <w:numId w:val="1"/>
        </w:numPr>
        <w:rPr>
          <w:rFonts w:ascii="Times New Roman" w:hAnsi="Times New Roman" w:cs="Times New Roman"/>
        </w:rPr>
      </w:pPr>
      <w:r>
        <w:rPr>
          <w:rFonts w:ascii="Times New Roman" w:hAnsi="Times New Roman" w:cs="Times New Roman"/>
        </w:rPr>
        <w:t>Issues on Github</w:t>
      </w:r>
    </w:p>
    <w:p w14:paraId="7AA26B3D" w14:textId="02EFE1C3" w:rsidR="00B84919" w:rsidRDefault="00E267A5" w:rsidP="00B84919">
      <w:pPr>
        <w:pStyle w:val="ListParagraph"/>
        <w:numPr>
          <w:ilvl w:val="2"/>
          <w:numId w:val="1"/>
        </w:numPr>
        <w:rPr>
          <w:rFonts w:ascii="Times New Roman" w:hAnsi="Times New Roman" w:cs="Times New Roman"/>
        </w:rPr>
      </w:pPr>
      <w:r>
        <w:rPr>
          <w:rFonts w:ascii="Times New Roman" w:hAnsi="Times New Roman" w:cs="Times New Roman"/>
        </w:rPr>
        <w:t>Do issues for a given respository on github follow a random walk?</w:t>
      </w:r>
    </w:p>
    <w:p w14:paraId="6444572B" w14:textId="1488798E" w:rsidR="00B84919" w:rsidRDefault="00047610" w:rsidP="00B84919">
      <w:pPr>
        <w:pStyle w:val="ListParagraph"/>
        <w:numPr>
          <w:ilvl w:val="1"/>
          <w:numId w:val="1"/>
        </w:numPr>
        <w:rPr>
          <w:rFonts w:ascii="Times New Roman" w:hAnsi="Times New Roman" w:cs="Times New Roman"/>
        </w:rPr>
      </w:pPr>
      <w:r>
        <w:rPr>
          <w:rFonts w:ascii="Times New Roman" w:hAnsi="Times New Roman" w:cs="Times New Roman"/>
        </w:rPr>
        <w:t>Additional data</w:t>
      </w:r>
    </w:p>
    <w:p w14:paraId="52ABEC77" w14:textId="2CF54308" w:rsidR="00047610" w:rsidRDefault="00047610" w:rsidP="00047610">
      <w:pPr>
        <w:pStyle w:val="ListParagraph"/>
        <w:numPr>
          <w:ilvl w:val="2"/>
          <w:numId w:val="1"/>
        </w:numPr>
        <w:rPr>
          <w:rFonts w:ascii="Times New Roman" w:hAnsi="Times New Roman" w:cs="Times New Roman"/>
        </w:rPr>
      </w:pPr>
      <w:r>
        <w:rPr>
          <w:rFonts w:ascii="Times New Roman" w:hAnsi="Times New Roman" w:cs="Times New Roman"/>
        </w:rPr>
        <w:t>Own emails</w:t>
      </w:r>
    </w:p>
    <w:p w14:paraId="581967CB" w14:textId="2193E390" w:rsidR="00047610" w:rsidRDefault="00047610" w:rsidP="00047610">
      <w:pPr>
        <w:pStyle w:val="ListParagraph"/>
        <w:numPr>
          <w:ilvl w:val="2"/>
          <w:numId w:val="1"/>
        </w:numPr>
        <w:rPr>
          <w:rFonts w:ascii="Times New Roman" w:hAnsi="Times New Roman" w:cs="Times New Roman"/>
        </w:rPr>
      </w:pPr>
      <w:r>
        <w:rPr>
          <w:rFonts w:ascii="Times New Roman" w:hAnsi="Times New Roman" w:cs="Times New Roman"/>
        </w:rPr>
        <w:t>Enron emails</w:t>
      </w:r>
    </w:p>
    <w:p w14:paraId="418DCAC7" w14:textId="13C32EB5" w:rsidR="00047610" w:rsidRDefault="00047610" w:rsidP="00047610">
      <w:pPr>
        <w:pStyle w:val="ListParagraph"/>
        <w:numPr>
          <w:ilvl w:val="2"/>
          <w:numId w:val="1"/>
        </w:numPr>
        <w:rPr>
          <w:rFonts w:ascii="Times New Roman" w:hAnsi="Times New Roman" w:cs="Times New Roman"/>
        </w:rPr>
      </w:pPr>
      <w:r>
        <w:rPr>
          <w:rFonts w:ascii="Times New Roman" w:hAnsi="Times New Roman" w:cs="Times New Roman"/>
        </w:rPr>
        <w:t>Grad student pools over time</w:t>
      </w:r>
    </w:p>
    <w:p w14:paraId="41E37EF7" w14:textId="290F0743" w:rsidR="00047610" w:rsidRDefault="00047610" w:rsidP="00047610">
      <w:pPr>
        <w:pStyle w:val="ListParagraph"/>
        <w:numPr>
          <w:ilvl w:val="0"/>
          <w:numId w:val="1"/>
        </w:numPr>
        <w:rPr>
          <w:rFonts w:ascii="Times New Roman" w:hAnsi="Times New Roman" w:cs="Times New Roman"/>
        </w:rPr>
      </w:pPr>
      <w:r>
        <w:rPr>
          <w:rFonts w:ascii="Times New Roman" w:hAnsi="Times New Roman" w:cs="Times New Roman"/>
        </w:rPr>
        <w:t>Implications</w:t>
      </w:r>
      <w:r w:rsidR="00C664CF">
        <w:rPr>
          <w:rFonts w:ascii="Times New Roman" w:hAnsi="Times New Roman" w:cs="Times New Roman"/>
        </w:rPr>
        <w:t xml:space="preserve"> &amp; Contributions</w:t>
      </w:r>
    </w:p>
    <w:p w14:paraId="131E977E" w14:textId="00652684" w:rsidR="00047610" w:rsidRDefault="00C664CF" w:rsidP="00047610">
      <w:pPr>
        <w:pStyle w:val="ListParagraph"/>
        <w:numPr>
          <w:ilvl w:val="1"/>
          <w:numId w:val="1"/>
        </w:numPr>
        <w:rPr>
          <w:rFonts w:ascii="Times New Roman" w:hAnsi="Times New Roman" w:cs="Times New Roman"/>
        </w:rPr>
      </w:pPr>
      <w:r>
        <w:rPr>
          <w:rFonts w:ascii="Times New Roman" w:hAnsi="Times New Roman" w:cs="Times New Roman"/>
        </w:rPr>
        <w:t>Alternative explanation of extra milers</w:t>
      </w:r>
    </w:p>
    <w:p w14:paraId="438333A0" w14:textId="0C7134C3" w:rsidR="00C664CF" w:rsidRDefault="00C664CF" w:rsidP="00047610">
      <w:pPr>
        <w:pStyle w:val="ListParagraph"/>
        <w:numPr>
          <w:ilvl w:val="1"/>
          <w:numId w:val="1"/>
        </w:numPr>
        <w:rPr>
          <w:rFonts w:ascii="Times New Roman" w:hAnsi="Times New Roman" w:cs="Times New Roman"/>
        </w:rPr>
      </w:pPr>
      <w:r>
        <w:rPr>
          <w:rFonts w:ascii="Times New Roman" w:hAnsi="Times New Roman" w:cs="Times New Roman"/>
        </w:rPr>
        <w:t>Process model</w:t>
      </w:r>
    </w:p>
    <w:p w14:paraId="6E01E5D1" w14:textId="35F794F0" w:rsidR="00C664CF" w:rsidRDefault="00C664CF" w:rsidP="00047610">
      <w:pPr>
        <w:pStyle w:val="ListParagraph"/>
        <w:numPr>
          <w:ilvl w:val="1"/>
          <w:numId w:val="1"/>
        </w:numPr>
        <w:rPr>
          <w:rFonts w:ascii="Times New Roman" w:hAnsi="Times New Roman" w:cs="Times New Roman"/>
        </w:rPr>
      </w:pPr>
      <w:r>
        <w:rPr>
          <w:rFonts w:ascii="Times New Roman" w:hAnsi="Times New Roman" w:cs="Times New Roman"/>
        </w:rPr>
        <w:t>Expands the literature on opportunities</w:t>
      </w:r>
    </w:p>
    <w:p w14:paraId="60E33C5D" w14:textId="2BFAC279" w:rsidR="00C664CF" w:rsidRDefault="00C664CF" w:rsidP="00047610">
      <w:pPr>
        <w:pStyle w:val="ListParagraph"/>
        <w:numPr>
          <w:ilvl w:val="1"/>
          <w:numId w:val="1"/>
        </w:numPr>
        <w:rPr>
          <w:rFonts w:ascii="Times New Roman" w:hAnsi="Times New Roman" w:cs="Times New Roman"/>
        </w:rPr>
      </w:pPr>
      <w:r>
        <w:rPr>
          <w:rFonts w:ascii="Times New Roman" w:hAnsi="Times New Roman" w:cs="Times New Roman"/>
        </w:rPr>
        <w:t>Introduces the notion of accumulation as a fundamental process</w:t>
      </w:r>
    </w:p>
    <w:p w14:paraId="72A608FD" w14:textId="09473BC9" w:rsidR="00C664CF" w:rsidRDefault="00C664CF" w:rsidP="00047610">
      <w:pPr>
        <w:pStyle w:val="ListParagraph"/>
        <w:numPr>
          <w:ilvl w:val="1"/>
          <w:numId w:val="1"/>
        </w:numPr>
        <w:rPr>
          <w:rFonts w:ascii="Times New Roman" w:hAnsi="Times New Roman" w:cs="Times New Roman"/>
        </w:rPr>
      </w:pPr>
      <w:r w:rsidRPr="00C664CF">
        <w:rPr>
          <w:rFonts w:ascii="Times New Roman" w:hAnsi="Times New Roman" w:cs="Times New Roman"/>
        </w:rPr>
        <w:t xml:space="preserve">If this process occurs, then basing hiring or promotion decisions on individual differences will lead to unexpected, poor citizenship because the practitioners focused on the wrong source. </w:t>
      </w:r>
    </w:p>
    <w:p w14:paraId="4C92906C" w14:textId="3DD7FB9B" w:rsidR="00C664CF" w:rsidRPr="00C664CF" w:rsidRDefault="00C664CF" w:rsidP="00C664CF">
      <w:pPr>
        <w:pStyle w:val="ListParagraph"/>
        <w:numPr>
          <w:ilvl w:val="1"/>
          <w:numId w:val="1"/>
        </w:numPr>
        <w:rPr>
          <w:rFonts w:ascii="Times New Roman" w:hAnsi="Times New Roman" w:cs="Times New Roman"/>
        </w:rPr>
      </w:pPr>
      <w:r w:rsidRPr="00C664CF">
        <w:rPr>
          <w:rFonts w:ascii="Times New Roman" w:hAnsi="Times New Roman" w:cs="Times New Roman"/>
        </w:rPr>
        <w:t xml:space="preserve">Connect to the power law performance literature. If help itself accumulates, then we have an alternative explanation for sustained performance (an alternative not identified by Aguinis or Vancouver). </w:t>
      </w:r>
    </w:p>
    <w:sectPr w:rsidR="00C664CF" w:rsidRPr="00C664CF" w:rsidSect="003D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63C00"/>
    <w:multiLevelType w:val="hybridMultilevel"/>
    <w:tmpl w:val="EA50A406"/>
    <w:lvl w:ilvl="0" w:tplc="DC20641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A8A"/>
    <w:rsid w:val="00047610"/>
    <w:rsid w:val="001678DA"/>
    <w:rsid w:val="003B2A31"/>
    <w:rsid w:val="003D12ED"/>
    <w:rsid w:val="008554F7"/>
    <w:rsid w:val="009E3619"/>
    <w:rsid w:val="00B84919"/>
    <w:rsid w:val="00BD4647"/>
    <w:rsid w:val="00C664CF"/>
    <w:rsid w:val="00D43A8A"/>
    <w:rsid w:val="00DC0862"/>
    <w:rsid w:val="00E267A5"/>
    <w:rsid w:val="00E54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0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9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617</Words>
  <Characters>3519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usd</cp:lastModifiedBy>
  <cp:revision>7</cp:revision>
  <dcterms:created xsi:type="dcterms:W3CDTF">2020-02-05T21:02:00Z</dcterms:created>
  <dcterms:modified xsi:type="dcterms:W3CDTF">2020-02-25T13:55:00Z</dcterms:modified>
</cp:coreProperties>
</file>