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677666">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CA4C2D9"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Rick DeShon,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MacGillis. </w:t>
      </w:r>
      <w:r w:rsidR="0097711F" w:rsidRPr="003B718C">
        <w:rPr>
          <w:rFonts w:ascii="Times New Roman" w:hAnsi="Times New Roman" w:cs="Times New Roman"/>
          <w:color w:val="000000" w:themeColor="text1"/>
        </w:rPr>
        <w:t>You were the first to demonstrate that the essence of writing is re-writing, and that writing is a tool for clear thinking. The feedback you provided was unmatched in its quality and depth. It created a desire in me to write well and with purpose. Thank you to Veronica 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Goldschmied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Pearlberg for demanding excellence and rigor. As a result of our interactions, I now look forward to gritty academic debates and arguments. Thank you to Peter Vanderklish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Thank you to Rick DeShon</w:t>
      </w:r>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9844B1">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9844B1">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9844B1">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9844B1">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9844B1">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9844B1">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9844B1">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9844B1">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9844B1">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9844B1">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9844B1">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9844B1">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9844B1">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9844B1">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9844B1">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9844B1">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Table 2: Unit root tests and descriptives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 xml:space="preserve">Figure 1: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one and two…………………………………………………………………………74</w:t>
      </w:r>
    </w:p>
    <w:p w14:paraId="5229A9E5" w14:textId="03141F69" w:rsidR="00867DE5" w:rsidRDefault="00867DE5" w:rsidP="00867DE5">
      <w:pPr>
        <w:pStyle w:val="Heading1"/>
        <w:rPr>
          <w:b w:val="0"/>
          <w:bCs w:val="0"/>
        </w:rPr>
      </w:pPr>
      <w:r>
        <w:rPr>
          <w:b w:val="0"/>
          <w:bCs w:val="0"/>
        </w:rPr>
        <w:t xml:space="preserve">Figure 2: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 xml:space="preserve">Figure 3: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Methot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Chiaburu,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 xml:space="preserve">Rich, Lepine,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71A06128"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(Brayfield &amp; Crockett, 1955; Cherrington et al., 1971; Lawler &amp; Porter, 1967; Viteles,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Motowidlo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behaviors that support the broader social and psychological environment such as volunteering for activities, helping and cooperating with others, or endorsing organizational objectives (Borman &amp; Motowidlo, 1993; Motowidlo &amp; Van Scotter,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(Motowidlo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6B42B630"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w:t>
      </w:r>
      <w:r w:rsidR="00AC6139">
        <w:rPr>
          <w:rFonts w:ascii="Times New Roman" w:hAnsi="Times New Roman" w:cs="Times New Roman"/>
          <w:color w:val="000000" w:themeColor="text1"/>
        </w:rPr>
        <w:t xml:space="preserve"> et al.,</w:t>
      </w:r>
      <w:r w:rsidRPr="002136D3">
        <w:rPr>
          <w:rFonts w:ascii="Times New Roman" w:hAnsi="Times New Roman" w:cs="Times New Roman"/>
          <w:color w:val="000000" w:themeColor="text1"/>
        </w:rPr>
        <w:t xml:space="preserve">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(LePine, Erez, &amp; Johnson, 2002; MacKenzie,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 xml:space="preserve">(Carpini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(e.g., Dalal,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that they foster are a source of competitive advantage (Bolino et al., 2002; Leana &amp; van Buren, 1999; Nahapiet &amp; Ghoshal, 1998). There are also studies documenting the negative consequences of OCBs, which include reduced in-role performance, depletion and exhaustion, role overload, slower career advancement, and feelings of resentment among peers (Bergeron, 2007; Bergeron, Shipp, Rosen, &amp; Furst, 2013; Bolino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Methot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r w:rsidR="00D753D2">
        <w:rPr>
          <w:rFonts w:ascii="Times New Roman" w:hAnsi="Times New Roman" w:cs="Times New Roman"/>
          <w:color w:val="000000" w:themeColor="text1"/>
        </w:rPr>
        <w:t>Methot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(Chiaburu,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(Ilies, Nahrgang, &amp; Morgeson,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Lin, Savani, &amp; Ilies,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objects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488E65B3"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4FA8FD6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3B380827" w14:textId="5B04549C" w:rsidR="00F420AF" w:rsidRPr="00F26AD3"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Other theories offer non-random sources of sustained lead. The principle of cumulative advantage (Aguinis, O’Boyle, Gonzalez-Mulé, &amp; Joo, 2016) suggests that small benefits </w:t>
      </w:r>
      <w:r w:rsidRPr="00145D8B">
        <w:rPr>
          <w:rFonts w:ascii="Times New Roman" w:hAnsi="Times New Roman" w:cs="Times New Roman"/>
          <w:color w:val="000000" w:themeColor="text1"/>
        </w:rPr>
        <w:lastRenderedPageBreak/>
        <w:t>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purpose of this study is to counter the reasoning by Bolino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w:t>
      </w:r>
      <w:r w:rsidRPr="00145D8B">
        <w:rPr>
          <w:rFonts w:ascii="Times New Roman" w:hAnsi="Times New Roman" w:cs="Times New Roman"/>
          <w:color w:val="000000" w:themeColor="text1"/>
        </w:rPr>
        <w:lastRenderedPageBreak/>
        <w:t>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7367C0AB"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w:t>
      </w:r>
      <w:r w:rsidRPr="00145D8B">
        <w:rPr>
          <w:rFonts w:ascii="Times New Roman" w:hAnsi="Times New Roman" w:cs="Times New Roman"/>
          <w:color w:val="000000" w:themeColor="text1"/>
        </w:rPr>
        <w:lastRenderedPageBreak/>
        <w:t xml:space="preserve">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36639E4E"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 xml:space="preserve">action. To the extent that an employee </w:t>
      </w:r>
      <w:r w:rsidRPr="00145D8B">
        <w:rPr>
          <w:rFonts w:ascii="Times New Roman" w:hAnsi="Times New Roman" w:cs="Times New Roman"/>
          <w:color w:val="000000" w:themeColor="text1"/>
        </w:rPr>
        <w:lastRenderedPageBreak/>
        <w:t>with few requests is less stimulated than an employee with many, he or she may experience greater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5DA65671" w:rsidR="00E102E1" w:rsidRPr="00145D8B" w:rsidRDefault="00E102E1" w:rsidP="00A44E0B">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Hsee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w:t>
      </w:r>
      <w:r w:rsidR="00A44E0B">
        <w:rPr>
          <w:rFonts w:ascii="Times New Roman" w:hAnsi="Times New Roman" w:cs="Times New Roman"/>
          <w:color w:val="000000" w:themeColor="text1"/>
        </w:rPr>
        <w:lastRenderedPageBreak/>
        <w:t xml:space="preserve">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(through accumulating by inertia and randomness),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620CD576"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65E38FB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w:t>
      </w:r>
      <w:r w:rsidRPr="00145D8B">
        <w:rPr>
          <w:rFonts w:ascii="Times New Roman" w:hAnsi="Times New Roman" w:cs="Times New Roman"/>
          <w:color w:val="000000" w:themeColor="text1"/>
        </w:rPr>
        <w:lastRenderedPageBreak/>
        <w:t xml:space="preserve">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514F1786"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Institutional review </w:t>
      </w:r>
      <w:r w:rsidRPr="00145D8B">
        <w:rPr>
          <w:rFonts w:ascii="Times New Roman" w:hAnsi="Times New Roman" w:cs="Times New Roman"/>
          <w:color w:val="000000" w:themeColor="text1"/>
        </w:rPr>
        <w:lastRenderedPageBreak/>
        <w:t>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5E42297"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27195E14"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w:t>
      </w:r>
      <w:r w:rsidRPr="00145D8B">
        <w:rPr>
          <w:rFonts w:ascii="Times New Roman" w:hAnsi="Times New Roman" w:cs="Times New Roman"/>
          <w:color w:val="000000" w:themeColor="text1"/>
        </w:rPr>
        <w:lastRenderedPageBreak/>
        <w:t>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sidR="00BD22F5">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28FE1054" w14:textId="0014912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w:t>
      </w:r>
      <w:r w:rsidRPr="00145D8B">
        <w:rPr>
          <w:rFonts w:ascii="Times New Roman" w:hAnsi="Times New Roman" w:cs="Times New Roman"/>
          <w:color w:val="000000" w:themeColor="text1"/>
        </w:rPr>
        <w:lastRenderedPageBreak/>
        <w:t>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w:t>
      </w:r>
      <w:r w:rsidRPr="001A52FF">
        <w:rPr>
          <w:rFonts w:ascii="Times New Roman" w:hAnsi="Times New Roman" w:cs="Times New Roman"/>
        </w:rPr>
        <w:lastRenderedPageBreak/>
        <w:t xml:space="preserve">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3D374F0C"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w:t>
      </w:r>
      <w:r w:rsidR="00F04E8E">
        <w:rPr>
          <w:rFonts w:ascii="Times New Roman" w:hAnsi="Times New Roman" w:cs="Times New Roman"/>
        </w:rPr>
        <w:t>1994</w:t>
      </w:r>
      <w:r w:rsidRPr="001A52FF">
        <w:rPr>
          <w:rFonts w:ascii="Times New Roman" w:hAnsi="Times New Roman" w:cs="Times New Roman"/>
        </w:rPr>
        <w:t xml:space="preserve">)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2A4134B8"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ED378D">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26139D12"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The shortest series included data across 5</w:t>
      </w:r>
      <w:r w:rsidR="00A370F0">
        <w:rPr>
          <w:rFonts w:ascii="Times New Roman" w:hAnsi="Times New Roman" w:cs="Times New Roman"/>
          <w:color w:val="000000" w:themeColor="text1"/>
        </w:rPr>
        <w:t>59</w:t>
      </w:r>
      <w:r w:rsidRPr="00145D8B">
        <w:rPr>
          <w:rFonts w:ascii="Times New Roman" w:hAnsi="Times New Roman" w:cs="Times New Roman"/>
          <w:color w:val="000000" w:themeColor="text1"/>
        </w:rPr>
        <w:t xml:space="preserve">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The longest series included data across 33</w:t>
      </w:r>
      <w:r w:rsidR="00A370F0">
        <w:rPr>
          <w:rFonts w:ascii="Times New Roman" w:hAnsi="Times New Roman" w:cs="Times New Roman"/>
          <w:color w:val="000000" w:themeColor="text1"/>
        </w:rPr>
        <w:t>73</w:t>
      </w:r>
      <w:r w:rsidRPr="00145D8B">
        <w:rPr>
          <w:rFonts w:ascii="Times New Roman" w:hAnsi="Times New Roman" w:cs="Times New Roman"/>
          <w:color w:val="000000" w:themeColor="text1"/>
        </w:rPr>
        <w:t xml:space="preserve">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Eighty</w:t>
      </w:r>
      <w:r w:rsidR="00BE74E1">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w:t>
      </w:r>
      <w:r w:rsidRPr="00145D8B">
        <w:rPr>
          <w:rFonts w:ascii="Times New Roman" w:hAnsi="Times New Roman" w:cs="Times New Roman"/>
          <w:color w:val="000000" w:themeColor="text1"/>
        </w:rPr>
        <w:lastRenderedPageBreak/>
        <w:t xml:space="preserve">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r w:rsidR="00E16051" w:rsidRPr="00E16051">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00B0A98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w:t>
      </w:r>
      <w:r w:rsidR="00AA4A61">
        <w:rPr>
          <w:rFonts w:ascii="Times New Roman" w:hAnsi="Times New Roman" w:cs="Times New Roman"/>
          <w:color w:val="000000" w:themeColor="text1"/>
        </w:rPr>
        <w:lastRenderedPageBreak/>
        <w:t xml:space="preserve">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w:t>
      </w:r>
      <w:r w:rsidR="00B763D7">
        <w:rPr>
          <w:rFonts w:ascii="Times New Roman" w:hAnsi="Times New Roman" w:cs="Times New Roman"/>
          <w:color w:val="000000" w:themeColor="text1"/>
        </w:rPr>
        <w:lastRenderedPageBreak/>
        <w:t xml:space="preserve">(random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5DD1CAC1"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w:t>
      </w:r>
      <w:r w:rsidR="00E102E1" w:rsidRPr="00145D8B">
        <w:rPr>
          <w:rFonts w:ascii="Times New Roman" w:hAnsi="Times New Roman" w:cs="Times New Roman"/>
          <w:color w:val="000000" w:themeColor="text1"/>
        </w:rPr>
        <w:lastRenderedPageBreak/>
        <w:t xml:space="preserve">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6E7609BF"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23F0B5DA"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concepts in computer modeling. The first is that realizations 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w:t>
      </w:r>
      <w:r w:rsidRPr="009850E8">
        <w:rPr>
          <w:rFonts w:ascii="Times New Roman" w:hAnsi="Times New Roman" w:cs="Times New Roman"/>
          <w:color w:val="000000" w:themeColor="text1"/>
        </w:rPr>
        <w:lastRenderedPageBreak/>
        <w:t xml:space="preserve">manifests across each stimulation run. (Technically, deterministic systems can produce chaos so this statement isn't always true). </w:t>
      </w:r>
    </w:p>
    <w:p w14:paraId="6405D374" w14:textId="21F88823"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333D985D"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noProof/>
          <w:lang w:val="en-US"/>
        </w:rPr>
        <w:lastRenderedPageBreak/>
        <w:drawing>
          <wp:inline distT="0" distB="0" distL="0" distR="0" wp14:anchorId="0986B198" wp14:editId="0F57D2F0">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5D0AFC87"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i/>
          <w:iCs/>
          <w:noProof/>
          <w:lang w:val="en-US"/>
        </w:rPr>
        <w:t>Figure 1</w:t>
      </w:r>
      <w:r w:rsidRPr="00391CE5">
        <w:rPr>
          <w:rFonts w:ascii="Times New Roman" w:hAnsi="Times New Roman" w:cs="Times New Roman"/>
          <w:noProof/>
          <w:lang w:val="en-US"/>
        </w:rPr>
        <w:t xml:space="preserve">. Probability that employee </w:t>
      </w:r>
      <w:r w:rsidRPr="00391CE5">
        <w:rPr>
          <w:rFonts w:ascii="Times New Roman" w:hAnsi="Times New Roman" w:cs="Times New Roman"/>
          <w:i/>
          <w:iCs/>
          <w:noProof/>
          <w:lang w:val="en-US"/>
        </w:rPr>
        <w:t>x</w:t>
      </w:r>
      <w:r w:rsidRPr="00391CE5">
        <w:rPr>
          <w:rFonts w:ascii="Times New Roman" w:hAnsi="Times New Roman" w:cs="Times New Roman"/>
          <w:i/>
          <w:iCs/>
          <w:noProof/>
          <w:vertAlign w:val="subscript"/>
          <w:lang w:val="en-US"/>
        </w:rPr>
        <w:t>i</w:t>
      </w:r>
      <w:r w:rsidRPr="00391CE5">
        <w:rPr>
          <w:rFonts w:ascii="Times New Roman" w:hAnsi="Times New Roman" w:cs="Times New Roman"/>
          <w:noProof/>
          <w:lang w:val="en-US"/>
        </w:rPr>
        <w:t xml:space="preserve"> spends </w:t>
      </w:r>
      <w:r w:rsidRPr="00391CE5">
        <w:rPr>
          <w:rFonts w:ascii="Times New Roman" w:hAnsi="Times New Roman" w:cs="Times New Roman"/>
          <w:i/>
          <w:iCs/>
          <w:noProof/>
          <w:lang w:val="en-US"/>
        </w:rPr>
        <w:t>n</w:t>
      </w:r>
      <w:r w:rsidRPr="00391CE5">
        <w:rPr>
          <w:rFonts w:ascii="Times New Roman" w:hAnsi="Times New Roman" w:cs="Times New Roman"/>
          <w:noProof/>
          <w:lang w:val="en-US"/>
        </w:rPr>
        <w:t xml:space="preserve"> periods in the same percentile across person conditions one and two. </w:t>
      </w:r>
    </w:p>
    <w:p w14:paraId="3D49E819" w14:textId="70235981" w:rsidR="00E102E1" w:rsidRDefault="00E102E1" w:rsidP="00391CE5">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w:t>
      </w:r>
      <w:r w:rsidR="00797921">
        <w:rPr>
          <w:rFonts w:ascii="Times New Roman" w:hAnsi="Times New Roman" w:cs="Times New Roman"/>
          <w:color w:val="000000" w:themeColor="text1"/>
        </w:rPr>
        <w:lastRenderedPageBreak/>
        <w:t xml:space="preserve">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w:t>
      </w:r>
      <w:r w:rsidR="00DD32C3">
        <w:rPr>
          <w:rFonts w:ascii="Times New Roman" w:hAnsi="Times New Roman" w:cs="Times New Roman"/>
          <w:color w:val="000000" w:themeColor="text1"/>
        </w:rPr>
        <w:lastRenderedPageBreak/>
        <w:t xml:space="preserve">isolated basement, then the environment would be amenable to the emergence of a good soldier. </w:t>
      </w:r>
      <w:r w:rsidR="00F70D69">
        <w:rPr>
          <w:rFonts w:ascii="Times New Roman" w:hAnsi="Times New Roman" w:cs="Times New Roman"/>
          <w:color w:val="000000" w:themeColor="text1"/>
        </w:rPr>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231D4BBF"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noProof/>
          <w:lang w:val="en-US"/>
        </w:rPr>
        <w:drawing>
          <wp:inline distT="0" distB="0" distL="0" distR="0" wp14:anchorId="433CF723" wp14:editId="14E1D97A">
            <wp:extent cx="5943600" cy="4185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5EF953C"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i/>
          <w:iCs/>
          <w:noProof/>
          <w:lang w:val="en-US"/>
        </w:rPr>
        <w:t>Figure 2</w:t>
      </w:r>
      <w:r w:rsidRPr="00391CE5">
        <w:rPr>
          <w:rFonts w:ascii="Times New Roman" w:hAnsi="Times New Roman" w:cs="Times New Roman"/>
          <w:noProof/>
          <w:lang w:val="en-US"/>
        </w:rPr>
        <w:t xml:space="preserve">. Probability that employee </w:t>
      </w:r>
      <w:r w:rsidRPr="00391CE5">
        <w:rPr>
          <w:rFonts w:ascii="Times New Roman" w:hAnsi="Times New Roman" w:cs="Times New Roman"/>
          <w:i/>
          <w:iCs/>
          <w:noProof/>
          <w:lang w:val="en-US"/>
        </w:rPr>
        <w:t>x</w:t>
      </w:r>
      <w:r w:rsidRPr="00391CE5">
        <w:rPr>
          <w:rFonts w:ascii="Times New Roman" w:hAnsi="Times New Roman" w:cs="Times New Roman"/>
          <w:i/>
          <w:iCs/>
          <w:noProof/>
          <w:vertAlign w:val="subscript"/>
          <w:lang w:val="en-US"/>
        </w:rPr>
        <w:t>i</w:t>
      </w:r>
      <w:r w:rsidRPr="00391CE5">
        <w:rPr>
          <w:rFonts w:ascii="Times New Roman" w:hAnsi="Times New Roman" w:cs="Times New Roman"/>
          <w:noProof/>
          <w:lang w:val="en-US"/>
        </w:rPr>
        <w:t xml:space="preserve"> spends </w:t>
      </w:r>
      <w:r w:rsidRPr="00391CE5">
        <w:rPr>
          <w:rFonts w:ascii="Times New Roman" w:hAnsi="Times New Roman" w:cs="Times New Roman"/>
          <w:i/>
          <w:iCs/>
          <w:noProof/>
          <w:lang w:val="en-US"/>
        </w:rPr>
        <w:t>n</w:t>
      </w:r>
      <w:r w:rsidRPr="00391CE5">
        <w:rPr>
          <w:rFonts w:ascii="Times New Roman" w:hAnsi="Times New Roman" w:cs="Times New Roman"/>
          <w:noProof/>
          <w:lang w:val="en-US"/>
        </w:rPr>
        <w:t xml:space="preserve"> periods in the same percentile across person conditions three and four. </w:t>
      </w:r>
    </w:p>
    <w:p w14:paraId="52630E4A" w14:textId="5D06DB97" w:rsidR="00287C98" w:rsidRDefault="00E102E1" w:rsidP="00391CE5">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w:t>
      </w:r>
      <w:r w:rsidR="00797921">
        <w:rPr>
          <w:rFonts w:ascii="Times New Roman" w:eastAsiaTheme="minorEastAsia" w:hAnsi="Times New Roman" w:cs="Times New Roman"/>
          <w:color w:val="000000" w:themeColor="text1"/>
        </w:rPr>
        <w:lastRenderedPageBreak/>
        <w:t xml:space="preserve">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7ACC0A9F"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noProof/>
          <w:lang w:val="en-US"/>
        </w:rPr>
        <w:lastRenderedPageBreak/>
        <w:drawing>
          <wp:inline distT="0" distB="0" distL="0" distR="0" wp14:anchorId="739CA956" wp14:editId="5C194DC4">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00C07D89" w14:textId="77777777" w:rsidR="00391CE5" w:rsidRPr="00391CE5" w:rsidRDefault="00391CE5" w:rsidP="00391CE5">
      <w:pPr>
        <w:pStyle w:val="BodyText"/>
        <w:spacing w:line="480" w:lineRule="auto"/>
        <w:rPr>
          <w:rFonts w:ascii="Times New Roman" w:hAnsi="Times New Roman" w:cs="Times New Roman"/>
          <w:noProof/>
          <w:lang w:val="en-US"/>
        </w:rPr>
      </w:pPr>
      <w:r w:rsidRPr="00391CE5">
        <w:rPr>
          <w:rFonts w:ascii="Times New Roman" w:hAnsi="Times New Roman" w:cs="Times New Roman"/>
          <w:i/>
          <w:iCs/>
          <w:noProof/>
          <w:lang w:val="en-US"/>
        </w:rPr>
        <w:t>Figure 3</w:t>
      </w:r>
      <w:r w:rsidRPr="00391CE5">
        <w:rPr>
          <w:rFonts w:ascii="Times New Roman" w:hAnsi="Times New Roman" w:cs="Times New Roman"/>
          <w:noProof/>
          <w:lang w:val="en-US"/>
        </w:rPr>
        <w:t xml:space="preserve">. Probability that employee </w:t>
      </w:r>
      <w:r w:rsidRPr="00391CE5">
        <w:rPr>
          <w:rFonts w:ascii="Times New Roman" w:hAnsi="Times New Roman" w:cs="Times New Roman"/>
          <w:i/>
          <w:iCs/>
          <w:noProof/>
          <w:lang w:val="en-US"/>
        </w:rPr>
        <w:t>x</w:t>
      </w:r>
      <w:r w:rsidRPr="00391CE5">
        <w:rPr>
          <w:rFonts w:ascii="Times New Roman" w:hAnsi="Times New Roman" w:cs="Times New Roman"/>
          <w:i/>
          <w:iCs/>
          <w:noProof/>
          <w:vertAlign w:val="subscript"/>
          <w:lang w:val="en-US"/>
        </w:rPr>
        <w:t>i</w:t>
      </w:r>
      <w:r w:rsidRPr="00391CE5">
        <w:rPr>
          <w:rFonts w:ascii="Times New Roman" w:hAnsi="Times New Roman" w:cs="Times New Roman"/>
          <w:noProof/>
          <w:lang w:val="en-US"/>
        </w:rPr>
        <w:t xml:space="preserve"> spends </w:t>
      </w:r>
      <w:r w:rsidRPr="00391CE5">
        <w:rPr>
          <w:rFonts w:ascii="Times New Roman" w:hAnsi="Times New Roman" w:cs="Times New Roman"/>
          <w:i/>
          <w:iCs/>
          <w:noProof/>
          <w:lang w:val="en-US"/>
        </w:rPr>
        <w:t>n</w:t>
      </w:r>
      <w:r w:rsidRPr="00391CE5">
        <w:rPr>
          <w:rFonts w:ascii="Times New Roman" w:hAnsi="Times New Roman" w:cs="Times New Roman"/>
          <w:noProof/>
          <w:lang w:val="en-US"/>
        </w:rPr>
        <w:t xml:space="preserve"> periods in the same percentile across the conformity condition. </w:t>
      </w:r>
    </w:p>
    <w:p w14:paraId="3BCAA706" w14:textId="666EF7F7" w:rsidR="004D4981" w:rsidRDefault="00CB34FA" w:rsidP="00391CE5">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w:t>
      </w:r>
      <w:r w:rsidR="004D4981">
        <w:rPr>
          <w:rFonts w:ascii="Times New Roman" w:hAnsi="Times New Roman" w:cs="Times New Roman"/>
          <w:color w:val="000000" w:themeColor="text1"/>
        </w:rPr>
        <w:lastRenderedPageBreak/>
        <w:t xml:space="preserve">citizenship. Perhaps employees are expected to increase their help by, say, 2. Those already 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lastRenderedPageBreak/>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Methot et al. (2015) argue that streaky good soldiers are due to traits such as agreeableness, proactive personality, and prosocial orientations and values. Bolino et al. (2015) provide a similar suggestion. These explanations </w:t>
      </w:r>
      <w:r w:rsidRPr="00145D8B">
        <w:rPr>
          <w:rFonts w:ascii="Times New Roman" w:hAnsi="Times New Roman" w:cs="Times New Roman"/>
          <w:color w:val="000000" w:themeColor="text1"/>
        </w:rPr>
        <w:lastRenderedPageBreak/>
        <w:t xml:space="preserve">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C3BE003"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w:t>
      </w:r>
      <w:r w:rsidRPr="00145D8B">
        <w:rPr>
          <w:rFonts w:ascii="Times New Roman" w:hAnsi="Times New Roman" w:cs="Times New Roman"/>
          <w:color w:val="000000" w:themeColor="text1"/>
        </w:rPr>
        <w:lastRenderedPageBreak/>
        <w:t>demonstrating how a mechanism involving random variation can be used to derive the regularity in question” (p.). So far, explanations using randomness as a first principle have tended to focus either on macro or cognitive applications. These include studies on firm growth (Bottazzi &amp; Secchi, 2003; Riccaboni, Pammolli, Buldyrev, Ponta, &amp; Stanley, 2008), performance (Henderson et al., 2012), and risk (Denrell,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descriptives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w:t>
      </w:r>
      <w:r w:rsidR="00453D3A" w:rsidRPr="00453D3A">
        <w:rPr>
          <w:rFonts w:ascii="Times New Roman" w:hAnsi="Times New Roman" w:cs="Times New Roman"/>
          <w:color w:val="000000" w:themeColor="text1"/>
        </w:rPr>
        <w:lastRenderedPageBreak/>
        <w:t xml:space="preserve">the more popular titles (e.g., Bolger &amp; Laurenceau, 2013; Bollen &amp; Curran, 2006; Grimm, Ram, &amp; Estabrook, 2017; Hoffman, 2015; Singer &amp; Willett, 2003), there are no chapters describing 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w:t>
      </w:r>
      <w:r w:rsidRPr="00145D8B">
        <w:rPr>
          <w:rFonts w:ascii="Times New Roman" w:hAnsi="Times New Roman" w:cs="Times New Roman"/>
          <w:color w:val="000000" w:themeColor="text1"/>
        </w:rPr>
        <w:lastRenderedPageBreak/>
        <w:t>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w:t>
      </w:r>
      <w:r w:rsidRPr="00145D8B">
        <w:rPr>
          <w:rFonts w:ascii="Times New Roman" w:hAnsi="Times New Roman" w:cs="Times New Roman"/>
          <w:color w:val="000000" w:themeColor="text1"/>
        </w:rPr>
        <w:lastRenderedPageBreak/>
        <w:t>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43621A0E"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xml:space="preserve">.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w:t>
      </w:r>
      <w:r w:rsidRPr="00145D8B">
        <w:rPr>
          <w:rFonts w:ascii="Times New Roman" w:hAnsi="Times New Roman" w:cs="Times New Roman"/>
          <w:color w:val="000000" w:themeColor="text1"/>
        </w:rPr>
        <w:lastRenderedPageBreak/>
        <w:t>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4696536A"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9844B1"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176AE1B6"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ED378D">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r w:rsidRPr="00164C33">
              <w:rPr>
                <w:rFonts w:ascii="Times New Roman" w:eastAsia="Calibri" w:hAnsi="Times New Roman" w:cs="Times New Roman"/>
                <w:i/>
                <w:iCs/>
              </w:rPr>
              <w:t>i</w:t>
            </w:r>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9844B1"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r w:rsidR="001B29C9" w:rsidRPr="00164C33">
              <w:rPr>
                <w:rFonts w:ascii="Times New Roman" w:eastAsia="Calibri" w:hAnsi="Times New Roman" w:cs="Times New Roman"/>
                <w:i/>
              </w:rPr>
              <w:t>i</w:t>
            </w:r>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9844B1"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r w:rsidR="001B29C9" w:rsidRPr="00164C33">
              <w:rPr>
                <w:rFonts w:ascii="Times New Roman" w:eastAsia="Calibri" w:hAnsi="Times New Roman" w:cs="Times New Roman"/>
                <w:i/>
                <w:iCs/>
              </w:rPr>
              <w:t>i</w:t>
            </w:r>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719FC6B0" w14:textId="77777777" w:rsidR="00391CE5" w:rsidRDefault="00391CE5" w:rsidP="00391CE5">
      <w:pPr>
        <w:rPr>
          <w:rFonts w:ascii="Times New Roman" w:hAnsi="Times New Roman" w:cs="Times New Roman"/>
        </w:rPr>
      </w:pPr>
      <w:r>
        <w:rPr>
          <w:rFonts w:ascii="Times New Roman" w:hAnsi="Times New Roman" w:cs="Times New Roman"/>
          <w:noProof/>
        </w:rPr>
        <w:drawing>
          <wp:inline distT="0" distB="0" distL="0" distR="0" wp14:anchorId="33694D9F" wp14:editId="69D3948A">
            <wp:extent cx="5943600" cy="4185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963B30" w14:textId="77777777" w:rsidR="00391CE5" w:rsidRDefault="00391CE5" w:rsidP="00391CE5">
      <w:pPr>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person 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5F49F1D" w14:textId="77777777" w:rsidR="00391CE5" w:rsidRDefault="00391CE5" w:rsidP="00391CE5">
      <w:pPr>
        <w:rPr>
          <w:rFonts w:ascii="Times New Roman" w:hAnsi="Times New Roman" w:cs="Times New Roman"/>
        </w:rPr>
      </w:pPr>
      <w:r>
        <w:rPr>
          <w:rFonts w:ascii="Times New Roman" w:hAnsi="Times New Roman" w:cs="Times New Roman"/>
          <w:noProof/>
        </w:rPr>
        <w:lastRenderedPageBreak/>
        <w:drawing>
          <wp:inline distT="0" distB="0" distL="0" distR="0" wp14:anchorId="7FF05275" wp14:editId="419842BF">
            <wp:extent cx="5943600" cy="4185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488D215" w14:textId="77777777" w:rsidR="00391CE5" w:rsidRDefault="00391CE5" w:rsidP="00391CE5">
      <w:pPr>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person 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16937118" w14:textId="77777777" w:rsidR="00391CE5" w:rsidRDefault="00391CE5" w:rsidP="00391CE5">
      <w:pPr>
        <w:rPr>
          <w:rFonts w:ascii="Times New Roman" w:hAnsi="Times New Roman" w:cs="Times New Roman"/>
        </w:rPr>
      </w:pPr>
      <w:r>
        <w:rPr>
          <w:rFonts w:ascii="Times New Roman" w:hAnsi="Times New Roman" w:cs="Times New Roman"/>
          <w:noProof/>
        </w:rPr>
        <w:lastRenderedPageBreak/>
        <w:drawing>
          <wp:inline distT="0" distB="0" distL="0" distR="0" wp14:anchorId="4086AD2B" wp14:editId="09AE3120">
            <wp:extent cx="5943600" cy="4185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316666E8" w14:textId="77777777" w:rsidR="00391CE5" w:rsidRDefault="00391CE5" w:rsidP="00391CE5">
      <w:pPr>
        <w:spacing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7" w:name="ref-aguinis_cumulative_2016"/>
      <w:bookmarkEnd w:id="117"/>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3305F89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(4), 1604–1611.</w:t>
      </w:r>
      <w:r w:rsidR="00FA77AE" w:rsidRPr="00145D8B">
        <w:rPr>
          <w:rFonts w:ascii="Times New Roman" w:hAnsi="Times New Roman" w:cs="Times New Roman"/>
          <w:color w:val="000000" w:themeColor="text1"/>
        </w:rPr>
        <w:t xml:space="preserve"> </w:t>
      </w:r>
    </w:p>
    <w:p w14:paraId="1D6D458F" w14:textId="7A23D7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p>
    <w:p w14:paraId="041246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6C10260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p>
    <w:p w14:paraId="7B92A72D" w14:textId="72F6405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Barnard, C. I. (1968). </w:t>
      </w:r>
      <w:r w:rsidRPr="005220C4">
        <w:rPr>
          <w:rFonts w:ascii="Times New Roman" w:hAnsi="Times New Roman" w:cs="Times New Roman"/>
          <w:i/>
          <w:iCs/>
          <w:color w:val="000000" w:themeColor="text1"/>
          <w:lang w:val="en-US"/>
        </w:rPr>
        <w:t>The functions of the executive</w:t>
      </w:r>
      <w:r w:rsidRPr="005220C4">
        <w:rPr>
          <w:rFonts w:ascii="Times New Roman" w:hAnsi="Times New Roman" w:cs="Times New Roman"/>
          <w:color w:val="000000" w:themeColor="text1"/>
          <w:lang w:val="en-US"/>
        </w:rPr>
        <w:t>. Harvard university press.</w:t>
      </w:r>
    </w:p>
    <w:p w14:paraId="4C5F075C" w14:textId="1901F7F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5693AB6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(5), 507–520.</w:t>
      </w:r>
      <w:r w:rsidR="00FA77AE" w:rsidRPr="00145D8B">
        <w:rPr>
          <w:rFonts w:ascii="Times New Roman" w:hAnsi="Times New Roman" w:cs="Times New Roman"/>
          <w:color w:val="000000" w:themeColor="text1"/>
        </w:rPr>
        <w:t xml:space="preserve"> </w:t>
      </w:r>
    </w:p>
    <w:p w14:paraId="4840F6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3" w:name="ref-basu_introduction_2003"/>
      <w:bookmarkEnd w:id="123"/>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20273BE" w14:textId="3A5A76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Bateman, T. S., &amp; Organ, D. W. (1983). Job satisfaction and the good soldier: The relationship between affect and employee “citizenship”.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26</w:t>
      </w:r>
      <w:r w:rsidRPr="005220C4">
        <w:rPr>
          <w:rFonts w:ascii="Times New Roman" w:hAnsi="Times New Roman" w:cs="Times New Roman"/>
          <w:color w:val="000000" w:themeColor="text1"/>
          <w:lang w:val="en-US"/>
        </w:rPr>
        <w:t>(4), 587-595.</w:t>
      </w:r>
    </w:p>
    <w:p w14:paraId="7F3C7A50" w14:textId="63814A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bookmarkStart w:id="124" w:name="ref-bergeron_potential_2007"/>
      <w:bookmarkEnd w:id="124"/>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5" w:name="ref-bergeron_organizational_2013"/>
      <w:bookmarkEnd w:id="125"/>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3A8E91C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6" w:name="ref-bergeron_dual_2014"/>
      <w:bookmarkEnd w:id="126"/>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p>
    <w:p w14:paraId="44E7D064" w14:textId="0D7B141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7" w:name="ref-bernhardsson_buffet_nodate"/>
      <w:bookmarkEnd w:id="127"/>
      <w:r w:rsidRPr="00145D8B">
        <w:rPr>
          <w:rFonts w:ascii="Times New Roman" w:hAnsi="Times New Roman" w:cs="Times New Roman"/>
          <w:color w:val="000000" w:themeColor="text1"/>
        </w:rPr>
        <w:lastRenderedPageBreak/>
        <w:t>Bernhardsson,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15">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8" w:name="ref-bhattacharya_testing_2005"/>
      <w:bookmarkEnd w:id="128"/>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9" w:name="ref-blumberg_missing_1982"/>
      <w:bookmarkEnd w:id="129"/>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0" w:name="ref-bohns_mis_2016"/>
      <w:bookmarkEnd w:id="130"/>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04E2C8EE" w14:textId="2C97408D"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Bolger, N., &amp; </w:t>
      </w:r>
      <w:proofErr w:type="spellStart"/>
      <w:r w:rsidRPr="00C508C0">
        <w:rPr>
          <w:rFonts w:ascii="Times New Roman" w:hAnsi="Times New Roman" w:cs="Times New Roman"/>
          <w:color w:val="000000" w:themeColor="text1"/>
          <w:lang w:val="en-US"/>
        </w:rPr>
        <w:t>Laurenceau</w:t>
      </w:r>
      <w:proofErr w:type="spellEnd"/>
      <w:r w:rsidRPr="00C508C0">
        <w:rPr>
          <w:rFonts w:ascii="Times New Roman" w:hAnsi="Times New Roman" w:cs="Times New Roman"/>
          <w:color w:val="000000" w:themeColor="text1"/>
          <w:lang w:val="en-US"/>
        </w:rPr>
        <w:t>, J. P. (2013). </w:t>
      </w:r>
      <w:r w:rsidRPr="00C508C0">
        <w:rPr>
          <w:rFonts w:ascii="Times New Roman" w:hAnsi="Times New Roman" w:cs="Times New Roman"/>
          <w:i/>
          <w:iCs/>
          <w:color w:val="000000" w:themeColor="text1"/>
          <w:lang w:val="en-US"/>
        </w:rPr>
        <w:t>Intensive longitudinal methods: An introduction to diary and experience sampling research</w:t>
      </w:r>
      <w:r w:rsidRPr="00C508C0">
        <w:rPr>
          <w:rFonts w:ascii="Times New Roman" w:hAnsi="Times New Roman" w:cs="Times New Roman"/>
          <w:color w:val="000000" w:themeColor="text1"/>
          <w:lang w:val="en-US"/>
        </w:rPr>
        <w:t>. Guilford Press.</w:t>
      </w:r>
    </w:p>
    <w:p w14:paraId="182CF1FC" w14:textId="338809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1" w:name="ref-bolino_well_2015"/>
      <w:bookmarkEnd w:id="131"/>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2" w:name="ref-bolino_citizenship_2002"/>
      <w:bookmarkEnd w:id="132"/>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49F441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3" w:name="ref-bolino_citizenship_2009"/>
      <w:bookmarkEnd w:id="133"/>
      <w:r w:rsidRPr="00145D8B">
        <w:rPr>
          <w:rFonts w:ascii="Times New Roman" w:hAnsi="Times New Roman" w:cs="Times New Roman"/>
          <w:color w:val="000000" w:themeColor="text1"/>
        </w:rPr>
        <w:lastRenderedPageBreak/>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p>
    <w:p w14:paraId="57566740" w14:textId="12A18F7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Bollen</w:t>
      </w:r>
      <w:proofErr w:type="spellEnd"/>
      <w:r w:rsidRPr="00C508C0">
        <w:rPr>
          <w:rFonts w:ascii="Times New Roman" w:hAnsi="Times New Roman" w:cs="Times New Roman"/>
          <w:color w:val="000000" w:themeColor="text1"/>
          <w:lang w:val="en-US"/>
        </w:rPr>
        <w:t>, K. A., &amp; Curran, P. J. (2006). </w:t>
      </w:r>
      <w:r w:rsidRPr="00C508C0">
        <w:rPr>
          <w:rFonts w:ascii="Times New Roman" w:hAnsi="Times New Roman" w:cs="Times New Roman"/>
          <w:i/>
          <w:iCs/>
          <w:color w:val="000000" w:themeColor="text1"/>
          <w:lang w:val="en-US"/>
        </w:rPr>
        <w:t>Latent curve models: A structural equation perspective</w:t>
      </w:r>
      <w:r w:rsidRPr="00C508C0">
        <w:rPr>
          <w:rFonts w:ascii="Times New Roman" w:hAnsi="Times New Roman" w:cs="Times New Roman"/>
          <w:color w:val="000000" w:themeColor="text1"/>
          <w:lang w:val="en-US"/>
        </w:rPr>
        <w:t>. John Wiley &amp; Sons.</w:t>
      </w:r>
    </w:p>
    <w:p w14:paraId="40FB91A3" w14:textId="1A5F029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p>
    <w:p w14:paraId="3CD1FCC7" w14:textId="619EC54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Borman, W. C., &amp; </w:t>
      </w: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1993. Expanding the criterion domain to include elements of contextual performance. In N. Schmitt &amp; W. C. Borman (Eds.), </w:t>
      </w:r>
      <w:r w:rsidRPr="005220C4">
        <w:rPr>
          <w:rFonts w:ascii="Times New Roman" w:hAnsi="Times New Roman" w:cs="Times New Roman"/>
          <w:i/>
          <w:iCs/>
          <w:color w:val="000000" w:themeColor="text1"/>
          <w:lang w:val="en-US"/>
        </w:rPr>
        <w:t>Personnel selection in organization</w:t>
      </w:r>
      <w:r w:rsidRPr="005220C4">
        <w:rPr>
          <w:rFonts w:ascii="Times New Roman" w:hAnsi="Times New Roman" w:cs="Times New Roman"/>
          <w:color w:val="000000" w:themeColor="text1"/>
          <w:lang w:val="en-US"/>
        </w:rPr>
        <w:t>: 71–98. San Francisco, CA: Jossey-Bass.</w:t>
      </w:r>
    </w:p>
    <w:p w14:paraId="0E0EEA04" w14:textId="0D381D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706EBFE1" w14:textId="05BFFB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Brayfield</w:t>
      </w:r>
      <w:proofErr w:type="spellEnd"/>
      <w:r w:rsidRPr="005220C4">
        <w:rPr>
          <w:rFonts w:ascii="Times New Roman" w:hAnsi="Times New Roman" w:cs="Times New Roman"/>
          <w:color w:val="000000" w:themeColor="text1"/>
          <w:lang w:val="en-US"/>
        </w:rPr>
        <w:t>, A. H., &amp; Crockett, W. H. (1955). Employee attitudes and employee performance.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52</w:t>
      </w:r>
      <w:r w:rsidRPr="005220C4">
        <w:rPr>
          <w:rFonts w:ascii="Times New Roman" w:hAnsi="Times New Roman" w:cs="Times New Roman"/>
          <w:color w:val="000000" w:themeColor="text1"/>
          <w:lang w:val="en-US"/>
        </w:rPr>
        <w:t>(5), 396.</w:t>
      </w:r>
    </w:p>
    <w:p w14:paraId="6D346016" w14:textId="118D2F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6E930C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4" w:name="ref-cain_giving_2014"/>
      <w:bookmarkEnd w:id="134"/>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p>
    <w:p w14:paraId="497509CD" w14:textId="15671A62" w:rsidR="00FF77CC" w:rsidRPr="00FF77CC" w:rsidRDefault="00FF77CC" w:rsidP="005D1A81">
      <w:pPr>
        <w:pStyle w:val="BodyText"/>
        <w:spacing w:before="0" w:after="0" w:line="480" w:lineRule="auto"/>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lastRenderedPageBreak/>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14E7450D" w14:textId="240451D0" w:rsidR="005220C4" w:rsidRDefault="005220C4" w:rsidP="005220C4">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Carpini</w:t>
      </w:r>
      <w:proofErr w:type="spellEnd"/>
      <w:r w:rsidRPr="00B9592E">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239-254). Oxford: Oxford University Press.</w:t>
      </w:r>
    </w:p>
    <w:p w14:paraId="60BAF4C7" w14:textId="53FC662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68CD1E36" w14:textId="2F63C77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Cherrington, D. J., Reitz, H. J., &amp; Scott, W. E. (1971). Effects of contingent and noncontingent reward on the relationship between satisfaction and task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55</w:t>
      </w:r>
      <w:r w:rsidRPr="005220C4">
        <w:rPr>
          <w:rFonts w:ascii="Times New Roman" w:hAnsi="Times New Roman" w:cs="Times New Roman"/>
          <w:color w:val="000000" w:themeColor="text1"/>
          <w:lang w:val="en-US"/>
        </w:rPr>
        <w:t>(6), 531.</w:t>
      </w:r>
    </w:p>
    <w:p w14:paraId="7EDEEC66" w14:textId="2F4D7400"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Chang, Y., &amp; Park, J. Y. (2002). On the </w:t>
      </w:r>
      <w:proofErr w:type="spellStart"/>
      <w:r w:rsidRPr="00C508C0">
        <w:rPr>
          <w:rFonts w:ascii="Times New Roman" w:hAnsi="Times New Roman" w:cs="Times New Roman"/>
          <w:color w:val="000000" w:themeColor="text1"/>
          <w:lang w:val="en-US"/>
        </w:rPr>
        <w:t>asymptotics</w:t>
      </w:r>
      <w:proofErr w:type="spellEnd"/>
      <w:r w:rsidRPr="00C508C0">
        <w:rPr>
          <w:rFonts w:ascii="Times New Roman" w:hAnsi="Times New Roman" w:cs="Times New Roman"/>
          <w:color w:val="000000" w:themeColor="text1"/>
          <w:lang w:val="en-US"/>
        </w:rPr>
        <w:t xml:space="preserve"> of ADF tests for unit roots. </w:t>
      </w:r>
      <w:r w:rsidRPr="00C508C0">
        <w:rPr>
          <w:rFonts w:ascii="Times New Roman" w:hAnsi="Times New Roman" w:cs="Times New Roman"/>
          <w:i/>
          <w:iCs/>
          <w:color w:val="000000" w:themeColor="text1"/>
          <w:lang w:val="en-US"/>
        </w:rPr>
        <w:t>Econometric Reviews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21</w:t>
      </w:r>
      <w:r w:rsidRPr="00C508C0">
        <w:rPr>
          <w:rFonts w:ascii="Times New Roman" w:hAnsi="Times New Roman" w:cs="Times New Roman"/>
          <w:color w:val="000000" w:themeColor="text1"/>
          <w:lang w:val="en-US"/>
        </w:rPr>
        <w:t>(4), 431-447.</w:t>
      </w:r>
    </w:p>
    <w:p w14:paraId="7F4D548D" w14:textId="43A07CC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5" w:name="ref-christian_dynamic_2015"/>
      <w:bookmarkEnd w:id="135"/>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6" w:name="ref-cialdini_test_1976"/>
      <w:bookmarkEnd w:id="136"/>
      <w:r w:rsidRPr="00145D8B">
        <w:rPr>
          <w:rFonts w:ascii="Times New Roman" w:hAnsi="Times New Roman" w:cs="Times New Roman"/>
          <w:color w:val="000000" w:themeColor="text1"/>
        </w:rPr>
        <w:lastRenderedPageBreak/>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07E4C62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7" w:name="ref-cialdini_social_2004"/>
      <w:bookmarkEnd w:id="13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p>
    <w:p w14:paraId="644875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8" w:name="ref-cialdini_reciprocal_1975"/>
      <w:bookmarkEnd w:id="138"/>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9" w:name="ref-connolly_regret_2013"/>
      <w:bookmarkEnd w:id="139"/>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0" w:name="ref-cooper_world_1982"/>
      <w:bookmarkEnd w:id="14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5660E338" w14:textId="40D32FA7"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Croissant, Y., &amp; </w:t>
      </w:r>
      <w:proofErr w:type="spellStart"/>
      <w:r w:rsidRPr="004B4979">
        <w:rPr>
          <w:rFonts w:ascii="Times New Roman" w:hAnsi="Times New Roman" w:cs="Times New Roman"/>
          <w:color w:val="000000" w:themeColor="text1"/>
          <w:lang w:val="en-US"/>
        </w:rPr>
        <w:t>Millo</w:t>
      </w:r>
      <w:proofErr w:type="spellEnd"/>
      <w:r w:rsidRPr="004B4979">
        <w:rPr>
          <w:rFonts w:ascii="Times New Roman" w:hAnsi="Times New Roman" w:cs="Times New Roman"/>
          <w:color w:val="000000" w:themeColor="text1"/>
          <w:lang w:val="en-US"/>
        </w:rPr>
        <w:t>, G. (2019). </w:t>
      </w:r>
      <w:r w:rsidRPr="004B4979">
        <w:rPr>
          <w:rFonts w:ascii="Times New Roman" w:hAnsi="Times New Roman" w:cs="Times New Roman"/>
          <w:i/>
          <w:iCs/>
          <w:color w:val="000000" w:themeColor="text1"/>
          <w:lang w:val="en-US"/>
        </w:rPr>
        <w:t>Panel data econometrics with R</w:t>
      </w:r>
      <w:r w:rsidRPr="004B4979">
        <w:rPr>
          <w:rFonts w:ascii="Times New Roman" w:hAnsi="Times New Roman" w:cs="Times New Roman"/>
          <w:color w:val="000000" w:themeColor="text1"/>
          <w:lang w:val="en-US"/>
        </w:rPr>
        <w:t xml:space="preserve">. John Wiley </w:t>
      </w:r>
      <w:r>
        <w:rPr>
          <w:rFonts w:ascii="Times New Roman" w:hAnsi="Times New Roman" w:cs="Times New Roman"/>
          <w:color w:val="000000" w:themeColor="text1"/>
          <w:lang w:val="en-US"/>
        </w:rPr>
        <w:t>&amp;</w:t>
      </w:r>
      <w:r w:rsidRPr="004B4979">
        <w:rPr>
          <w:rFonts w:ascii="Times New Roman" w:hAnsi="Times New Roman" w:cs="Times New Roman"/>
          <w:color w:val="000000" w:themeColor="text1"/>
          <w:lang w:val="en-US"/>
        </w:rPr>
        <w:t xml:space="preserve"> Sons</w:t>
      </w:r>
      <w:r>
        <w:rPr>
          <w:rFonts w:ascii="Times New Roman" w:hAnsi="Times New Roman" w:cs="Times New Roman"/>
          <w:color w:val="000000" w:themeColor="text1"/>
          <w:lang w:val="en-US"/>
        </w:rPr>
        <w:t>.</w:t>
      </w:r>
    </w:p>
    <w:p w14:paraId="3F055B91" w14:textId="6CD22EF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442A8D0E" w14:textId="264B03FD" w:rsidR="005220C4" w:rsidRDefault="0012008A" w:rsidP="005220C4">
      <w:pPr>
        <w:spacing w:after="0" w:line="480" w:lineRule="auto"/>
        <w:ind w:left="720" w:hanging="720"/>
        <w:rPr>
          <w:rFonts w:ascii="Times New Roman" w:hAnsi="Times New Roman" w:cs="Times New Roman"/>
          <w:color w:val="000000" w:themeColor="text1"/>
        </w:rPr>
      </w:pPr>
      <w:bookmarkStart w:id="141" w:name="ref-dalal_within-person_2009"/>
      <w:bookmarkEnd w:id="141"/>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08920F6C" w14:textId="56D15182" w:rsid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Dalal</w:t>
      </w:r>
      <w:proofErr w:type="spellEnd"/>
      <w:r w:rsidRPr="00B9592E">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w:t>
      </w:r>
      <w:r w:rsidRPr="00B9592E">
        <w:rPr>
          <w:rFonts w:ascii="Times New Roman" w:hAnsi="Times New Roman" w:cs="Times New Roman"/>
          <w:color w:val="000000" w:themeColor="text1"/>
        </w:rPr>
        <w:lastRenderedPageBreak/>
        <w:t xml:space="preserve">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69-90). Oxford: Oxford University Press.</w:t>
      </w:r>
    </w:p>
    <w:p w14:paraId="4B969008" w14:textId="5E9155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2" w:name="ref-dawis_note_1978"/>
      <w:bookmarkEnd w:id="142"/>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3" w:name="ref-deci_self-determination_1980"/>
      <w:bookmarkEnd w:id="143"/>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4" w:name="ref-denrell_random_2004"/>
      <w:bookmarkEnd w:id="144"/>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5" w:name="ref-denrell_organizational_2008"/>
      <w:bookmarkEnd w:id="145"/>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6" w:name="ref-denrell_perspectivechance_2014"/>
      <w:bookmarkEnd w:id="146"/>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7" w:name="ref-deshon_motivated_2005"/>
      <w:bookmarkEnd w:id="147"/>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8" w:name="ref-deshon_clarifying_2009"/>
      <w:bookmarkEnd w:id="148"/>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9" w:name="ref-deutsch_study_1955"/>
      <w:bookmarkEnd w:id="149"/>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0" w:name="ref-dew_serendipity_2009"/>
      <w:bookmarkEnd w:id="150"/>
      <w:r w:rsidRPr="00145D8B">
        <w:rPr>
          <w:rFonts w:ascii="Times New Roman" w:hAnsi="Times New Roman" w:cs="Times New Roman"/>
          <w:color w:val="000000" w:themeColor="text1"/>
        </w:rPr>
        <w:lastRenderedPageBreak/>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1" w:name="ref-dickey_distribution_1979"/>
      <w:bookmarkEnd w:id="151"/>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6E078FA6" w14:textId="4779E3F4"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Dickey, D. A., Fuller, W. A. (1981). Likelihood ratio statistics for autoregressive time series with a unit root. </w:t>
      </w:r>
      <w:proofErr w:type="spellStart"/>
      <w:r w:rsidRPr="00C508C0">
        <w:rPr>
          <w:rFonts w:ascii="Times New Roman" w:hAnsi="Times New Roman" w:cs="Times New Roman"/>
          <w:i/>
          <w:iCs/>
          <w:color w:val="000000" w:themeColor="text1"/>
          <w:lang w:val="en-US"/>
        </w:rPr>
        <w:t>Econometrica</w:t>
      </w:r>
      <w:proofErr w:type="spellEnd"/>
      <w:r w:rsidRPr="00C508C0">
        <w:rPr>
          <w:rFonts w:ascii="Times New Roman" w:hAnsi="Times New Roman" w:cs="Times New Roman"/>
          <w:i/>
          <w:iCs/>
          <w:color w:val="000000" w:themeColor="text1"/>
          <w:lang w:val="en-US"/>
        </w:rPr>
        <w:t xml:space="preserve"> 49</w:t>
      </w:r>
      <w:r w:rsidRPr="00C508C0">
        <w:rPr>
          <w:rFonts w:ascii="Times New Roman" w:hAnsi="Times New Roman" w:cs="Times New Roman"/>
          <w:color w:val="000000" w:themeColor="text1"/>
          <w:lang w:val="en-US"/>
        </w:rPr>
        <w:t>:1057–1</w:t>
      </w:r>
    </w:p>
    <w:p w14:paraId="28EB6AF1" w14:textId="7B8A68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p>
    <w:p w14:paraId="6A72620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2" w:name="ref-dobrow_introduction_2016"/>
      <w:bookmarkEnd w:id="152"/>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D1A81">
      <w:pPr>
        <w:pStyle w:val="BodyText"/>
        <w:spacing w:before="0" w:after="0" w:line="480" w:lineRule="auto"/>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5FBE01F7" w14:textId="33DD2AD0" w:rsid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Ehrhart, M. G., &amp; Naumann, S. E. (2004). Organizational citizenship behavior in work groups: A group norms approach.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89</w:t>
      </w:r>
      <w:r w:rsidRPr="00B9592E">
        <w:rPr>
          <w:rFonts w:ascii="Times New Roman" w:hAnsi="Times New Roman" w:cs="Times New Roman"/>
          <w:color w:val="000000" w:themeColor="text1"/>
        </w:rPr>
        <w:t>(6), 960.</w:t>
      </w:r>
    </w:p>
    <w:p w14:paraId="4126EB5A" w14:textId="7E0E095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p>
    <w:p w14:paraId="0D1FA282" w14:textId="570BE2F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3" w:name="ref-enzle_rhetorical_1982"/>
      <w:bookmarkEnd w:id="153"/>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p>
    <w:p w14:paraId="11A9FB4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4" w:name="ref-epstein2008model"/>
      <w:bookmarkEnd w:id="154"/>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4A1D09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5" w:name="ref-epstein_explorations_1979"/>
      <w:bookmarkEnd w:id="155"/>
      <w:r w:rsidRPr="00145D8B">
        <w:rPr>
          <w:rFonts w:ascii="Times New Roman" w:hAnsi="Times New Roman" w:cs="Times New Roman"/>
          <w:color w:val="000000" w:themeColor="text1"/>
        </w:rPr>
        <w:lastRenderedPageBreak/>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p>
    <w:p w14:paraId="23D23BC6" w14:textId="7AB9EF4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6" w:name="ref-fehr_obtaining_1979"/>
      <w:bookmarkEnd w:id="156"/>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p>
    <w:p w14:paraId="0EF4FB84" w14:textId="2507423F"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Ferris, D. L., Fatimah, S., Yan, M., Liang, L. H., Lian, H., &amp; Brown, D. J. (2019). Being sensitive to positives has its negatives: An approach/avoidance perspective on reactivity to ostracism. </w:t>
      </w:r>
      <w:r w:rsidRPr="00C508C0">
        <w:rPr>
          <w:rFonts w:ascii="Times New Roman" w:hAnsi="Times New Roman" w:cs="Times New Roman"/>
          <w:i/>
          <w:iCs/>
          <w:color w:val="000000" w:themeColor="text1"/>
          <w:lang w:val="en-US"/>
        </w:rPr>
        <w:t>Organizational Behavior and Human Decision Processes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152</w:t>
      </w:r>
      <w:r w:rsidRPr="00C508C0">
        <w:rPr>
          <w:rFonts w:ascii="Times New Roman" w:hAnsi="Times New Roman" w:cs="Times New Roman"/>
          <w:color w:val="000000" w:themeColor="text1"/>
          <w:lang w:val="en-US"/>
        </w:rPr>
        <w:t>, 138-149.</w:t>
      </w:r>
    </w:p>
    <w:p w14:paraId="534BF2D2" w14:textId="3B0D79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7" w:name="ref-fleeson_whole_2015"/>
      <w:bookmarkEnd w:id="157"/>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8" w:name="ref-florey_reactions_1997"/>
      <w:bookmarkEnd w:id="158"/>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2B7676D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9" w:name="ref-forgas_asking_1998"/>
      <w:bookmarkEnd w:id="159"/>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p>
    <w:p w14:paraId="779C86E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0" w:name="ref-freedman_compliance_1966"/>
      <w:bookmarkEnd w:id="160"/>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1" w:name="ref-friedrich_primary_1993"/>
      <w:bookmarkEnd w:id="161"/>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2" w:name="ref-galunic_positive_2012"/>
      <w:bookmarkEnd w:id="162"/>
      <w:r w:rsidRPr="00145D8B">
        <w:rPr>
          <w:rFonts w:ascii="Times New Roman" w:hAnsi="Times New Roman" w:cs="Times New Roman"/>
          <w:color w:val="000000" w:themeColor="text1"/>
        </w:rPr>
        <w:lastRenderedPageBreak/>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6CBC3BF4" w14:textId="262952F8"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Gannon, M. J., &amp; Noon, J. P. (1971). Management's critical deficiency Executives unaware of applicable research. </w:t>
      </w:r>
      <w:r w:rsidRPr="005220C4">
        <w:rPr>
          <w:rFonts w:ascii="Times New Roman" w:hAnsi="Times New Roman" w:cs="Times New Roman"/>
          <w:i/>
          <w:iCs/>
          <w:color w:val="000000" w:themeColor="text1"/>
          <w:lang w:val="en-US"/>
        </w:rPr>
        <w:t>Business Horizons</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14</w:t>
      </w:r>
      <w:r w:rsidRPr="005220C4">
        <w:rPr>
          <w:rFonts w:ascii="Times New Roman" w:hAnsi="Times New Roman" w:cs="Times New Roman"/>
          <w:color w:val="000000" w:themeColor="text1"/>
          <w:lang w:val="en-US"/>
        </w:rPr>
        <w:t>(1), 49-56.</w:t>
      </w:r>
    </w:p>
    <w:p w14:paraId="5DE5C653" w14:textId="052162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p>
    <w:p w14:paraId="25EF0AAA" w14:textId="72805FD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George, J. M., &amp; Brief, A. P. (1992). Feeling good-doing good: a conceptual analysis of the mood at work-organizational spontaneity relationship.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112</w:t>
      </w:r>
      <w:r w:rsidRPr="005220C4">
        <w:rPr>
          <w:rFonts w:ascii="Times New Roman" w:hAnsi="Times New Roman" w:cs="Times New Roman"/>
          <w:color w:val="000000" w:themeColor="text1"/>
          <w:lang w:val="en-US"/>
        </w:rPr>
        <w:t>(2), 310.</w:t>
      </w:r>
    </w:p>
    <w:p w14:paraId="52F64FAB" w14:textId="5835E06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1AFE5E5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3" w:name="ref-glomb_doing_2011"/>
      <w:bookmarkEnd w:id="163"/>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p>
    <w:p w14:paraId="01B7F7E3" w14:textId="6FA5678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6A13F7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w:t>
      </w:r>
    </w:p>
    <w:p w14:paraId="7147C3A2" w14:textId="60FD222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4" w:name="ref-graham_consultant_1998"/>
      <w:bookmarkEnd w:id="164"/>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p>
    <w:p w14:paraId="69290FAA" w14:textId="250236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5" w:name="ref-grand_brain_2017"/>
      <w:bookmarkEnd w:id="165"/>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p>
    <w:p w14:paraId="674AE9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6" w:name="ref-grant_give_2014"/>
      <w:bookmarkEnd w:id="166"/>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522D0A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7" w:name="ref-grant_good_2009"/>
      <w:bookmarkEnd w:id="167"/>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p>
    <w:p w14:paraId="660A04D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8" w:name="ref-gray_emergence_2014"/>
      <w:bookmarkEnd w:id="168"/>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9" w:name="ref-greenberg_self-serving_1982"/>
      <w:bookmarkEnd w:id="169"/>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24E0B2B4" w14:textId="218DBD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Grimm, K. J., Ram, N., &amp; Estabrook, R. (2016). </w:t>
      </w:r>
      <w:r w:rsidRPr="00C508C0">
        <w:rPr>
          <w:rFonts w:ascii="Times New Roman" w:hAnsi="Times New Roman" w:cs="Times New Roman"/>
          <w:i/>
          <w:iCs/>
          <w:color w:val="000000" w:themeColor="text1"/>
          <w:lang w:val="en-US"/>
        </w:rPr>
        <w:t>Growth modeling: Structural equation and multilevel modeling approaches</w:t>
      </w:r>
      <w:r w:rsidRPr="00C508C0">
        <w:rPr>
          <w:rFonts w:ascii="Times New Roman" w:hAnsi="Times New Roman" w:cs="Times New Roman"/>
          <w:color w:val="000000" w:themeColor="text1"/>
          <w:lang w:val="en-US"/>
        </w:rPr>
        <w:t>. Guilford Publications.</w:t>
      </w:r>
    </w:p>
    <w:p w14:paraId="1FF1B94D" w14:textId="7EC1217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p>
    <w:p w14:paraId="175E7CD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0" w:name="ref-hansen_search-transfer_1999"/>
      <w:bookmarkEnd w:id="170"/>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1" w:name="ref-heider_social_1944"/>
      <w:bookmarkEnd w:id="171"/>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2" w:name="ref-henderson_how_2012"/>
      <w:bookmarkEnd w:id="172"/>
      <w:r w:rsidRPr="00145D8B">
        <w:rPr>
          <w:rFonts w:ascii="Times New Roman" w:hAnsi="Times New Roman" w:cs="Times New Roman"/>
          <w:color w:val="000000" w:themeColor="text1"/>
        </w:rPr>
        <w:lastRenderedPageBreak/>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3" w:name="ref-highhouse_context-dependent_1996"/>
      <w:bookmarkEnd w:id="173"/>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4" w:name="ref-highhouse_judgment_2013"/>
      <w:bookmarkEnd w:id="174"/>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5" w:name="ref-hilbert_toward_2012"/>
      <w:bookmarkEnd w:id="175"/>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6" w:name="ref-hill_narrative_2006"/>
      <w:bookmarkEnd w:id="176"/>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16">
        <w:r w:rsidRPr="00145D8B">
          <w:rPr>
            <w:rStyle w:val="Hyperlink"/>
            <w:rFonts w:ascii="Times New Roman" w:hAnsi="Times New Roman" w:cs="Times New Roman"/>
            <w:color w:val="000000" w:themeColor="text1"/>
          </w:rPr>
          <w:t>https://doi.org/10.1037/0033-3204.43.2.154</w:t>
        </w:r>
      </w:hyperlink>
    </w:p>
    <w:p w14:paraId="5350425A" w14:textId="1E1DF8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7" w:name="ref-hill_helping_2008"/>
      <w:bookmarkEnd w:id="177"/>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p>
    <w:p w14:paraId="490E64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8" w:name="ref-hill_biased_1997"/>
      <w:bookmarkEnd w:id="178"/>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9" w:name="ref-hills_optimal_2012"/>
      <w:bookmarkEnd w:id="179"/>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0" w:name="ref-hockey_compensatory_1997"/>
      <w:bookmarkEnd w:id="180"/>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4EF9C4EF" w14:textId="32678F79"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lastRenderedPageBreak/>
        <w:t>Hoffman, L. (2015). </w:t>
      </w:r>
      <w:r w:rsidRPr="00C508C0">
        <w:rPr>
          <w:rFonts w:ascii="Times New Roman" w:hAnsi="Times New Roman" w:cs="Times New Roman"/>
          <w:i/>
          <w:iCs/>
          <w:color w:val="000000" w:themeColor="text1"/>
          <w:lang w:val="en-US"/>
        </w:rPr>
        <w:t>Longitudinal analysis: Modeling within-person fluctuation and change</w:t>
      </w:r>
      <w:r w:rsidRPr="00C508C0">
        <w:rPr>
          <w:rFonts w:ascii="Times New Roman" w:hAnsi="Times New Roman" w:cs="Times New Roman"/>
          <w:color w:val="000000" w:themeColor="text1"/>
          <w:lang w:val="en-US"/>
        </w:rPr>
        <w:t>. Routledge.</w:t>
      </w:r>
    </w:p>
    <w:p w14:paraId="536EFED6" w14:textId="3F9B96EC" w:rsidR="00E16936" w:rsidRPr="00145D8B" w:rsidRDefault="00E16936"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1" w:name="ref-hui_instrumental_2000"/>
      <w:bookmarkEnd w:id="181"/>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2" w:name="ref-ilgen_computational_2000"/>
      <w:bookmarkEnd w:id="182"/>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1D1AEED2" w14:textId="554CD2B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Ilies</w:t>
      </w:r>
      <w:proofErr w:type="spellEnd"/>
      <w:r w:rsidRPr="00C508C0">
        <w:rPr>
          <w:rFonts w:ascii="Times New Roman" w:hAnsi="Times New Roman" w:cs="Times New Roman"/>
          <w:color w:val="000000" w:themeColor="text1"/>
          <w:lang w:val="en-US"/>
        </w:rPr>
        <w:t xml:space="preserve">, R., </w:t>
      </w:r>
      <w:proofErr w:type="spellStart"/>
      <w:r w:rsidRPr="00C508C0">
        <w:rPr>
          <w:rFonts w:ascii="Times New Roman" w:hAnsi="Times New Roman" w:cs="Times New Roman"/>
          <w:color w:val="000000" w:themeColor="text1"/>
          <w:lang w:val="en-US"/>
        </w:rPr>
        <w:t>Nahrgang</w:t>
      </w:r>
      <w:proofErr w:type="spellEnd"/>
      <w:r w:rsidRPr="00C508C0">
        <w:rPr>
          <w:rFonts w:ascii="Times New Roman" w:hAnsi="Times New Roman" w:cs="Times New Roman"/>
          <w:color w:val="000000" w:themeColor="text1"/>
          <w:lang w:val="en-US"/>
        </w:rPr>
        <w:t xml:space="preserve">, J. D., &amp; </w:t>
      </w:r>
      <w:proofErr w:type="spellStart"/>
      <w:r w:rsidRPr="00C508C0">
        <w:rPr>
          <w:rFonts w:ascii="Times New Roman" w:hAnsi="Times New Roman" w:cs="Times New Roman"/>
          <w:color w:val="000000" w:themeColor="text1"/>
          <w:lang w:val="en-US"/>
        </w:rPr>
        <w:t>Morgeson</w:t>
      </w:r>
      <w:proofErr w:type="spellEnd"/>
      <w:r w:rsidRPr="00C508C0">
        <w:rPr>
          <w:rFonts w:ascii="Times New Roman" w:hAnsi="Times New Roman" w:cs="Times New Roman"/>
          <w:color w:val="000000" w:themeColor="text1"/>
          <w:lang w:val="en-US"/>
        </w:rPr>
        <w:t>, F. P. (2007). Leader-member exchange and citizenship behaviors: A meta-analysis.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92</w:t>
      </w:r>
      <w:r w:rsidRPr="00C508C0">
        <w:rPr>
          <w:rFonts w:ascii="Times New Roman" w:hAnsi="Times New Roman" w:cs="Times New Roman"/>
          <w:color w:val="000000" w:themeColor="text1"/>
          <w:lang w:val="en-US"/>
        </w:rPr>
        <w:t>(1), 269.</w:t>
      </w:r>
    </w:p>
    <w:p w14:paraId="73E85DEE" w14:textId="4B692E1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3" w:name="ref-inkpen_social_2005"/>
      <w:bookmarkEnd w:id="183"/>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6CFF6DA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4" w:name="ref-jaynes_probability_2003"/>
      <w:bookmarkEnd w:id="184"/>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w:t>
      </w:r>
    </w:p>
    <w:p w14:paraId="296A0B53" w14:textId="4E534E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5" w:name="ref-johns_advances_2018"/>
      <w:bookmarkEnd w:id="185"/>
      <w:r w:rsidRPr="00145D8B">
        <w:rPr>
          <w:rFonts w:ascii="Times New Roman" w:hAnsi="Times New Roman" w:cs="Times New Roman"/>
          <w:color w:val="000000" w:themeColor="text1"/>
        </w:rPr>
        <w:lastRenderedPageBreak/>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p>
    <w:p w14:paraId="6441462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6" w:name="ref-kalick_matching_1986"/>
      <w:bookmarkEnd w:id="186"/>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3FC5C137" w14:textId="0287634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Katz, D., &amp; Kahn, R. L. (1966). </w:t>
      </w:r>
      <w:r w:rsidRPr="005220C4">
        <w:rPr>
          <w:rFonts w:ascii="Times New Roman" w:hAnsi="Times New Roman" w:cs="Times New Roman"/>
          <w:i/>
          <w:iCs/>
          <w:color w:val="000000" w:themeColor="text1"/>
          <w:lang w:val="en-US"/>
        </w:rPr>
        <w:t>The Social Psychology of Organizations</w:t>
      </w:r>
      <w:r w:rsidRPr="005220C4">
        <w:rPr>
          <w:rFonts w:ascii="Times New Roman" w:hAnsi="Times New Roman" w:cs="Times New Roman"/>
          <w:color w:val="000000" w:themeColor="text1"/>
          <w:lang w:val="en-US"/>
        </w:rPr>
        <w:t>. Wiley.</w:t>
      </w:r>
    </w:p>
    <w:p w14:paraId="0555009E" w14:textId="4B776E0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23FD7A8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w:t>
      </w:r>
    </w:p>
    <w:p w14:paraId="17CC6883" w14:textId="1BD79156"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0973367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p>
    <w:p w14:paraId="608030D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7" w:name="ref-kunda_case_1990"/>
      <w:bookmarkEnd w:id="187"/>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27DAA18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8" w:name="ref-lance_ferris_being_2019"/>
      <w:bookmarkEnd w:id="188"/>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p>
    <w:p w14:paraId="7ADD21B4" w14:textId="5CFE6E4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9" w:name="ref-landers_primer_2016"/>
      <w:bookmarkEnd w:id="189"/>
      <w:r w:rsidRPr="00145D8B">
        <w:rPr>
          <w:rFonts w:ascii="Times New Roman" w:hAnsi="Times New Roman" w:cs="Times New Roman"/>
          <w:color w:val="000000" w:themeColor="text1"/>
        </w:rPr>
        <w:lastRenderedPageBreak/>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p>
    <w:p w14:paraId="1063032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0" w:name="ref-langer_semantics_1972"/>
      <w:bookmarkEnd w:id="190"/>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1" w:name="ref-latane_psychology_1981"/>
      <w:bookmarkEnd w:id="191"/>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2" w:name="ref-latane_unresponsive_1970"/>
      <w:bookmarkEnd w:id="192"/>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50D2BC31" w14:textId="358F89AE"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Lawler, E. E., &amp; Porter, L. W. (1967). The effect of performance on job satisfaction. </w:t>
      </w:r>
      <w:r w:rsidRPr="005220C4">
        <w:rPr>
          <w:rFonts w:ascii="Times New Roman" w:hAnsi="Times New Roman" w:cs="Times New Roman"/>
          <w:i/>
          <w:iCs/>
          <w:color w:val="000000" w:themeColor="text1"/>
          <w:lang w:val="en-US"/>
        </w:rPr>
        <w:t>Industrial relations: A journal of Economy and Society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w:t>
      </w:r>
      <w:r w:rsidRPr="005220C4">
        <w:rPr>
          <w:rFonts w:ascii="Times New Roman" w:hAnsi="Times New Roman" w:cs="Times New Roman"/>
          <w:color w:val="000000" w:themeColor="text1"/>
          <w:lang w:val="en-US"/>
        </w:rPr>
        <w:t>(1), 20-28.</w:t>
      </w:r>
    </w:p>
    <w:p w14:paraId="7065D886" w14:textId="2F43A3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4A00F495" w14:textId="08D0CBB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Leana, C. R., &amp; van Buren, H. J. (1999). Organizational Social Capital and Employment Practices. </w:t>
      </w:r>
      <w:r w:rsidRPr="00B9592E">
        <w:rPr>
          <w:rFonts w:ascii="Times New Roman" w:hAnsi="Times New Roman" w:cs="Times New Roman"/>
          <w:i/>
          <w:color w:val="000000" w:themeColor="text1"/>
        </w:rPr>
        <w:t>The Academy of Management Review</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24</w:t>
      </w:r>
      <w:r w:rsidRPr="00B9592E">
        <w:rPr>
          <w:rFonts w:ascii="Times New Roman" w:hAnsi="Times New Roman" w:cs="Times New Roman"/>
          <w:color w:val="000000" w:themeColor="text1"/>
        </w:rPr>
        <w:t xml:space="preserve">(3), 538. </w:t>
      </w:r>
    </w:p>
    <w:p w14:paraId="0C9AC2FB" w14:textId="3DF68EC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169-184). Oxford: Oxford University Press.</w:t>
      </w:r>
    </w:p>
    <w:p w14:paraId="1AAF6D2E" w14:textId="0A80DC9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xml:space="preserve">, J. A., </w:t>
      </w:r>
      <w:proofErr w:type="spellStart"/>
      <w:r w:rsidRPr="005220C4">
        <w:rPr>
          <w:rFonts w:ascii="Times New Roman" w:hAnsi="Times New Roman" w:cs="Times New Roman"/>
          <w:color w:val="000000" w:themeColor="text1"/>
          <w:lang w:val="en-US"/>
        </w:rPr>
        <w:t>Erez</w:t>
      </w:r>
      <w:proofErr w:type="spellEnd"/>
      <w:r w:rsidRPr="005220C4">
        <w:rPr>
          <w:rFonts w:ascii="Times New Roman" w:hAnsi="Times New Roman" w:cs="Times New Roman"/>
          <w:color w:val="000000" w:themeColor="text1"/>
          <w:lang w:val="en-US"/>
        </w:rPr>
        <w:t>, A., &amp; Johnson, D. E. (2002). The nature and dimensionality of organizational citizenship behavior: a critical review and meta-analysis.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87</w:t>
      </w:r>
      <w:r w:rsidRPr="005220C4">
        <w:rPr>
          <w:rFonts w:ascii="Times New Roman" w:hAnsi="Times New Roman" w:cs="Times New Roman"/>
          <w:color w:val="000000" w:themeColor="text1"/>
          <w:lang w:val="en-US"/>
        </w:rPr>
        <w:t>(1), 52.</w:t>
      </w:r>
    </w:p>
    <w:p w14:paraId="0E306EFD" w14:textId="58F3C3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Levashina</w:t>
      </w:r>
      <w:proofErr w:type="spellEnd"/>
      <w:r w:rsidRPr="00145D8B">
        <w:rPr>
          <w:rFonts w:ascii="Times New Roman" w:hAnsi="Times New Roman" w:cs="Times New Roman"/>
          <w:color w:val="000000" w:themeColor="text1"/>
        </w:rPr>
        <w:t xml:space="preserve">,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bookmarkStart w:id="193" w:name="ref-lewin_field_1951"/>
      <w:bookmarkEnd w:id="19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6C9671A8" w14:textId="77777777" w:rsidR="00C508C0" w:rsidRPr="00B9592E" w:rsidRDefault="00C508C0" w:rsidP="00C508C0">
      <w:pPr>
        <w:pStyle w:val="BodyText"/>
        <w:spacing w:before="0" w:after="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Lewin, K. (1951).</w:t>
      </w:r>
      <w:r w:rsidRPr="00B9592E">
        <w:rPr>
          <w:rFonts w:ascii="Times New Roman" w:hAnsi="Times New Roman" w:cs="Times New Roman"/>
          <w:i/>
          <w:iCs/>
          <w:color w:val="000000" w:themeColor="text1"/>
        </w:rPr>
        <w:t xml:space="preserve"> Field theory in social science: selected theoretical papers</w:t>
      </w:r>
      <w:r w:rsidRPr="00B9592E">
        <w:rPr>
          <w:rFonts w:ascii="Times New Roman" w:hAnsi="Times New Roman" w:cs="Times New Roman"/>
          <w:color w:val="000000" w:themeColor="text1"/>
        </w:rPr>
        <w:t xml:space="preserve">. Oxford, </w:t>
      </w:r>
      <w:proofErr w:type="spellStart"/>
      <w:r w:rsidRPr="00B9592E">
        <w:rPr>
          <w:rFonts w:ascii="Times New Roman" w:hAnsi="Times New Roman" w:cs="Times New Roman"/>
          <w:color w:val="000000" w:themeColor="text1"/>
        </w:rPr>
        <w:t>Englnd</w:t>
      </w:r>
      <w:proofErr w:type="spellEnd"/>
      <w:r w:rsidRPr="00B9592E">
        <w:rPr>
          <w:rFonts w:ascii="Times New Roman" w:hAnsi="Times New Roman" w:cs="Times New Roman"/>
          <w:color w:val="000000" w:themeColor="text1"/>
        </w:rPr>
        <w:t xml:space="preserve">: Harpers. </w:t>
      </w:r>
    </w:p>
    <w:p w14:paraId="53ED1B5D" w14:textId="6BDD54C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53B8360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p>
    <w:p w14:paraId="567A479A" w14:textId="5996409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0F1C82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p>
    <w:p w14:paraId="508DC636" w14:textId="11DAB9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4" w:name="ref-liu_good_2016"/>
      <w:bookmarkEnd w:id="194"/>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p>
    <w:p w14:paraId="69F9F6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5" w:name="ref-liu_organizational_2017"/>
      <w:bookmarkEnd w:id="195"/>
      <w:r w:rsidRPr="00145D8B">
        <w:rPr>
          <w:rFonts w:ascii="Times New Roman" w:hAnsi="Times New Roman" w:cs="Times New Roman"/>
          <w:color w:val="000000" w:themeColor="text1"/>
        </w:rPr>
        <w:lastRenderedPageBreak/>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6" w:name="ref-lord_moving_1994"/>
      <w:bookmarkEnd w:id="19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6B158350" w14:textId="09F93C5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MacKenzie</w:t>
      </w:r>
      <w:proofErr w:type="spellEnd"/>
      <w:r w:rsidRPr="00B9592E">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B9592E">
        <w:rPr>
          <w:rFonts w:ascii="Times New Roman" w:hAnsi="Times New Roman" w:cs="Times New Roman"/>
          <w:i/>
          <w:color w:val="000000" w:themeColor="text1"/>
        </w:rPr>
        <w:t>Organizational Behavior and Human Decision Processes</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50</w:t>
      </w:r>
      <w:r w:rsidRPr="00B9592E">
        <w:rPr>
          <w:rFonts w:ascii="Times New Roman" w:hAnsi="Times New Roman" w:cs="Times New Roman"/>
          <w:color w:val="000000" w:themeColor="text1"/>
        </w:rPr>
        <w:t>(1), 123–150.</w:t>
      </w:r>
    </w:p>
    <w:p w14:paraId="6B410F7E" w14:textId="04311C4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Podsakoff, P. M., &amp; Podsakoff, N. P. (2011). Challenge‐oriented organizational citizenship behaviors and organizational effectiveness: Do challenge‐oriented behaviors really have an impact on the organization's bottom line?. </w:t>
      </w:r>
      <w:r w:rsidRPr="005220C4">
        <w:rPr>
          <w:rFonts w:ascii="Times New Roman" w:hAnsi="Times New Roman" w:cs="Times New Roman"/>
          <w:i/>
          <w:iCs/>
          <w:color w:val="000000" w:themeColor="text1"/>
          <w:lang w:val="en-US"/>
        </w:rPr>
        <w:t>Personnel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64</w:t>
      </w:r>
      <w:r w:rsidRPr="005220C4">
        <w:rPr>
          <w:rFonts w:ascii="Times New Roman" w:hAnsi="Times New Roman" w:cs="Times New Roman"/>
          <w:color w:val="000000" w:themeColor="text1"/>
          <w:lang w:val="en-US"/>
        </w:rPr>
        <w:t>(3), 559-592.</w:t>
      </w:r>
    </w:p>
    <w:p w14:paraId="1AD41FC9" w14:textId="1D643C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(1991). Critical values for cointegration tests. In R. F. Engle &amp; C. W. Granger (Eds.), </w:t>
      </w:r>
      <w:proofErr w:type="spellStart"/>
      <w:r w:rsidRPr="00C508C0">
        <w:rPr>
          <w:rFonts w:ascii="Times New Roman" w:hAnsi="Times New Roman" w:cs="Times New Roman"/>
          <w:i/>
          <w:iCs/>
          <w:color w:val="000000" w:themeColor="text1"/>
          <w:lang w:val="en-US"/>
        </w:rPr>
        <w:t>Longrun</w:t>
      </w:r>
      <w:proofErr w:type="spellEnd"/>
      <w:r w:rsidRPr="00C508C0">
        <w:rPr>
          <w:rFonts w:ascii="Times New Roman" w:hAnsi="Times New Roman" w:cs="Times New Roman"/>
          <w:i/>
          <w:iCs/>
          <w:color w:val="000000" w:themeColor="text1"/>
          <w:lang w:val="en-US"/>
        </w:rPr>
        <w:t xml:space="preserve"> economic relationships: Readings in cointegration</w:t>
      </w:r>
      <w:r w:rsidRPr="00C508C0">
        <w:rPr>
          <w:rFonts w:ascii="Times New Roman" w:hAnsi="Times New Roman" w:cs="Times New Roman"/>
          <w:color w:val="000000" w:themeColor="text1"/>
          <w:lang w:val="en-US"/>
        </w:rPr>
        <w:t xml:space="preserve"> (pp. 267–276). Oxford: Oxford University Press.</w:t>
      </w:r>
    </w:p>
    <w:p w14:paraId="0CF5A1CB" w14:textId="1D66F8C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(1994). Approximate asymptotic distribution functions for unit-root and cointegration tests. </w:t>
      </w:r>
      <w:r w:rsidRPr="00C508C0">
        <w:rPr>
          <w:rFonts w:ascii="Times New Roman" w:hAnsi="Times New Roman" w:cs="Times New Roman"/>
          <w:i/>
          <w:iCs/>
          <w:color w:val="000000" w:themeColor="text1"/>
          <w:lang w:val="en-US"/>
        </w:rPr>
        <w:t>Journal of Business and Economic Statistics</w:t>
      </w:r>
      <w:r w:rsidRPr="00C508C0">
        <w:rPr>
          <w:rFonts w:ascii="Times New Roman" w:hAnsi="Times New Roman" w:cs="Times New Roman"/>
          <w:color w:val="000000" w:themeColor="text1"/>
          <w:lang w:val="en-US"/>
        </w:rPr>
        <w:t>, 12, 167–176.</w:t>
      </w:r>
    </w:p>
    <w:p w14:paraId="48A74268" w14:textId="6EA02C9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p>
    <w:p w14:paraId="53AB608E" w14:textId="75B33C9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7" w:name="ref-matta_not_2020"/>
      <w:bookmarkEnd w:id="197"/>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w:t>
      </w:r>
      <w:r w:rsidRPr="00145D8B">
        <w:rPr>
          <w:rFonts w:ascii="Times New Roman" w:hAnsi="Times New Roman" w:cs="Times New Roman"/>
          <w:color w:val="000000" w:themeColor="text1"/>
        </w:rPr>
        <w:lastRenderedPageBreak/>
        <w:t xml:space="preserve">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(3), 274–293.</w:t>
      </w:r>
      <w:r w:rsidR="00C508C0" w:rsidRPr="00145D8B">
        <w:rPr>
          <w:rFonts w:ascii="Times New Roman" w:hAnsi="Times New Roman" w:cs="Times New Roman"/>
          <w:color w:val="000000" w:themeColor="text1"/>
        </w:rPr>
        <w:t xml:space="preserve"> </w:t>
      </w:r>
    </w:p>
    <w:p w14:paraId="0A1CEF20" w14:textId="313725E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Matta, F. K., </w:t>
      </w:r>
      <w:proofErr w:type="spellStart"/>
      <w:r w:rsidRPr="00C508C0">
        <w:rPr>
          <w:rFonts w:ascii="Times New Roman" w:hAnsi="Times New Roman" w:cs="Times New Roman"/>
          <w:color w:val="000000" w:themeColor="text1"/>
          <w:lang w:val="en-US"/>
        </w:rPr>
        <w:t>Sabey</w:t>
      </w:r>
      <w:proofErr w:type="spellEnd"/>
      <w:r w:rsidRPr="00C508C0">
        <w:rPr>
          <w:rFonts w:ascii="Times New Roman" w:hAnsi="Times New Roman" w:cs="Times New Roman"/>
          <w:color w:val="000000" w:themeColor="text1"/>
          <w:lang w:val="en-US"/>
        </w:rPr>
        <w:t>, T. B., Scott, B. A., Lin, S. H. J., &amp; Koopman, J. (2020). Not all fairness is created equal: A study of employee attributions of supervisor justice motives.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105</w:t>
      </w:r>
      <w:r w:rsidRPr="00C508C0">
        <w:rPr>
          <w:rFonts w:ascii="Times New Roman" w:hAnsi="Times New Roman" w:cs="Times New Roman"/>
          <w:color w:val="000000" w:themeColor="text1"/>
          <w:lang w:val="en-US"/>
        </w:rPr>
        <w:t>(3), 274.</w:t>
      </w:r>
    </w:p>
    <w:p w14:paraId="70A3FA14" w14:textId="61B8D05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98" w:name="ref-methot_good_2017"/>
      <w:bookmarkEnd w:id="198"/>
    </w:p>
    <w:p w14:paraId="5DBDD0F1" w14:textId="1C57C7F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p>
    <w:p w14:paraId="56059B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9" w:name="ref-mischel_cognitive-affective_1995"/>
      <w:bookmarkEnd w:id="199"/>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0" w:name="ref-mlodinow_drunkards_2008"/>
      <w:bookmarkEnd w:id="200"/>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01683529" w14:textId="3B45101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&amp; Van </w:t>
      </w:r>
      <w:proofErr w:type="spellStart"/>
      <w:r w:rsidRPr="005220C4">
        <w:rPr>
          <w:rFonts w:ascii="Times New Roman" w:hAnsi="Times New Roman" w:cs="Times New Roman"/>
          <w:color w:val="000000" w:themeColor="text1"/>
          <w:lang w:val="en-US"/>
        </w:rPr>
        <w:t>Scotter</w:t>
      </w:r>
      <w:proofErr w:type="spellEnd"/>
      <w:r w:rsidRPr="005220C4">
        <w:rPr>
          <w:rFonts w:ascii="Times New Roman" w:hAnsi="Times New Roman" w:cs="Times New Roman"/>
          <w:color w:val="000000" w:themeColor="text1"/>
          <w:lang w:val="en-US"/>
        </w:rPr>
        <w:t>, J. R. (1994). Evidence that task performance should be distinguished from contextual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79</w:t>
      </w:r>
      <w:r w:rsidRPr="005220C4">
        <w:rPr>
          <w:rFonts w:ascii="Times New Roman" w:hAnsi="Times New Roman" w:cs="Times New Roman"/>
          <w:color w:val="000000" w:themeColor="text1"/>
          <w:lang w:val="en-US"/>
        </w:rPr>
        <w:t>(4), 475.</w:t>
      </w:r>
    </w:p>
    <w:p w14:paraId="2559E187" w14:textId="31C2E1A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(4), 1033–1053.</w:t>
      </w:r>
      <w:r w:rsidR="00FA77AE" w:rsidRPr="00145D8B">
        <w:rPr>
          <w:rFonts w:ascii="Times New Roman" w:hAnsi="Times New Roman" w:cs="Times New Roman"/>
          <w:color w:val="000000" w:themeColor="text1"/>
        </w:rPr>
        <w:t xml:space="preserve"> </w:t>
      </w:r>
    </w:p>
    <w:p w14:paraId="042DB6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1" w:name="ref-nahapiet_social_1998"/>
      <w:bookmarkEnd w:id="201"/>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390233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p>
    <w:p w14:paraId="2354BBE3" w14:textId="627837D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2" w:name="ref-newman_recruitment_2009"/>
      <w:bookmarkEnd w:id="202"/>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(2), 298–317.</w:t>
      </w:r>
    </w:p>
    <w:p w14:paraId="4E46AD32" w14:textId="0FEE83FA" w:rsid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Ng, S., &amp; Perron, P. (1995). Unit root tests in ARMA models with data-dependent methods for the selection of the truncation lag. </w:t>
      </w:r>
      <w:r w:rsidRPr="00C508C0">
        <w:rPr>
          <w:rFonts w:ascii="Times New Roman" w:hAnsi="Times New Roman" w:cs="Times New Roman"/>
          <w:i/>
          <w:iCs/>
          <w:color w:val="000000" w:themeColor="text1"/>
          <w:lang w:val="en-US"/>
        </w:rPr>
        <w:t>Journal of the American Statistical Association</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90</w:t>
      </w:r>
      <w:r w:rsidRPr="00C508C0">
        <w:rPr>
          <w:rFonts w:ascii="Times New Roman" w:hAnsi="Times New Roman" w:cs="Times New Roman"/>
          <w:color w:val="000000" w:themeColor="text1"/>
          <w:lang w:val="en-US"/>
        </w:rPr>
        <w:t>(429), 268-281.</w:t>
      </w:r>
    </w:p>
    <w:p w14:paraId="289C84D5" w14:textId="6F168705"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Organ, D. W. (1977). A reappraisal and reinterpretation of the satisfaction-causes-performance hypothesis. </w:t>
      </w:r>
      <w:r w:rsidRPr="005220C4">
        <w:rPr>
          <w:rFonts w:ascii="Times New Roman" w:hAnsi="Times New Roman" w:cs="Times New Roman"/>
          <w:i/>
          <w:iCs/>
          <w:color w:val="000000" w:themeColor="text1"/>
          <w:lang w:val="en-US"/>
        </w:rPr>
        <w:t>Academy of management Review</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w:t>
      </w:r>
      <w:r w:rsidRPr="005220C4">
        <w:rPr>
          <w:rFonts w:ascii="Times New Roman" w:hAnsi="Times New Roman" w:cs="Times New Roman"/>
          <w:color w:val="000000" w:themeColor="text1"/>
          <w:lang w:val="en-US"/>
        </w:rPr>
        <w:t>(1), 46-53.</w:t>
      </w:r>
    </w:p>
    <w:p w14:paraId="04B8A9CB" w14:textId="232DA19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3" w:name="ref-organ_organizational_2005"/>
      <w:bookmarkEnd w:id="203"/>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3AF0037" w14:textId="53C9469F" w:rsidR="00C508C0" w:rsidRDefault="00C508C0" w:rsidP="00C508C0">
      <w:pPr>
        <w:pStyle w:val="BodyText"/>
        <w:spacing w:before="0" w:line="480" w:lineRule="auto"/>
        <w:ind w:left="720" w:hanging="720"/>
        <w:rPr>
          <w:rFonts w:ascii="Times New Roman" w:hAnsi="Times New Roman" w:cs="Times New Roman"/>
          <w:color w:val="000000" w:themeColor="text1"/>
        </w:rPr>
      </w:pPr>
      <w:bookmarkStart w:id="204" w:name="ref-organ_meta-analytic_1995"/>
      <w:bookmarkEnd w:id="204"/>
      <w:r w:rsidRPr="00B9592E">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B9592E">
        <w:rPr>
          <w:rFonts w:ascii="Times New Roman" w:hAnsi="Times New Roman" w:cs="Times New Roman"/>
          <w:color w:val="000000" w:themeColor="text1"/>
        </w:rPr>
        <w:t>Zedeck</w:t>
      </w:r>
      <w:proofErr w:type="spellEnd"/>
      <w:r w:rsidRPr="00B9592E">
        <w:rPr>
          <w:rFonts w:ascii="Times New Roman" w:hAnsi="Times New Roman" w:cs="Times New Roman"/>
          <w:color w:val="000000" w:themeColor="text1"/>
        </w:rPr>
        <w:t xml:space="preserve"> (Ed.), </w:t>
      </w:r>
      <w:r w:rsidRPr="00B9592E">
        <w:rPr>
          <w:rFonts w:ascii="Times New Roman" w:hAnsi="Times New Roman" w:cs="Times New Roman"/>
          <w:i/>
          <w:iCs/>
          <w:color w:val="000000" w:themeColor="text1"/>
        </w:rPr>
        <w:t>APA handbook of industrial and organizational psychology</w:t>
      </w:r>
      <w:r w:rsidRPr="00B9592E">
        <w:rPr>
          <w:rFonts w:ascii="Times New Roman" w:hAnsi="Times New Roman" w:cs="Times New Roman"/>
          <w:color w:val="000000" w:themeColor="text1"/>
        </w:rPr>
        <w:t xml:space="preserve"> (Vol. 2, pp. 281-323). Washington, DC: American Psychological Association.</w:t>
      </w:r>
    </w:p>
    <w:p w14:paraId="7F5244F0" w14:textId="1E490E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5" w:name="ref-paciello_high_2013"/>
      <w:bookmarkEnd w:id="205"/>
      <w:r w:rsidRPr="00145D8B">
        <w:rPr>
          <w:rFonts w:ascii="Times New Roman" w:hAnsi="Times New Roman" w:cs="Times New Roman"/>
          <w:color w:val="000000" w:themeColor="text1"/>
        </w:rPr>
        <w:lastRenderedPageBreak/>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6" w:name="ref-pan_social_2017"/>
      <w:bookmarkEnd w:id="20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1723DFC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7" w:name="ref-guihyun_park_why_2019"/>
      <w:bookmarkEnd w:id="20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(1), 78–92.</w:t>
      </w:r>
      <w:r w:rsidR="00FA77AE" w:rsidRPr="00145D8B">
        <w:rPr>
          <w:rFonts w:ascii="Times New Roman" w:hAnsi="Times New Roman" w:cs="Times New Roman"/>
          <w:color w:val="000000" w:themeColor="text1"/>
        </w:rPr>
        <w:t xml:space="preserve"> </w:t>
      </w:r>
    </w:p>
    <w:p w14:paraId="0B53B204" w14:textId="5954802E"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5DCA5BD0" w14:textId="38A23986"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Podsakoff, P. M., &amp; </w:t>
      </w: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(1997). Impact of organizational citizenship behavior on organizational performance: A review and suggestion for future research. </w:t>
      </w:r>
      <w:r w:rsidRPr="005220C4">
        <w:rPr>
          <w:rFonts w:ascii="Times New Roman" w:hAnsi="Times New Roman" w:cs="Times New Roman"/>
          <w:i/>
          <w:iCs/>
          <w:color w:val="000000" w:themeColor="text1"/>
          <w:lang w:val="en-US"/>
        </w:rPr>
        <w:t>Human performance</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10</w:t>
      </w:r>
      <w:r w:rsidRPr="005220C4">
        <w:rPr>
          <w:rFonts w:ascii="Times New Roman" w:hAnsi="Times New Roman" w:cs="Times New Roman"/>
          <w:color w:val="000000" w:themeColor="text1"/>
          <w:lang w:val="en-US"/>
        </w:rPr>
        <w:t>(2), 133-151.</w:t>
      </w:r>
    </w:p>
    <w:p w14:paraId="750689A8" w14:textId="468E57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8" w:name="ref-podsakoff_oxford_2018"/>
      <w:bookmarkEnd w:id="208"/>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9" w:name="ref-polson_good_2012"/>
      <w:bookmarkEnd w:id="209"/>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0" w:name="ref-powers_feedback_1973"/>
      <w:bookmarkEnd w:id="210"/>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02F2C5F2" w14:textId="499463E5" w:rsidR="004B4979" w:rsidRPr="004B4979" w:rsidRDefault="004B4979" w:rsidP="004B4979">
      <w:pPr>
        <w:rPr>
          <w:rFonts w:ascii="Times New Roman" w:eastAsia="Times New Roman" w:hAnsi="Times New Roman" w:cs="Times New Roman"/>
        </w:rPr>
      </w:pPr>
      <w:bookmarkStart w:id="211" w:name="ref-reike_one_2016"/>
      <w:bookmarkEnd w:id="211"/>
      <w:r w:rsidRPr="00B9592E">
        <w:rPr>
          <w:rFonts w:ascii="Times New Roman" w:eastAsia="Times New Roman" w:hAnsi="Times New Roman" w:cs="Times New Roman"/>
          <w:color w:val="222222"/>
          <w:shd w:val="clear" w:color="auto" w:fill="FFFFFF"/>
        </w:rPr>
        <w:t>Racine, J. S. (2019). </w:t>
      </w:r>
      <w:r w:rsidRPr="00B9592E">
        <w:rPr>
          <w:rFonts w:ascii="Times New Roman" w:eastAsia="Times New Roman" w:hAnsi="Times New Roman" w:cs="Times New Roman"/>
          <w:i/>
          <w:iCs/>
          <w:color w:val="222222"/>
          <w:shd w:val="clear" w:color="auto" w:fill="FFFFFF"/>
        </w:rPr>
        <w:t>Reproducible econometrics using R</w:t>
      </w:r>
      <w:r w:rsidRPr="00B9592E">
        <w:rPr>
          <w:rFonts w:ascii="Times New Roman" w:eastAsia="Times New Roman" w:hAnsi="Times New Roman" w:cs="Times New Roman"/>
          <w:color w:val="222222"/>
          <w:shd w:val="clear" w:color="auto" w:fill="FFFFFF"/>
        </w:rPr>
        <w:t>. Oxford University Press, USA.</w:t>
      </w:r>
    </w:p>
    <w:p w14:paraId="3EFB1CFA" w14:textId="7635A4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2" w:name="ref-reinholt_why_2011"/>
      <w:bookmarkEnd w:id="212"/>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3" w:name="ref-riccaboni_size_2008"/>
      <w:bookmarkEnd w:id="213"/>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4" w:name="ref-rich_job_2010"/>
      <w:bookmarkEnd w:id="214"/>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276CDC3A" w14:textId="286A9E8C"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Roethlisberger, F. J., &amp; Dickson, W. J. (1939). </w:t>
      </w:r>
      <w:r w:rsidRPr="005220C4">
        <w:rPr>
          <w:rFonts w:ascii="Times New Roman" w:hAnsi="Times New Roman" w:cs="Times New Roman"/>
          <w:i/>
          <w:iCs/>
          <w:color w:val="000000" w:themeColor="text1"/>
          <w:lang w:val="en-US"/>
        </w:rPr>
        <w:t>Management and the Worker</w:t>
      </w:r>
      <w:r w:rsidRPr="005220C4">
        <w:rPr>
          <w:rFonts w:ascii="Times New Roman" w:hAnsi="Times New Roman" w:cs="Times New Roman"/>
          <w:color w:val="000000" w:themeColor="text1"/>
          <w:lang w:val="en-US"/>
        </w:rPr>
        <w:t>. New York, NY: Wiley &amp; Sons.</w:t>
      </w:r>
    </w:p>
    <w:p w14:paraId="34096E04" w14:textId="162BBFE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5" w:name="ref-ross_egocentric_1979"/>
      <w:bookmarkEnd w:id="215"/>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20E2E9E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6" w:name="ref-ross_introduction_2014"/>
      <w:bookmarkEnd w:id="216"/>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p>
    <w:p w14:paraId="5A3D9E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7" w:name="ref-saloner_strategic_2001"/>
      <w:bookmarkEnd w:id="217"/>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222904DF" w14:textId="0E26FCBB"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Said, S. E., &amp; Dickey, D. A. (1984). Testing for unit roots in autoregressive-moving average models of unknown order. </w:t>
      </w:r>
      <w:proofErr w:type="spellStart"/>
      <w:r w:rsidRPr="00C508C0">
        <w:rPr>
          <w:rFonts w:ascii="Times New Roman" w:hAnsi="Times New Roman" w:cs="Times New Roman"/>
          <w:i/>
          <w:iCs/>
          <w:color w:val="000000" w:themeColor="text1"/>
          <w:lang w:val="en-US"/>
        </w:rPr>
        <w:t>Biometrika</w:t>
      </w:r>
      <w:proofErr w:type="spellEnd"/>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71</w:t>
      </w:r>
      <w:r w:rsidRPr="00C508C0">
        <w:rPr>
          <w:rFonts w:ascii="Times New Roman" w:hAnsi="Times New Roman" w:cs="Times New Roman"/>
          <w:color w:val="000000" w:themeColor="text1"/>
          <w:lang w:val="en-US"/>
        </w:rPr>
        <w:t>(3), 599-607.</w:t>
      </w:r>
    </w:p>
    <w:p w14:paraId="08FF4B65" w14:textId="49F39F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8" w:name="ref-seibert_social_2001"/>
      <w:bookmarkEnd w:id="218"/>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9" w:name="ref-shiffman_ecological_2009"/>
      <w:bookmarkEnd w:id="219"/>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0EE2765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0" w:name="ref-short_concept_2010"/>
      <w:bookmarkEnd w:id="220"/>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p>
    <w:p w14:paraId="4AAE080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1" w:name="ref-shreve_stochastic_2004"/>
      <w:bookmarkEnd w:id="221"/>
      <w:r w:rsidRPr="00145D8B">
        <w:rPr>
          <w:rFonts w:ascii="Times New Roman" w:hAnsi="Times New Roman" w:cs="Times New Roman"/>
          <w:color w:val="000000" w:themeColor="text1"/>
        </w:rPr>
        <w:lastRenderedPageBreak/>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2" w:name="ref-simon_behavioral_1955"/>
      <w:bookmarkEnd w:id="222"/>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3" w:name="ref-simon_rational_1956"/>
      <w:bookmarkEnd w:id="223"/>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4" w:name="ref-simon_bounded_1991"/>
      <w:bookmarkEnd w:id="224"/>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5" w:name="ref-simon_what_1992"/>
      <w:bookmarkEnd w:id="225"/>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EC3807B" w14:textId="3EFC0FDB" w:rsid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Singer, P. (2010). </w:t>
      </w:r>
      <w:r w:rsidRPr="004B4979">
        <w:rPr>
          <w:rFonts w:ascii="Times New Roman" w:hAnsi="Times New Roman" w:cs="Times New Roman"/>
          <w:i/>
          <w:iCs/>
          <w:color w:val="000000" w:themeColor="text1"/>
          <w:lang w:val="en-US"/>
        </w:rPr>
        <w:t>The life you can save: How to do your part to end world poverty</w:t>
      </w:r>
      <w:r w:rsidRPr="004B4979">
        <w:rPr>
          <w:rFonts w:ascii="Times New Roman" w:hAnsi="Times New Roman" w:cs="Times New Roman"/>
          <w:color w:val="000000" w:themeColor="text1"/>
          <w:lang w:val="en-US"/>
        </w:rPr>
        <w:t>. Random House Incorporated.</w:t>
      </w:r>
    </w:p>
    <w:p w14:paraId="3753B770" w14:textId="467B99AE"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Singer, J. D., &amp; Willett, J. B. (2003). </w:t>
      </w:r>
      <w:r w:rsidRPr="00C508C0">
        <w:rPr>
          <w:rFonts w:ascii="Times New Roman" w:hAnsi="Times New Roman" w:cs="Times New Roman"/>
          <w:i/>
          <w:iCs/>
          <w:color w:val="000000" w:themeColor="text1"/>
          <w:lang w:val="en-US"/>
        </w:rPr>
        <w:t>Applied longitudinal data analysis: Modeling change and event occurrence</w:t>
      </w:r>
      <w:r w:rsidRPr="00C508C0">
        <w:rPr>
          <w:rFonts w:ascii="Times New Roman" w:hAnsi="Times New Roman" w:cs="Times New Roman"/>
          <w:color w:val="000000" w:themeColor="text1"/>
          <w:lang w:val="en-US"/>
        </w:rPr>
        <w:t>. Oxford university press.</w:t>
      </w:r>
    </w:p>
    <w:p w14:paraId="0F97DE2A" w14:textId="755D14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p>
    <w:p w14:paraId="5032AE4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6" w:name="ref-smaldino2015theory"/>
      <w:bookmarkEnd w:id="226"/>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7" w:name="ref-smith_organizational_1983"/>
      <w:bookmarkEnd w:id="227"/>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8" w:name="ref-smith2007agent"/>
      <w:bookmarkEnd w:id="228"/>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9" w:name="ref-sternberg_use_2001"/>
      <w:bookmarkEnd w:id="229"/>
      <w:r w:rsidRPr="00145D8B">
        <w:rPr>
          <w:rFonts w:ascii="Times New Roman" w:hAnsi="Times New Roman" w:cs="Times New Roman"/>
          <w:color w:val="000000" w:themeColor="text1"/>
        </w:rPr>
        <w:lastRenderedPageBreak/>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3828193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0" w:name="ref-stewart_adaptation_2006"/>
      <w:bookmarkEnd w:id="230"/>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w:t>
      </w:r>
    </w:p>
    <w:p w14:paraId="6BBE980A" w14:textId="1D4341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1" w:name="ref-stewart_exploring_2007"/>
      <w:bookmarkEnd w:id="231"/>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p>
    <w:p w14:paraId="09DB9C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2" w:name="ref-taleb_fooled_2005"/>
      <w:bookmarkEnd w:id="232"/>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3" w:name="ref-tett_situation_2000"/>
      <w:bookmarkEnd w:id="233"/>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069BACD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4" w:name="ref-tews_helping_2009"/>
      <w:bookmarkEnd w:id="234"/>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p>
    <w:p w14:paraId="667381A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5" w:name="ref-thorsteinson_anchoring_2008"/>
      <w:bookmarkEnd w:id="235"/>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6" w:name="ref-tijms_understanding_2012"/>
      <w:bookmarkEnd w:id="236"/>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3795BDB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7" w:name="ref-vancouver_using_2016"/>
      <w:bookmarkEnd w:id="237"/>
      <w:r w:rsidRPr="00145D8B">
        <w:rPr>
          <w:rFonts w:ascii="Times New Roman" w:hAnsi="Times New Roman" w:cs="Times New Roman"/>
          <w:color w:val="000000" w:themeColor="text1"/>
        </w:rPr>
        <w:lastRenderedPageBreak/>
        <w:t>Vancouver, J. B., Li, X., Weinhardt, J. M., Steel, P., &amp; Purl, J. D. (2016). Using a Computational Model to Understand Possible Sources of Skews in Distributions of Job Performance</w:t>
      </w:r>
      <w:r w:rsidR="00FA77AE">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p>
    <w:p w14:paraId="2B49A1B0" w14:textId="46FAA72F"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24836242" w14:textId="4AEF05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Van Dyne, L., &amp; </w:t>
      </w: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J. A. (1998). Helping and voice extra-role behaviors: Evidence of construct and predictive validity.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41</w:t>
      </w:r>
      <w:r w:rsidRPr="005220C4">
        <w:rPr>
          <w:rFonts w:ascii="Times New Roman" w:hAnsi="Times New Roman" w:cs="Times New Roman"/>
          <w:color w:val="000000" w:themeColor="text1"/>
          <w:lang w:val="en-US"/>
        </w:rPr>
        <w:t>(1), 108-119.</w:t>
      </w:r>
    </w:p>
    <w:p w14:paraId="163C65FB" w14:textId="08A9AC9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p>
    <w:p w14:paraId="3DD253AE" w14:textId="71E403D5"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Van </w:t>
      </w:r>
      <w:proofErr w:type="spellStart"/>
      <w:r w:rsidRPr="00B9592E">
        <w:rPr>
          <w:rFonts w:ascii="Times New Roman" w:hAnsi="Times New Roman" w:cs="Times New Roman"/>
          <w:color w:val="000000" w:themeColor="text1"/>
        </w:rPr>
        <w:t>Scotter</w:t>
      </w:r>
      <w:proofErr w:type="spellEnd"/>
      <w:r w:rsidRPr="00B9592E">
        <w:rPr>
          <w:rFonts w:ascii="Times New Roman" w:hAnsi="Times New Roman" w:cs="Times New Roman"/>
          <w:color w:val="000000" w:themeColor="text1"/>
        </w:rPr>
        <w:t xml:space="preserve">, J., </w:t>
      </w:r>
      <w:proofErr w:type="spellStart"/>
      <w:r w:rsidRPr="00B9592E">
        <w:rPr>
          <w:rFonts w:ascii="Times New Roman" w:hAnsi="Times New Roman" w:cs="Times New Roman"/>
          <w:color w:val="000000" w:themeColor="text1"/>
        </w:rPr>
        <w:t>Motowidlo</w:t>
      </w:r>
      <w:proofErr w:type="spellEnd"/>
      <w:r w:rsidRPr="00B9592E">
        <w:rPr>
          <w:rFonts w:ascii="Times New Roman" w:hAnsi="Times New Roman" w:cs="Times New Roman"/>
          <w:color w:val="000000" w:themeColor="text1"/>
        </w:rPr>
        <w:t xml:space="preserve">, S. J., &amp; Cross, T. C. (2000). Effects of task performance and contextual performance on systemic rewards.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85</w:t>
      </w:r>
      <w:r w:rsidRPr="00B9592E">
        <w:rPr>
          <w:rFonts w:ascii="Times New Roman" w:hAnsi="Times New Roman" w:cs="Times New Roman"/>
          <w:color w:val="000000" w:themeColor="text1"/>
        </w:rPr>
        <w:t>(4), 526.</w:t>
      </w:r>
    </w:p>
    <w:p w14:paraId="18414710" w14:textId="6EAB54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Viteles</w:t>
      </w:r>
      <w:proofErr w:type="spellEnd"/>
      <w:r w:rsidRPr="005220C4">
        <w:rPr>
          <w:rFonts w:ascii="Times New Roman" w:hAnsi="Times New Roman" w:cs="Times New Roman"/>
          <w:color w:val="000000" w:themeColor="text1"/>
          <w:lang w:val="en-US"/>
        </w:rPr>
        <w:t>, M. S. (1953)</w:t>
      </w:r>
      <w:r w:rsidRPr="005220C4">
        <w:rPr>
          <w:rFonts w:ascii="Times New Roman" w:hAnsi="Times New Roman" w:cs="Times New Roman"/>
          <w:i/>
          <w:iCs/>
          <w:color w:val="000000" w:themeColor="text1"/>
          <w:lang w:val="en-US"/>
        </w:rPr>
        <w:t>. Motivation and morale in industry</w:t>
      </w:r>
      <w:r w:rsidRPr="005220C4">
        <w:rPr>
          <w:rFonts w:ascii="Times New Roman" w:hAnsi="Times New Roman" w:cs="Times New Roman"/>
          <w:color w:val="000000" w:themeColor="text1"/>
          <w:lang w:val="en-US"/>
        </w:rPr>
        <w:t>. New York, NY: Norton.</w:t>
      </w:r>
    </w:p>
    <w:p w14:paraId="2620FE70" w14:textId="791A7F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p>
    <w:p w14:paraId="5ACDE7A0" w14:textId="762B604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8" w:name="ref-waddell_its_2015"/>
      <w:bookmarkEnd w:id="23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(1), 112–129</w:t>
      </w:r>
      <w:r w:rsidR="00FA77AE">
        <w:rPr>
          <w:rFonts w:ascii="Times New Roman" w:hAnsi="Times New Roman" w:cs="Times New Roman"/>
          <w:color w:val="000000" w:themeColor="text1"/>
        </w:rPr>
        <w:t>.</w:t>
      </w:r>
    </w:p>
    <w:p w14:paraId="283BD64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9" w:name="ref-wegwarth_smart_2009"/>
      <w:bookmarkEnd w:id="239"/>
      <w:r w:rsidRPr="00145D8B">
        <w:rPr>
          <w:rFonts w:ascii="Times New Roman" w:hAnsi="Times New Roman" w:cs="Times New Roman"/>
          <w:color w:val="000000" w:themeColor="text1"/>
        </w:rPr>
        <w:lastRenderedPageBreak/>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bookmarkStart w:id="240" w:name="ref-weyant_application_1996"/>
      <w:bookmarkEnd w:id="24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789EBF1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p>
    <w:p w14:paraId="4D8D7BC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1" w:name="ref-wong_between-individual_2005"/>
      <w:bookmarkEnd w:id="24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64C7CC85" w14:textId="71CB0141"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Wooldridge, J. M. (2013). </w:t>
      </w:r>
      <w:r w:rsidRPr="004B4979">
        <w:rPr>
          <w:rFonts w:ascii="Times New Roman" w:hAnsi="Times New Roman" w:cs="Times New Roman"/>
          <w:i/>
          <w:iCs/>
          <w:color w:val="000000" w:themeColor="text1"/>
          <w:lang w:val="en-US"/>
        </w:rPr>
        <w:t>Introductory econometrics: A Modern Approach.</w:t>
      </w:r>
      <w:r w:rsidRPr="004B4979">
        <w:rPr>
          <w:rFonts w:ascii="Times New Roman" w:hAnsi="Times New Roman" w:cs="Times New Roman"/>
          <w:color w:val="000000" w:themeColor="text1"/>
          <w:lang w:val="en-US"/>
        </w:rPr>
        <w:t> Mason, OH: Cengage Learning.</w:t>
      </w:r>
    </w:p>
    <w:p w14:paraId="47D35D7C" w14:textId="40A0EC8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(4), 327–339</w:t>
      </w:r>
      <w:r w:rsidR="00FA77AE">
        <w:rPr>
          <w:rFonts w:ascii="Times New Roman" w:hAnsi="Times New Roman" w:cs="Times New Roman"/>
          <w:color w:val="000000" w:themeColor="text1"/>
        </w:rPr>
        <w:t>.</w:t>
      </w:r>
    </w:p>
    <w:p w14:paraId="12B63B1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2" w:name="ref-zaheer_time_1999"/>
      <w:bookmarkEnd w:id="24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footerReference w:type="even" r:id="rId17"/>
      <w:footerReference w:type="defaul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12A96" w14:textId="77777777" w:rsidR="009844B1" w:rsidRDefault="009844B1" w:rsidP="00F071F0">
      <w:pPr>
        <w:spacing w:after="0"/>
      </w:pPr>
      <w:r>
        <w:separator/>
      </w:r>
    </w:p>
  </w:endnote>
  <w:endnote w:type="continuationSeparator" w:id="0">
    <w:p w14:paraId="2B11D37B" w14:textId="77777777" w:rsidR="009844B1" w:rsidRDefault="009844B1"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AC6139" w:rsidRDefault="00AC6139"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AC6139" w:rsidRDefault="00AC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AC6139" w:rsidRDefault="00AC6139"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AC6139" w:rsidRDefault="00AC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7290F" w14:textId="77777777" w:rsidR="009844B1" w:rsidRDefault="009844B1" w:rsidP="00F071F0">
      <w:pPr>
        <w:spacing w:after="0"/>
      </w:pPr>
      <w:r>
        <w:separator/>
      </w:r>
    </w:p>
  </w:footnote>
  <w:footnote w:type="continuationSeparator" w:id="0">
    <w:p w14:paraId="324FA598" w14:textId="77777777" w:rsidR="009844B1" w:rsidRDefault="009844B1"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3124"/>
    <w:rsid w:val="00057860"/>
    <w:rsid w:val="00074950"/>
    <w:rsid w:val="000772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762E6"/>
    <w:rsid w:val="001831E3"/>
    <w:rsid w:val="00184D15"/>
    <w:rsid w:val="00193BF4"/>
    <w:rsid w:val="001B29C9"/>
    <w:rsid w:val="001C7877"/>
    <w:rsid w:val="001D256D"/>
    <w:rsid w:val="001F1B3C"/>
    <w:rsid w:val="001F2ADC"/>
    <w:rsid w:val="001F6D97"/>
    <w:rsid w:val="0020209E"/>
    <w:rsid w:val="00225C4F"/>
    <w:rsid w:val="00234972"/>
    <w:rsid w:val="00255431"/>
    <w:rsid w:val="00256275"/>
    <w:rsid w:val="00263BC8"/>
    <w:rsid w:val="00287C98"/>
    <w:rsid w:val="002A1B9C"/>
    <w:rsid w:val="002D144A"/>
    <w:rsid w:val="002E5015"/>
    <w:rsid w:val="002E6444"/>
    <w:rsid w:val="00301BF0"/>
    <w:rsid w:val="003654D5"/>
    <w:rsid w:val="00366E09"/>
    <w:rsid w:val="00390E80"/>
    <w:rsid w:val="00391CE5"/>
    <w:rsid w:val="003B718C"/>
    <w:rsid w:val="003C2637"/>
    <w:rsid w:val="003C5D91"/>
    <w:rsid w:val="003D0277"/>
    <w:rsid w:val="003D12ED"/>
    <w:rsid w:val="003D18B0"/>
    <w:rsid w:val="003D2B3A"/>
    <w:rsid w:val="003E1A8C"/>
    <w:rsid w:val="0040224F"/>
    <w:rsid w:val="00410E04"/>
    <w:rsid w:val="004436F7"/>
    <w:rsid w:val="00453D3A"/>
    <w:rsid w:val="0047692D"/>
    <w:rsid w:val="00477346"/>
    <w:rsid w:val="00480F90"/>
    <w:rsid w:val="00482BF4"/>
    <w:rsid w:val="00487026"/>
    <w:rsid w:val="00494B71"/>
    <w:rsid w:val="00496135"/>
    <w:rsid w:val="00496A4F"/>
    <w:rsid w:val="004A0E7F"/>
    <w:rsid w:val="004B3F9F"/>
    <w:rsid w:val="004B4979"/>
    <w:rsid w:val="004D03E1"/>
    <w:rsid w:val="004D270E"/>
    <w:rsid w:val="004D27A8"/>
    <w:rsid w:val="004D4981"/>
    <w:rsid w:val="004E05C2"/>
    <w:rsid w:val="004E339A"/>
    <w:rsid w:val="004E3C1F"/>
    <w:rsid w:val="004E6BCE"/>
    <w:rsid w:val="004F2DD3"/>
    <w:rsid w:val="005071EA"/>
    <w:rsid w:val="005220C4"/>
    <w:rsid w:val="005332A0"/>
    <w:rsid w:val="00547354"/>
    <w:rsid w:val="005533E9"/>
    <w:rsid w:val="005920DE"/>
    <w:rsid w:val="005A6B93"/>
    <w:rsid w:val="005B64E0"/>
    <w:rsid w:val="005B6EFD"/>
    <w:rsid w:val="005C53FF"/>
    <w:rsid w:val="005C7259"/>
    <w:rsid w:val="005D1A81"/>
    <w:rsid w:val="005E6A40"/>
    <w:rsid w:val="005F12A7"/>
    <w:rsid w:val="005F12F3"/>
    <w:rsid w:val="005F63F6"/>
    <w:rsid w:val="00621099"/>
    <w:rsid w:val="00623813"/>
    <w:rsid w:val="00626F47"/>
    <w:rsid w:val="00627601"/>
    <w:rsid w:val="00630893"/>
    <w:rsid w:val="006337B6"/>
    <w:rsid w:val="00635AD7"/>
    <w:rsid w:val="0063774C"/>
    <w:rsid w:val="00647E53"/>
    <w:rsid w:val="00653DF2"/>
    <w:rsid w:val="00664109"/>
    <w:rsid w:val="00671CDA"/>
    <w:rsid w:val="00677666"/>
    <w:rsid w:val="006802FD"/>
    <w:rsid w:val="00684861"/>
    <w:rsid w:val="0069027A"/>
    <w:rsid w:val="006A2605"/>
    <w:rsid w:val="006A4F3F"/>
    <w:rsid w:val="006C7094"/>
    <w:rsid w:val="006D1BFD"/>
    <w:rsid w:val="006D2865"/>
    <w:rsid w:val="006E0096"/>
    <w:rsid w:val="006F6741"/>
    <w:rsid w:val="00711388"/>
    <w:rsid w:val="0071337A"/>
    <w:rsid w:val="007559E8"/>
    <w:rsid w:val="00772DA6"/>
    <w:rsid w:val="00773BAF"/>
    <w:rsid w:val="0079319B"/>
    <w:rsid w:val="00797921"/>
    <w:rsid w:val="007A517A"/>
    <w:rsid w:val="007C26F8"/>
    <w:rsid w:val="007E3161"/>
    <w:rsid w:val="007E6129"/>
    <w:rsid w:val="007E6C21"/>
    <w:rsid w:val="007E6FC2"/>
    <w:rsid w:val="007E797A"/>
    <w:rsid w:val="007F1E59"/>
    <w:rsid w:val="007F483A"/>
    <w:rsid w:val="007F5E88"/>
    <w:rsid w:val="008155D6"/>
    <w:rsid w:val="00816571"/>
    <w:rsid w:val="008274AA"/>
    <w:rsid w:val="00847F93"/>
    <w:rsid w:val="00867DE5"/>
    <w:rsid w:val="008B151D"/>
    <w:rsid w:val="008C295D"/>
    <w:rsid w:val="008D43C9"/>
    <w:rsid w:val="0092027B"/>
    <w:rsid w:val="009221C3"/>
    <w:rsid w:val="00926A14"/>
    <w:rsid w:val="00937C68"/>
    <w:rsid w:val="0094403F"/>
    <w:rsid w:val="0095500A"/>
    <w:rsid w:val="009570E3"/>
    <w:rsid w:val="00957626"/>
    <w:rsid w:val="00964875"/>
    <w:rsid w:val="00975FD3"/>
    <w:rsid w:val="0097711F"/>
    <w:rsid w:val="009779FD"/>
    <w:rsid w:val="009844B1"/>
    <w:rsid w:val="009850E8"/>
    <w:rsid w:val="00990472"/>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0F0"/>
    <w:rsid w:val="00A37B1C"/>
    <w:rsid w:val="00A40CB9"/>
    <w:rsid w:val="00A423DE"/>
    <w:rsid w:val="00A425AC"/>
    <w:rsid w:val="00A430F4"/>
    <w:rsid w:val="00A44E0B"/>
    <w:rsid w:val="00A55653"/>
    <w:rsid w:val="00A61F92"/>
    <w:rsid w:val="00A711B0"/>
    <w:rsid w:val="00AA4A61"/>
    <w:rsid w:val="00AB26E0"/>
    <w:rsid w:val="00AB4E38"/>
    <w:rsid w:val="00AC6139"/>
    <w:rsid w:val="00AD445C"/>
    <w:rsid w:val="00AD7D5D"/>
    <w:rsid w:val="00AE0A53"/>
    <w:rsid w:val="00AE0BE6"/>
    <w:rsid w:val="00AE32E8"/>
    <w:rsid w:val="00AF1732"/>
    <w:rsid w:val="00AF1E21"/>
    <w:rsid w:val="00AF49FD"/>
    <w:rsid w:val="00B119AF"/>
    <w:rsid w:val="00B26698"/>
    <w:rsid w:val="00B350B8"/>
    <w:rsid w:val="00B37306"/>
    <w:rsid w:val="00B54B85"/>
    <w:rsid w:val="00B67BC6"/>
    <w:rsid w:val="00B71159"/>
    <w:rsid w:val="00B763D7"/>
    <w:rsid w:val="00B766E6"/>
    <w:rsid w:val="00B84475"/>
    <w:rsid w:val="00BB1ED6"/>
    <w:rsid w:val="00BC4A39"/>
    <w:rsid w:val="00BD05FD"/>
    <w:rsid w:val="00BD1706"/>
    <w:rsid w:val="00BD22F5"/>
    <w:rsid w:val="00BD6828"/>
    <w:rsid w:val="00BE74E1"/>
    <w:rsid w:val="00C23BCF"/>
    <w:rsid w:val="00C2617C"/>
    <w:rsid w:val="00C2617F"/>
    <w:rsid w:val="00C431F8"/>
    <w:rsid w:val="00C45422"/>
    <w:rsid w:val="00C508C0"/>
    <w:rsid w:val="00C651B5"/>
    <w:rsid w:val="00C65E52"/>
    <w:rsid w:val="00C901D2"/>
    <w:rsid w:val="00CB34FA"/>
    <w:rsid w:val="00CB53E5"/>
    <w:rsid w:val="00CB57F7"/>
    <w:rsid w:val="00CC34FD"/>
    <w:rsid w:val="00CD5815"/>
    <w:rsid w:val="00CD659E"/>
    <w:rsid w:val="00CE4010"/>
    <w:rsid w:val="00CF6F30"/>
    <w:rsid w:val="00D1558A"/>
    <w:rsid w:val="00D2400D"/>
    <w:rsid w:val="00D33ADB"/>
    <w:rsid w:val="00D423F2"/>
    <w:rsid w:val="00D5089F"/>
    <w:rsid w:val="00D61786"/>
    <w:rsid w:val="00D6248B"/>
    <w:rsid w:val="00D753D2"/>
    <w:rsid w:val="00DB308E"/>
    <w:rsid w:val="00DB65C7"/>
    <w:rsid w:val="00DC0862"/>
    <w:rsid w:val="00DD2697"/>
    <w:rsid w:val="00DD32C3"/>
    <w:rsid w:val="00DF586B"/>
    <w:rsid w:val="00E102E1"/>
    <w:rsid w:val="00E16051"/>
    <w:rsid w:val="00E16936"/>
    <w:rsid w:val="00E4052E"/>
    <w:rsid w:val="00E51DDE"/>
    <w:rsid w:val="00E60574"/>
    <w:rsid w:val="00E63CCB"/>
    <w:rsid w:val="00E81AF4"/>
    <w:rsid w:val="00E9619C"/>
    <w:rsid w:val="00EC1C9E"/>
    <w:rsid w:val="00EC2BB2"/>
    <w:rsid w:val="00EC4452"/>
    <w:rsid w:val="00ED22BE"/>
    <w:rsid w:val="00ED378D"/>
    <w:rsid w:val="00EE7A03"/>
    <w:rsid w:val="00EF2323"/>
    <w:rsid w:val="00EF6375"/>
    <w:rsid w:val="00F01853"/>
    <w:rsid w:val="00F04E8E"/>
    <w:rsid w:val="00F071F0"/>
    <w:rsid w:val="00F11189"/>
    <w:rsid w:val="00F2390A"/>
    <w:rsid w:val="00F25AFB"/>
    <w:rsid w:val="00F35C23"/>
    <w:rsid w:val="00F36FFF"/>
    <w:rsid w:val="00F37765"/>
    <w:rsid w:val="00F420AF"/>
    <w:rsid w:val="00F634D0"/>
    <w:rsid w:val="00F70D69"/>
    <w:rsid w:val="00F745B4"/>
    <w:rsid w:val="00F75F28"/>
    <w:rsid w:val="00F84BAD"/>
    <w:rsid w:val="00FA31FD"/>
    <w:rsid w:val="00FA513D"/>
    <w:rsid w:val="00FA77AE"/>
    <w:rsid w:val="00FB111F"/>
    <w:rsid w:val="00FB2CC8"/>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 w:type="character" w:styleId="FollowedHyperlink">
    <w:name w:val="FollowedHyperlink"/>
    <w:basedOn w:val="DefaultParagraphFont"/>
    <w:uiPriority w:val="99"/>
    <w:semiHidden/>
    <w:unhideWhenUsed/>
    <w:rsid w:val="00522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ho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ishop.github.io/diss.appendi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37/0033-3204.43.2.1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rikbern.com/2019/10/16/buffet-lines-are-terrible.html"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104</Pages>
  <Words>24517</Words>
  <Characters>139752</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56</cp:revision>
  <dcterms:created xsi:type="dcterms:W3CDTF">2020-08-31T20:39:00Z</dcterms:created>
  <dcterms:modified xsi:type="dcterms:W3CDTF">2020-10-09T16:09:00Z</dcterms:modified>
</cp:coreProperties>
</file>