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11B61606"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employees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3043E917"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w:t>
      </w:r>
      <w:proofErr w:type="gramStart"/>
      <w:r w:rsidR="001831E3" w:rsidRPr="003B718C">
        <w:rPr>
          <w:rFonts w:ascii="Times New Roman" w:hAnsi="Times New Roman" w:cs="Times New Roman"/>
          <w:color w:val="000000" w:themeColor="text1"/>
        </w:rPr>
        <w:t>fulfilling</w:t>
      </w:r>
      <w:r w:rsidR="00A711B0">
        <w:rPr>
          <w:rFonts w:ascii="Times New Roman" w:hAnsi="Times New Roman" w:cs="Times New Roman"/>
          <w:color w:val="000000" w:themeColor="text1"/>
        </w:rPr>
        <w:t>, but</w:t>
      </w:r>
      <w:proofErr w:type="gramEnd"/>
      <w:r w:rsidR="00A711B0">
        <w:rPr>
          <w:rFonts w:ascii="Times New Roman" w:hAnsi="Times New Roman" w:cs="Times New Roman"/>
          <w:color w:val="000000" w:themeColor="text1"/>
        </w:rPr>
        <w:t xml:space="preserve">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older 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711388">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711388">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711388">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711388">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711388">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711388">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711388">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711388">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711388">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711388">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711388">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711388">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711388">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711388">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711388">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711388">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711388">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711388">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711388">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711388">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711388">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1821446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0D9A6EA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tendencies that yield a given behavior in one situation may manifest different behavior when circumstances change.</w:t>
      </w:r>
    </w:p>
    <w:p w14:paraId="7ACB3B0F" w14:textId="3A2D4B4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2A37B4F7" w:rsidR="0063774C"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p>
    <w:p w14:paraId="7F6F5240" w14:textId="77777777" w:rsidR="00F420AF" w:rsidRDefault="00F420AF" w:rsidP="009A77BB">
      <w:pPr>
        <w:spacing w:after="0"/>
        <w:rPr>
          <w:rFonts w:ascii="Times New Roman" w:hAnsi="Times New Roman" w:cs="Times New Roman"/>
        </w:rPr>
      </w:pPr>
    </w:p>
    <w:p w14:paraId="472B3239" w14:textId="5DB79E97" w:rsidR="00BD1706" w:rsidRPr="00DB308E" w:rsidRDefault="005E6A40" w:rsidP="0040224F">
      <w:pPr>
        <w:pStyle w:val="Heading2"/>
        <w:spacing w:before="0"/>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27AA88D2" w14:textId="2B11D1E3"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most focus on what has come to be known as 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3AF383BE"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Similar concepts were explored by theorists six decades ago in some of the major publications influencing what is now the field of organizational psychology. Chester Barnard (1938), in The Functions of the Executive, referred to so-called informal modes of cooperation that are not part of the formal bureaucratic structure. Roethlisberger &amp; Dickson's (1939) account of the Hawthorne studies referred to sentiments that arise within the informal organization and often -- although not invariably -- contribute to the functioning of the formal system. Katz and Kahn (1966), in their conception of organizations as open systems, referred to spontaneous contributions not explicit in job descriptions or managerial directives.</w:t>
      </w:r>
    </w:p>
    <w:p w14:paraId="1C34D52D" w14:textId="65E2701A"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With these concepts in hand, Dennis Organ published a paper in the Academy of Management Review in 1977 which began a research stream focused on what we now call OCBs. His paper described the following tension. On one hand, industrial and organizational psychologists had reached a consensus in the early 1970s that employee satisfaction, although important for empirical study for its own right, was not a strong determinant of productivity. Study after study demonstrated a weak association when satisfaction 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xml:space="preserve">, 1953). On the other hand, managers and union leaders at the time, with experience observing real employees at work, continued to believe that the relationship existed -- and was strong. Gannon and Noon (1971), for instance, surveyed practicing managers and union officials and showed that they agreed with the statement, "a satisfied worker is a productive worker." Organ saw OCBs as the answer to this riddle. Managers, perhaps, had a broader, multidimensional sense of performance that was not being captured by empirical studies at the time. Productivity and effectiveness, to leaders and </w:t>
      </w:r>
      <w:proofErr w:type="spellStart"/>
      <w:r w:rsidRPr="0040224F">
        <w:rPr>
          <w:rFonts w:ascii="Times New Roman" w:hAnsi="Times New Roman" w:cs="Times New Roman"/>
        </w:rPr>
        <w:t>unofficials</w:t>
      </w:r>
      <w:proofErr w:type="spellEnd"/>
      <w:r w:rsidRPr="0040224F">
        <w:rPr>
          <w:rFonts w:ascii="Times New Roman" w:hAnsi="Times New Roman" w:cs="Times New Roman"/>
        </w:rPr>
        <w:t xml:space="preserve">, might mean more than simply "measurable time on task and output." Organ proposed </w:t>
      </w:r>
      <w:r w:rsidRPr="0040224F">
        <w:rPr>
          <w:rFonts w:ascii="Times New Roman" w:hAnsi="Times New Roman" w:cs="Times New Roman"/>
        </w:rPr>
        <w:lastRenderedPageBreak/>
        <w:t xml:space="preserve">that managers may also include something similar to what Katz and Kahn called spontaneous contributions. He suggested that what managers really mean when they say "a happy worker is a productive worker" is that employees offer subtle gestures to help sustain the workplace cooperative system. What was needed, then, was a dependent variable capturing not only measurable output but also nuanced actions of support among colleagues. </w:t>
      </w:r>
    </w:p>
    <w:p w14:paraId="6A9E4232" w14:textId="439929B9"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performance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also publishing papers on what they called contextual performance, or the YYYYY. OCB s and CP are nearly identical constructs. The two terms were simply developed by independent research groups -- one focused on personality as a predictor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CP) and the other focused on satisfaction as a predictor (Organ: OCB). It is unfortunate that there was not a greater collaboration among these streams, but today research focuses almost exclusively on OCBs. </w:t>
      </w:r>
    </w:p>
    <w:p w14:paraId="02ED4CF7" w14:textId="545E6017"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Since the OCB concept was first developed and reported in two articles in the early 1980s (Bateman &amp; Organ, 1983; Smith, Organ, &amp; Near, 1983), the amount of interest paid to OCBs has dramatically increased. As reported in PODSAKOFF HANDBOOK, of the over 4900 articles published in the literature on OCB and related constructs from 1983 to 2017, approximately 80% have been published within the past 10 years and over half (51%) have been published in just the past 5 years (Web of Knowledge, 2018). In addition, some of the most highly cited articles in the field of management and Industrial/Organizational psychology have focused on OCB.</w:t>
      </w:r>
    </w:p>
    <w:p w14:paraId="48FC8366" w14:textId="61857ACB" w:rsidR="005E6A40" w:rsidRPr="00AD7D5D" w:rsidRDefault="005E6A40" w:rsidP="0040224F">
      <w:pPr>
        <w:pStyle w:val="Heading3"/>
        <w:spacing w:before="0"/>
        <w:rPr>
          <w:rFonts w:ascii="Times New Roman" w:hAnsi="Times New Roman" w:cs="Times New Roman"/>
          <w:color w:val="000000" w:themeColor="text1"/>
          <w:sz w:val="24"/>
          <w:szCs w:val="24"/>
        </w:rPr>
      </w:pPr>
      <w:bookmarkStart w:id="9" w:name="_Toc46507602"/>
      <w:bookmarkStart w:id="10" w:name="_Toc46511994"/>
      <w:r w:rsidRPr="00AD7D5D">
        <w:rPr>
          <w:rFonts w:ascii="Times New Roman" w:hAnsi="Times New Roman" w:cs="Times New Roman"/>
          <w:color w:val="000000" w:themeColor="text1"/>
          <w:sz w:val="24"/>
          <w:szCs w:val="24"/>
        </w:rPr>
        <w:t>Previous Research and Conceptualization of Citizenship</w:t>
      </w:r>
      <w:bookmarkEnd w:id="9"/>
      <w:bookmarkEnd w:id="10"/>
    </w:p>
    <w:p w14:paraId="3311B155" w14:textId="78161361" w:rsidR="00BD1706" w:rsidRPr="002136D3" w:rsidRDefault="00BD1706" w:rsidP="0040224F">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0C740B6C"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lastRenderedPageBreak/>
        <w:t>Researchers typically pursue one of three broad ways to classify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Podsakoff, &amp; Podsakoff, 2011). Other researchers classify OCBs either as affiliative or challenging (</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acts such as helping or responding with courtesy in which the actor supports existing company processes. Challenging behaviors are acts such as voicing problems or initiating change in which the actor adjusts his or her circumstances. Finally, OCBs are also distinguished by an individual (OCB-I; helping, assisting, encouraging) versus organizational (OCB-O; promoting the company to others) dividing line</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4403588D" w:rsidR="00BD1706"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I refer to affiliative OCBs 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the random nature of prompts for help. For all of these reasons, this proposal couches itself within the affiliative space of the construct.</w:t>
      </w:r>
      <w:bookmarkStart w:id="11" w:name="sustained-long-run-citizenship"/>
    </w:p>
    <w:p w14:paraId="4F68FFA6" w14:textId="47A5395D" w:rsidR="008274AA" w:rsidRPr="002136D3" w:rsidRDefault="008274AA" w:rsidP="009A77BB">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To reflect even more. SAY IT SIMPLY. THERE IS RESEARCH ON </w:t>
      </w:r>
      <w:r w:rsidR="006C7094">
        <w:rPr>
          <w:rFonts w:ascii="Times New Roman" w:hAnsi="Times New Roman" w:cs="Times New Roman"/>
          <w:color w:val="000000" w:themeColor="text1"/>
        </w:rPr>
        <w:t>CHALLENGING. BUT PEOPLE HAVE ARGUED THAT AFFILIATIVE IS THE CORE MANIFESTATION OF OCB. IT SHOULD TAKE CENTER STAGE. THE OTHER THING I AM DOING IS COUCHING MYSELF. YES, RESEARCH EXISTS. BUT HERE I FOCUS ON AFFILIATIVE HELPING.</w:t>
      </w:r>
    </w:p>
    <w:p w14:paraId="1C188876" w14:textId="77777777" w:rsidR="00BD1706" w:rsidRPr="00AD7D5D" w:rsidRDefault="00BD1706" w:rsidP="005E6A40">
      <w:pPr>
        <w:pStyle w:val="Heading3"/>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23E9110B"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w:t>
      </w:r>
      <w:r w:rsidR="006C7094">
        <w:rPr>
          <w:rFonts w:ascii="Times New Roman" w:hAnsi="Times New Roman" w:cs="Times New Roman"/>
          <w:color w:val="000000" w:themeColor="text1"/>
        </w:rPr>
        <w:t xml:space="preserve"> the notion of extra milers/good soldiers: 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w:t>
      </w:r>
      <w:r w:rsidRPr="002136D3">
        <w:rPr>
          <w:rFonts w:ascii="Times New Roman" w:hAnsi="Times New Roman" w:cs="Times New Roman"/>
          <w:color w:val="000000" w:themeColor="text1"/>
        </w:rPr>
        <w:lastRenderedPageBreak/>
        <w:t>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393EE13E" w14:textId="61B0ED74" w:rsidR="006C7094" w:rsidRDefault="00BD1706" w:rsidP="006C7094">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What accounts for frequently exceptional citizens? OCB antecedents</w:t>
      </w:r>
      <w:r w:rsidR="006C7094">
        <w:rPr>
          <w:rFonts w:ascii="Times New Roman" w:hAnsi="Times New Roman" w:cs="Times New Roman"/>
          <w:color w:val="000000" w:themeColor="text1"/>
        </w:rPr>
        <w:t xml:space="preserve"> often include </w:t>
      </w:r>
      <w:r w:rsidRPr="002136D3">
        <w:rPr>
          <w:rFonts w:ascii="Times New Roman" w:hAnsi="Times New Roman" w:cs="Times New Roman"/>
          <w:color w:val="000000" w:themeColor="text1"/>
        </w:rPr>
        <w:t xml:space="preserve">individual characteristics such as motives, affect, attitudes, fairness perceptions, and engagement. </w:t>
      </w:r>
      <w:r w:rsidR="006C7094">
        <w:rPr>
          <w:rFonts w:ascii="Times New Roman" w:hAnsi="Times New Roman" w:cs="Times New Roman"/>
          <w:color w:val="000000" w:themeColor="text1"/>
        </w:rPr>
        <w:t xml:space="preserve">AUTHOR </w:t>
      </w:r>
      <w:proofErr w:type="spellStart"/>
      <w:r w:rsidR="006C7094">
        <w:rPr>
          <w:rFonts w:ascii="Times New Roman" w:hAnsi="Times New Roman" w:cs="Times New Roman"/>
          <w:color w:val="000000" w:themeColor="text1"/>
        </w:rPr>
        <w:t>AUTHOR</w:t>
      </w:r>
      <w:proofErr w:type="spellEnd"/>
      <w:r w:rsidR="006C7094">
        <w:rPr>
          <w:rFonts w:ascii="Times New Roman" w:hAnsi="Times New Roman" w:cs="Times New Roman"/>
          <w:color w:val="000000" w:themeColor="text1"/>
        </w:rPr>
        <w:t xml:space="preserve">, FOR EXAMPLE, STUDIED A, B, AND C, AND FOUND THAT. </w:t>
      </w:r>
      <w:r w:rsidRPr="002136D3">
        <w:rPr>
          <w:rFonts w:ascii="Times New Roman" w:hAnsi="Times New Roman" w:cs="Times New Roman"/>
          <w:color w:val="000000" w:themeColor="text1"/>
        </w:rPr>
        <w:t xml:space="preserve">Similarly,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point to predictors of good soldiers in the quote above: personality and prosocial values. </w:t>
      </w:r>
      <w:r w:rsidR="006C7094">
        <w:rPr>
          <w:rFonts w:ascii="Times New Roman" w:hAnsi="Times New Roman" w:cs="Times New Roman"/>
          <w:color w:val="000000" w:themeColor="text1"/>
        </w:rPr>
        <w:t xml:space="preserve">Finally, LAY ON THE CITES. </w:t>
      </w:r>
    </w:p>
    <w:p w14:paraId="1D1EF1B3" w14:textId="4D243BFE" w:rsidR="00BD1706" w:rsidRPr="0040224F" w:rsidRDefault="00BD1706" w:rsidP="0040224F">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 suggest an alternative: </w:t>
      </w:r>
      <w:r w:rsidR="006C7094">
        <w:rPr>
          <w:rFonts w:ascii="Times New Roman" w:hAnsi="Times New Roman" w:cs="Times New Roman"/>
          <w:color w:val="000000" w:themeColor="text1"/>
        </w:rPr>
        <w:t xml:space="preserve">CHANGE ENTIRE PARAGRAPH. SOLICITED REQUESTS FOR HELP IN COMBINATION WITH HOW EMPOYEES REACT. </w:t>
      </w:r>
      <w:r w:rsidRPr="002136D3">
        <w:rPr>
          <w:rFonts w:ascii="Times New Roman" w:hAnsi="Times New Roman" w:cs="Times New Roman"/>
          <w:color w:val="000000" w:themeColor="text1"/>
        </w:rPr>
        <w:t xml:space="preserve">chance opportunities. Just as a series of coin flips could appear to favor heads even though the result </w:t>
      </w:r>
      <w:r>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a byproduct of chance, reoccurring citizenship could be a byproduct of random opportunities. By opportunity, I mean a prompt that signals to an employee that an act of help can be performed, such as an email from a colleague requesting assistance. By random, I mean that help requests follow a well-known chance process from probability theory. The two overarching arguments in this proposal include (1) employees may receive help requests in a pattern that mimics a fundamental chance process and (2) </w:t>
      </w:r>
      <w:r>
        <w:rPr>
          <w:rFonts w:ascii="Times New Roman" w:hAnsi="Times New Roman" w:cs="Times New Roman"/>
          <w:color w:val="000000" w:themeColor="text1"/>
        </w:rPr>
        <w:t>this chance mechanism is capable of yielding extreme differences in opportunity, thereby establishing the potential for one individual to appear frequently exceptional to the extent that opportunities relate to actions.</w:t>
      </w:r>
    </w:p>
    <w:p w14:paraId="45382147" w14:textId="6AB08423"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w:t>
      </w:r>
      <w:r w:rsidRPr="00145D8B">
        <w:rPr>
          <w:rFonts w:ascii="Times New Roman" w:hAnsi="Times New Roman" w:cs="Times New Roman"/>
          <w:color w:val="000000" w:themeColor="text1"/>
        </w:rPr>
        <w:lastRenderedPageBreak/>
        <w:t xml:space="preserve">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40224F">
      <w:pPr>
        <w:pStyle w:val="Heading3"/>
        <w:spacing w:before="0"/>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w:t>
      </w:r>
      <w:r w:rsidRPr="00145D8B">
        <w:rPr>
          <w:rFonts w:ascii="Times New Roman" w:hAnsi="Times New Roman" w:cs="Times New Roman"/>
          <w:color w:val="000000" w:themeColor="text1"/>
        </w:rPr>
        <w:lastRenderedPageBreak/>
        <w:t xml:space="preserve">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40224F">
      <w:pPr>
        <w:pStyle w:val="Heading4"/>
        <w:spacing w:before="0"/>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13A1213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4AC03834" w:rsidR="00E102E1"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Although I return to cumulative advantage and social capital in the Discussion, this research focuses on the random perspective for the following reasons. First, one core purpose of this study is to counter the reasoning by Bolino et al. (2015) and demonstrate that unsystematic 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w:t>
      </w:r>
      <w:r w:rsidRPr="00145D8B">
        <w:rPr>
          <w:rFonts w:ascii="Times New Roman" w:hAnsi="Times New Roman" w:cs="Times New Roman"/>
          <w:color w:val="000000" w:themeColor="text1"/>
        </w:rPr>
        <w:lastRenderedPageBreak/>
        <w:t xml:space="preserve">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 over time.</w:t>
      </w:r>
    </w:p>
    <w:p w14:paraId="4B38F623" w14:textId="71029A62" w:rsidR="00031643" w:rsidRPr="00145D8B" w:rsidRDefault="00031643" w:rsidP="009A77BB">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FIFTH. I AM ACTUALLY CONSISTENT WITH THE SYSTEMATIC SCHOOL OF THOUGHT. WE MAKE THE SAME PREDICTIONS.</w:t>
      </w:r>
    </w:p>
    <w:p w14:paraId="61EF7BEE" w14:textId="2F1EF03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40224F">
      <w:pPr>
        <w:pStyle w:val="Heading3"/>
        <w:spacing w:before="0"/>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84D5B9B"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w:t>
      </w:r>
      <w:r w:rsidRPr="00145D8B">
        <w:rPr>
          <w:rFonts w:ascii="Times New Roman" w:hAnsi="Times New Roman" w:cs="Times New Roman"/>
          <w:color w:val="000000" w:themeColor="text1"/>
        </w:rPr>
        <w:lastRenderedPageBreak/>
        <w:t xml:space="preserve">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1AD6D552"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lastRenderedPageBreak/>
        <w:t>Respond to Influx</w:t>
      </w:r>
      <w:bookmarkEnd w:id="28"/>
      <w:r w:rsidRPr="00145D8B">
        <w:rPr>
          <w:rFonts w:ascii="Times New Roman" w:hAnsi="Times New Roman" w:cs="Times New Roman"/>
          <w:color w:val="000000" w:themeColor="text1"/>
        </w:rPr>
        <w:t>.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w:t>
      </w:r>
      <w:r w:rsidRPr="00145D8B">
        <w:rPr>
          <w:rFonts w:ascii="Times New Roman" w:hAnsi="Times New Roman" w:cs="Times New Roman"/>
          <w:color w:val="000000" w:themeColor="text1"/>
        </w:rPr>
        <w:lastRenderedPageBreak/>
        <w:t>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10: If requests compile with randomness but not inertia and employees match their colleagues in how much help they provide then good soldiers do not emerge</w:t>
      </w:r>
      <w:bookmarkStart w:id="31" w:name="research-overview"/>
      <w:r w:rsidR="00145D8B">
        <w:rPr>
          <w:rFonts w:ascii="Times New Roman" w:hAnsi="Times New Roman" w:cs="Times New Roman"/>
          <w:color w:val="000000" w:themeColor="text1"/>
        </w:rPr>
        <w:t>.</w:t>
      </w:r>
    </w:p>
    <w:p w14:paraId="676F7EA7" w14:textId="69351CCD" w:rsidR="00145D8B" w:rsidRPr="00AD7D5D" w:rsidRDefault="000775F8" w:rsidP="00AD7D5D">
      <w:pPr>
        <w:pStyle w:val="Heading1"/>
        <w:jc w:val="center"/>
        <w:rPr>
          <w:b w:val="0"/>
          <w:bCs w:val="0"/>
        </w:rPr>
      </w:pPr>
      <w:bookmarkStart w:id="32" w:name="_Toc46507607"/>
      <w:bookmarkStart w:id="33" w:name="_Toc46512006"/>
      <w:bookmarkEnd w:id="31"/>
      <w:r w:rsidRPr="00AD7D5D">
        <w:rPr>
          <w:b w:val="0"/>
          <w:bCs w:val="0"/>
        </w:rPr>
        <w:t>RESEARCH OVERVIEW</w:t>
      </w:r>
      <w:bookmarkEnd w:id="32"/>
      <w:bookmarkEnd w:id="33"/>
    </w:p>
    <w:p w14:paraId="7B1C42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4" w:name="pilot"/>
    </w:p>
    <w:p w14:paraId="03B36184" w14:textId="548D5602" w:rsidR="00145D8B" w:rsidRPr="00AD7D5D" w:rsidRDefault="000775F8" w:rsidP="0040224F">
      <w:pPr>
        <w:pStyle w:val="Heading1"/>
        <w:spacing w:before="0"/>
        <w:jc w:val="center"/>
        <w:rPr>
          <w:b w:val="0"/>
          <w:bCs w:val="0"/>
        </w:rPr>
      </w:pPr>
      <w:bookmarkStart w:id="35" w:name="_Toc46507608"/>
      <w:bookmarkStart w:id="36" w:name="_Toc46512007"/>
      <w:bookmarkEnd w:id="34"/>
      <w:r w:rsidRPr="00AD7D5D">
        <w:rPr>
          <w:b w:val="0"/>
          <w:bCs w:val="0"/>
        </w:rPr>
        <w:t>PILOT</w:t>
      </w:r>
      <w:bookmarkEnd w:id="35"/>
      <w:bookmarkEnd w:id="36"/>
    </w:p>
    <w:p w14:paraId="7A50827E" w14:textId="7B1153EF" w:rsidR="00E102E1"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0224F">
      <w:pPr>
        <w:pStyle w:val="Heading2"/>
        <w:spacing w:before="0"/>
        <w:jc w:val="center"/>
        <w:rPr>
          <w:rFonts w:ascii="Times New Roman" w:hAnsi="Times New Roman" w:cs="Times New Roman"/>
          <w:color w:val="000000" w:themeColor="text1"/>
          <w:sz w:val="24"/>
          <w:szCs w:val="24"/>
        </w:rPr>
      </w:pPr>
      <w:bookmarkStart w:id="37" w:name="_Toc46507609"/>
      <w:bookmarkStart w:id="38" w:name="_Toc46512008"/>
      <w:r w:rsidRPr="00AD7D5D">
        <w:rPr>
          <w:rFonts w:ascii="Times New Roman" w:hAnsi="Times New Roman" w:cs="Times New Roman"/>
          <w:color w:val="000000" w:themeColor="text1"/>
          <w:sz w:val="24"/>
          <w:szCs w:val="24"/>
        </w:rPr>
        <w:t>Data Sources</w:t>
      </w:r>
      <w:bookmarkEnd w:id="37"/>
      <w:bookmarkEnd w:id="38"/>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9" w:name="_Toc46507610"/>
      <w:bookmarkStart w:id="40" w:name="_Toc46512009"/>
      <w:r w:rsidRPr="00AD7D5D">
        <w:rPr>
          <w:rStyle w:val="Heading3Char"/>
          <w:rFonts w:ascii="Times New Roman" w:hAnsi="Times New Roman" w:cs="Times New Roman"/>
          <w:color w:val="000000" w:themeColor="text1"/>
          <w:sz w:val="24"/>
          <w:szCs w:val="24"/>
        </w:rPr>
        <w:t>Issues on GitHub Repositories – Non-Academic</w:t>
      </w:r>
      <w:bookmarkEnd w:id="39"/>
      <w:bookmarkEnd w:id="40"/>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w:t>
      </w:r>
      <w:r w:rsidRPr="00145D8B">
        <w:rPr>
          <w:rFonts w:ascii="Times New Roman" w:hAnsi="Times New Roman" w:cs="Times New Roman"/>
          <w:color w:val="000000" w:themeColor="text1"/>
        </w:rPr>
        <w:lastRenderedPageBreak/>
        <w:t>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1" w:name="_Toc46507611"/>
      <w:bookmarkStart w:id="42" w:name="_Toc46512010"/>
      <w:r w:rsidRPr="00AD7D5D">
        <w:rPr>
          <w:rStyle w:val="Heading3Char"/>
          <w:rFonts w:ascii="Times New Roman" w:hAnsi="Times New Roman" w:cs="Times New Roman"/>
          <w:color w:val="000000" w:themeColor="text1"/>
          <w:sz w:val="24"/>
          <w:szCs w:val="24"/>
        </w:rPr>
        <w:t>Issues on GitHub Repositories – Academic</w:t>
      </w:r>
      <w:bookmarkEnd w:id="41"/>
      <w:bookmarkEnd w:id="4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3" w:name="analysis"/>
    </w:p>
    <w:p w14:paraId="5326C1DF" w14:textId="10E867E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4" w:name="_Toc46507612"/>
      <w:bookmarkStart w:id="45" w:name="_Toc46512011"/>
      <w:r w:rsidRPr="00AD7D5D">
        <w:rPr>
          <w:rFonts w:ascii="Times New Roman" w:hAnsi="Times New Roman" w:cs="Times New Roman"/>
          <w:color w:val="000000" w:themeColor="text1"/>
          <w:sz w:val="24"/>
          <w:szCs w:val="24"/>
        </w:rPr>
        <w:t>Analysis</w:t>
      </w:r>
      <w:bookmarkEnd w:id="43"/>
      <w:bookmarkEnd w:id="44"/>
      <w:bookmarkEnd w:id="45"/>
    </w:p>
    <w:p w14:paraId="6E0A221C" w14:textId="686B43B6" w:rsidR="00F420AF"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w:t>
      </w:r>
      <w:r w:rsidRPr="00145D8B">
        <w:rPr>
          <w:rFonts w:ascii="Times New Roman" w:hAnsi="Times New Roman" w:cs="Times New Roman"/>
          <w:color w:val="000000" w:themeColor="text1"/>
        </w:rPr>
        <w:lastRenderedPageBreak/>
        <w:t>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46" w:name="results"/>
    </w:p>
    <w:p w14:paraId="28561AC6"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7" w:name="_Toc46507613"/>
      <w:bookmarkStart w:id="48" w:name="_Toc46512012"/>
      <w:r w:rsidRPr="00AD7D5D">
        <w:rPr>
          <w:rFonts w:ascii="Times New Roman" w:hAnsi="Times New Roman" w:cs="Times New Roman"/>
          <w:color w:val="000000" w:themeColor="text1"/>
          <w:sz w:val="24"/>
          <w:szCs w:val="24"/>
        </w:rPr>
        <w:lastRenderedPageBreak/>
        <w:t>Results</w:t>
      </w:r>
      <w:bookmarkEnd w:id="46"/>
      <w:bookmarkEnd w:id="47"/>
      <w:bookmarkEnd w:id="48"/>
    </w:p>
    <w:p w14:paraId="69DC8009" w14:textId="4BEE7ED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9" w:name="pilot-discussion"/>
    </w:p>
    <w:p w14:paraId="11B0BB62" w14:textId="441161A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0" w:name="_Toc46507614"/>
      <w:bookmarkStart w:id="51" w:name="_Toc46512013"/>
      <w:r w:rsidRPr="00AD7D5D">
        <w:rPr>
          <w:rFonts w:ascii="Times New Roman" w:hAnsi="Times New Roman" w:cs="Times New Roman"/>
          <w:color w:val="000000" w:themeColor="text1"/>
          <w:sz w:val="24"/>
          <w:szCs w:val="24"/>
        </w:rPr>
        <w:t>Pilot Discussion</w:t>
      </w:r>
      <w:bookmarkEnd w:id="49"/>
      <w:bookmarkEnd w:id="50"/>
      <w:bookmarkEnd w:id="51"/>
    </w:p>
    <w:p w14:paraId="50EECEFC" w14:textId="601F20F5"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2" w:name="study"/>
    </w:p>
    <w:p w14:paraId="1DEB493B" w14:textId="26A1A75B" w:rsidR="00145D8B" w:rsidRPr="00AD7D5D" w:rsidRDefault="000775F8" w:rsidP="0040224F">
      <w:pPr>
        <w:pStyle w:val="Heading1"/>
        <w:spacing w:before="0"/>
        <w:jc w:val="center"/>
        <w:rPr>
          <w:b w:val="0"/>
          <w:bCs w:val="0"/>
        </w:rPr>
      </w:pPr>
      <w:bookmarkStart w:id="53" w:name="_Toc46507615"/>
      <w:bookmarkStart w:id="54" w:name="_Toc46512014"/>
      <w:bookmarkEnd w:id="52"/>
      <w:r w:rsidRPr="00AD7D5D">
        <w:rPr>
          <w:b w:val="0"/>
          <w:bCs w:val="0"/>
        </w:rPr>
        <w:t>STUDY</w:t>
      </w:r>
      <w:bookmarkEnd w:id="53"/>
      <w:bookmarkEnd w:id="54"/>
    </w:p>
    <w:p w14:paraId="09D76840" w14:textId="1748D3B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5" w:name="simulation-heuristic"/>
    </w:p>
    <w:p w14:paraId="30017628" w14:textId="431EA61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6" w:name="_Toc46507616"/>
      <w:bookmarkStart w:id="57" w:name="_Toc46512015"/>
      <w:r w:rsidRPr="00AD7D5D">
        <w:rPr>
          <w:rFonts w:ascii="Times New Roman" w:hAnsi="Times New Roman" w:cs="Times New Roman"/>
          <w:color w:val="000000" w:themeColor="text1"/>
          <w:sz w:val="24"/>
          <w:szCs w:val="24"/>
        </w:rPr>
        <w:t>Simulation Heuristic</w:t>
      </w:r>
      <w:bookmarkEnd w:id="55"/>
      <w:bookmarkEnd w:id="56"/>
      <w:bookmarkEnd w:id="57"/>
    </w:p>
    <w:p w14:paraId="77841EA9" w14:textId="69666DF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w:t>
      </w:r>
      <w:r w:rsidRPr="00145D8B">
        <w:rPr>
          <w:rFonts w:ascii="Times New Roman" w:hAnsi="Times New Roman" w:cs="Times New Roman"/>
          <w:color w:val="000000" w:themeColor="text1"/>
        </w:rPr>
        <w:lastRenderedPageBreak/>
        <w:t>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8" w:name="analysis-results"/>
    </w:p>
    <w:p w14:paraId="4F83D40A" w14:textId="0F6A75E7"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9" w:name="_Toc46507617"/>
      <w:bookmarkStart w:id="60" w:name="_Toc46512016"/>
      <w:r w:rsidRPr="00AD7D5D">
        <w:rPr>
          <w:rFonts w:ascii="Times New Roman" w:hAnsi="Times New Roman" w:cs="Times New Roman"/>
          <w:color w:val="000000" w:themeColor="text1"/>
          <w:sz w:val="24"/>
          <w:szCs w:val="24"/>
        </w:rPr>
        <w:t>Analysis &amp; Results</w:t>
      </w:r>
      <w:bookmarkEnd w:id="58"/>
      <w:bookmarkEnd w:id="59"/>
      <w:bookmarkEnd w:id="60"/>
    </w:p>
    <w:p w14:paraId="6AE9AA74" w14:textId="4B1DADE0"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w:t>
      </w:r>
      <w:r w:rsidRPr="00145D8B">
        <w:rPr>
          <w:rFonts w:ascii="Times New Roman" w:hAnsi="Times New Roman" w:cs="Times New Roman"/>
          <w:color w:val="000000" w:themeColor="text1"/>
        </w:rPr>
        <w:lastRenderedPageBreak/>
        <w:t xml:space="preserve">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1"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2" w:name="_Toc46507618"/>
      <w:bookmarkStart w:id="63" w:name="_Toc46512017"/>
      <w:bookmarkEnd w:id="61"/>
      <w:r w:rsidRPr="00AD7D5D">
        <w:rPr>
          <w:b w:val="0"/>
          <w:bCs w:val="0"/>
        </w:rPr>
        <w:t>DISCUSSION</w:t>
      </w:r>
      <w:bookmarkEnd w:id="62"/>
      <w:bookmarkEnd w:id="63"/>
    </w:p>
    <w:p w14:paraId="303ECA6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4" w:name="theoretical-implications"/>
    </w:p>
    <w:p w14:paraId="4E0386DF" w14:textId="785A0355"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5" w:name="_Toc46507619"/>
      <w:bookmarkStart w:id="66" w:name="_Toc46512018"/>
      <w:r w:rsidRPr="00AD7D5D">
        <w:rPr>
          <w:rFonts w:ascii="Times New Roman" w:hAnsi="Times New Roman" w:cs="Times New Roman"/>
          <w:color w:val="000000" w:themeColor="text1"/>
          <w:sz w:val="24"/>
          <w:szCs w:val="24"/>
        </w:rPr>
        <w:t>Theoretical Implications</w:t>
      </w:r>
      <w:bookmarkEnd w:id="64"/>
      <w:bookmarkEnd w:id="65"/>
      <w:bookmarkEnd w:id="66"/>
    </w:p>
    <w:p w14:paraId="244F9E92" w14:textId="47B264D8"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w:t>
      </w:r>
      <w:r w:rsidR="001F2ADC">
        <w:rPr>
          <w:rFonts w:ascii="Times New Roman" w:hAnsi="Times New Roman" w:cs="Times New Roman"/>
          <w:color w:val="000000" w:themeColor="text1"/>
        </w:rPr>
        <w:lastRenderedPageBreak/>
        <w:t xml:space="preserve">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It is worth reflecting on the fact that this work was different from typical presentations in organizational psychology and management. There were no regression coefficients, no multi-level models, no interviews or surveys. Instead, this research was consistent with a generative or </w:t>
      </w:r>
      <w:r w:rsidRPr="00145D8B">
        <w:rPr>
          <w:rFonts w:ascii="Times New Roman" w:hAnsi="Times New Roman" w:cs="Times New Roman"/>
          <w:color w:val="000000" w:themeColor="text1"/>
        </w:rPr>
        <w:lastRenderedPageBreak/>
        <w:t>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7" w:name="practical-implications"/>
    </w:p>
    <w:p w14:paraId="4A91F9F7" w14:textId="5D2F5B42"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8" w:name="_Toc46507620"/>
      <w:bookmarkStart w:id="69" w:name="_Toc46512019"/>
      <w:r w:rsidRPr="00AD7D5D">
        <w:rPr>
          <w:rFonts w:ascii="Times New Roman" w:hAnsi="Times New Roman" w:cs="Times New Roman"/>
          <w:color w:val="000000" w:themeColor="text1"/>
          <w:sz w:val="24"/>
          <w:szCs w:val="24"/>
        </w:rPr>
        <w:t>Practical implications</w:t>
      </w:r>
      <w:bookmarkEnd w:id="67"/>
      <w:bookmarkEnd w:id="68"/>
      <w:bookmarkEnd w:id="69"/>
    </w:p>
    <w:p w14:paraId="205E3F12" w14:textId="2443D83D"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0224F">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40224F">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70" w:name="limitations"/>
    </w:p>
    <w:p w14:paraId="7DB3BD43" w14:textId="7370C05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1" w:name="_Toc46507621"/>
      <w:bookmarkStart w:id="72" w:name="_Toc46512020"/>
      <w:r w:rsidRPr="00AD7D5D">
        <w:rPr>
          <w:rFonts w:ascii="Times New Roman" w:hAnsi="Times New Roman" w:cs="Times New Roman"/>
          <w:color w:val="000000" w:themeColor="text1"/>
          <w:sz w:val="24"/>
          <w:szCs w:val="24"/>
        </w:rPr>
        <w:t>Limitations</w:t>
      </w:r>
      <w:bookmarkEnd w:id="70"/>
      <w:bookmarkEnd w:id="71"/>
      <w:bookmarkEnd w:id="72"/>
    </w:p>
    <w:p w14:paraId="4DAA66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3" w:name="conclusion"/>
    </w:p>
    <w:p w14:paraId="2B76DBA5" w14:textId="09D50EEE"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4" w:name="_Toc46507622"/>
      <w:bookmarkStart w:id="75" w:name="_Toc46512021"/>
      <w:r w:rsidRPr="00AD7D5D">
        <w:rPr>
          <w:rFonts w:ascii="Times New Roman" w:hAnsi="Times New Roman" w:cs="Times New Roman"/>
          <w:color w:val="000000" w:themeColor="text1"/>
          <w:sz w:val="24"/>
          <w:szCs w:val="24"/>
        </w:rPr>
        <w:t>Conclusion</w:t>
      </w:r>
      <w:bookmarkEnd w:id="73"/>
      <w:bookmarkEnd w:id="74"/>
      <w:bookmarkEnd w:id="75"/>
    </w:p>
    <w:p w14:paraId="631582AB" w14:textId="4E37E4DE"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6" w:name="appendix"/>
    </w:p>
    <w:p w14:paraId="05E8665A" w14:textId="61AA6FCA" w:rsidR="00145D8B" w:rsidRPr="00AD7D5D" w:rsidRDefault="007E797A" w:rsidP="00AD7D5D">
      <w:pPr>
        <w:pStyle w:val="Heading1"/>
        <w:jc w:val="center"/>
        <w:rPr>
          <w:b w:val="0"/>
          <w:bCs w:val="0"/>
        </w:rPr>
      </w:pPr>
      <w:bookmarkStart w:id="77" w:name="_Toc46507623"/>
      <w:bookmarkStart w:id="78" w:name="_Toc46512022"/>
      <w:bookmarkEnd w:id="76"/>
      <w:r w:rsidRPr="00AD7D5D">
        <w:rPr>
          <w:b w:val="0"/>
          <w:bCs w:val="0"/>
        </w:rPr>
        <w:lastRenderedPageBreak/>
        <w:t>APPENDIX</w:t>
      </w:r>
      <w:bookmarkEnd w:id="77"/>
      <w:bookmarkEnd w:id="78"/>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9" w:name="refs"/>
      <w:bookmarkStart w:id="80" w:name="ref-adler_social_2002"/>
      <w:bookmarkEnd w:id="79"/>
      <w:bookmarkEnd w:id="80"/>
      <w:r w:rsidR="00145D8B">
        <w:rPr>
          <w:rFonts w:ascii="Times New Roman" w:hAnsi="Times New Roman" w:cs="Times New Roman"/>
          <w:color w:val="000000" w:themeColor="text1"/>
        </w:rPr>
        <w:t>.</w:t>
      </w:r>
    </w:p>
    <w:p w14:paraId="6A0A77F4" w14:textId="77777777" w:rsidR="00CC34FD" w:rsidRPr="00CC34FD" w:rsidRDefault="00711388" w:rsidP="00CC34FD">
      <w:pPr>
        <w:pStyle w:val="BodyText"/>
        <w:rPr>
          <w:lang w:val="en-US"/>
        </w:rPr>
      </w:pPr>
      <w:hyperlink r:id="rId12" w:history="1">
        <w:r w:rsidR="00CC34FD"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13">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guinis_cumulative_2016"/>
      <w:bookmarkEnd w:id="8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kimoto_generalized_2008"/>
      <w:bookmarkEnd w:id="8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allen1998effects"/>
      <w:bookmarkEnd w:id="8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martocchio_employee_2009"/>
      <w:bookmarkEnd w:id="8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psychology_1982"/>
      <w:bookmarkEnd w:id="8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ndura_helping_2012"/>
      <w:bookmarkEnd w:id="8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asu_introduction_2003"/>
      <w:bookmarkEnd w:id="8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8" w:name="ref-becker_theory_1965"/>
      <w:bookmarkEnd w:id="8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9" w:name="ref-bergeron_potential_2007"/>
      <w:bookmarkEnd w:id="8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organizational_2013"/>
      <w:bookmarkEnd w:id="9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geron_dual_2014"/>
      <w:bookmarkEnd w:id="9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ernhardsson_buffet_nodate"/>
      <w:bookmarkEnd w:id="92"/>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hattacharya_testing_2005"/>
      <w:bookmarkEnd w:id="9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lumberg_missing_1982"/>
      <w:bookmarkEnd w:id="9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hns_mis_2016"/>
      <w:bookmarkEnd w:id="9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citizenship_1999"/>
      <w:bookmarkEnd w:id="9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well_2015"/>
      <w:bookmarkEnd w:id="9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2"/>
      <w:bookmarkEnd w:id="9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lino_citizenship_2009"/>
      <w:bookmarkEnd w:id="9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naccio_advice_2006"/>
      <w:bookmarkEnd w:id="10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ottazzi_stochastic_2003"/>
      <w:bookmarkEnd w:id="10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brown_attenuating_2005"/>
      <w:bookmarkEnd w:id="10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ain_giving_2014"/>
      <w:bookmarkEnd w:id="103"/>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ang_moving_2009"/>
      <w:bookmarkEnd w:id="10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iaburu_five-factor_2011"/>
      <w:bookmarkEnd w:id="10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hristian_dynamic_2015"/>
      <w:bookmarkEnd w:id="10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test_1976"/>
      <w:bookmarkEnd w:id="10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social_2004"/>
      <w:bookmarkEnd w:id="10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ialdini_reciprocal_1975"/>
      <w:bookmarkEnd w:id="109"/>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nnolly_regret_2013"/>
      <w:bookmarkEnd w:id="11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ooper_world_1982"/>
      <w:bookmarkEnd w:id="11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cronin_why_2009"/>
      <w:bookmarkEnd w:id="11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3" w:name="ref-dalal_within-person_2009"/>
      <w:bookmarkEnd w:id="11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awis_note_1978"/>
      <w:bookmarkEnd w:id="11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ci_self-determination_1980"/>
      <w:bookmarkEnd w:id="115"/>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random_2004"/>
      <w:bookmarkEnd w:id="11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organizational_2008"/>
      <w:bookmarkEnd w:id="11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nrell_perspectivechance_2014"/>
      <w:bookmarkEnd w:id="11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motivated_2005"/>
      <w:bookmarkEnd w:id="11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shon_clarifying_2009"/>
      <w:bookmarkEnd w:id="12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utsch_study_1955"/>
      <w:bookmarkEnd w:id="12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ew_serendipity_2009"/>
      <w:bookmarkEnd w:id="12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ckey_distribution_1979"/>
      <w:bookmarkEnd w:id="12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illard_sequential-request_1984"/>
      <w:bookmarkEnd w:id="12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dobrow_introduction_2016"/>
      <w:bookmarkEnd w:id="12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nzle_rhetorical_1982"/>
      <w:bookmarkEnd w:id="12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2008model"/>
      <w:bookmarkEnd w:id="12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epstein_explorations_1979"/>
      <w:bookmarkEnd w:id="12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hr_obtaining_1979"/>
      <w:bookmarkEnd w:id="129"/>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erris_what_2018"/>
      <w:bookmarkEnd w:id="13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leeson_whole_2015"/>
      <w:bookmarkEnd w:id="13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2" w:name="ref-florey_reactions_1997"/>
      <w:bookmarkEnd w:id="13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orgas_asking_1998"/>
      <w:bookmarkEnd w:id="13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eedman_compliance_1966"/>
      <w:bookmarkEnd w:id="13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friedrich_primary_1993"/>
      <w:bookmarkEnd w:id="13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lunic_positive_2012"/>
      <w:bookmarkEnd w:id="13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asper_approaching_2014"/>
      <w:bookmarkEnd w:id="13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ilbert_correspondence_1995"/>
      <w:bookmarkEnd w:id="13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lomb_doing_2011"/>
      <w:bookmarkEnd w:id="13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ham_consultant_1998"/>
      <w:bookmarkEnd w:id="140"/>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d_brain_2017"/>
      <w:bookmarkEnd w:id="141"/>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ive_2014"/>
      <w:bookmarkEnd w:id="14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nt_good_2009"/>
      <w:bookmarkEnd w:id="14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ay_emergence_2014"/>
      <w:bookmarkEnd w:id="14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eenberg_self-serving_1982"/>
      <w:bookmarkEnd w:id="14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gross_beneficiary_1975"/>
      <w:bookmarkEnd w:id="14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ansen_search-transfer_1999"/>
      <w:bookmarkEnd w:id="14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ider_social_1944"/>
      <w:bookmarkEnd w:id="14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enderson_how_2012"/>
      <w:bookmarkEnd w:id="14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context-dependent_1996"/>
      <w:bookmarkEnd w:id="15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ghhouse_judgment_2013"/>
      <w:bookmarkEnd w:id="15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bert_toward_2012"/>
      <w:bookmarkEnd w:id="15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narrative_2006"/>
      <w:bookmarkEnd w:id="15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helping_2008"/>
      <w:bookmarkEnd w:id="15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_biased_1997"/>
      <w:bookmarkEnd w:id="15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ills_optimal_2012"/>
      <w:bookmarkEnd w:id="156"/>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ockey_compensatory_1997"/>
      <w:bookmarkEnd w:id="15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8" w:name="ref-hsee_velocity_1991"/>
      <w:bookmarkEnd w:id="158"/>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hui_instrumental_2000"/>
      <w:bookmarkEnd w:id="15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gen_computational_2000"/>
      <w:bookmarkEnd w:id="16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lies_interactive_2006"/>
      <w:bookmarkEnd w:id="16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inkpen_social_2005"/>
      <w:bookmarkEnd w:id="16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aynes_probability_2003"/>
      <w:bookmarkEnd w:id="16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johns_advances_2018"/>
      <w:bookmarkEnd w:id="16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alick_matching_1986"/>
      <w:bookmarkEnd w:id="16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kunda_case_1990"/>
      <w:bookmarkEnd w:id="16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ce_ferris_being_2019"/>
      <w:bookmarkEnd w:id="16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ders_primer_2016"/>
      <w:bookmarkEnd w:id="16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nger_semantics_1972"/>
      <w:bookmarkEnd w:id="169"/>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psychology_1981"/>
      <w:bookmarkEnd w:id="17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tane_unresponsive_1970"/>
      <w:bookmarkEnd w:id="17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aurenceau_using_2005"/>
      <w:bookmarkEnd w:id="17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evashina_structured_2014"/>
      <w:bookmarkEnd w:id="17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4" w:name="ref-lewin_field_1951"/>
      <w:bookmarkEnd w:id="17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good_2016"/>
      <w:bookmarkEnd w:id="17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iu_organizational_2017"/>
      <w:bookmarkEnd w:id="17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lord_moving_1994"/>
      <w:bookmarkEnd w:id="17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nn_does_2014"/>
      <w:bookmarkEnd w:id="17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atta_not_2020"/>
      <w:bookmarkEnd w:id="17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eglino_considering_2004"/>
      <w:bookmarkEnd w:id="18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1" w:name="ref-methot_good_2017"/>
      <w:bookmarkEnd w:id="181"/>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ischel_cognitive-affective_1995"/>
      <w:bookmarkEnd w:id="182"/>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mlodinow_drunkards_2008"/>
      <w:bookmarkEnd w:id="18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gengast_big_2012"/>
      <w:bookmarkEnd w:id="18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ahapiet_social_1998"/>
      <w:bookmarkEnd w:id="18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newman_recruitment_2009"/>
      <w:bookmarkEnd w:id="18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1988"/>
      <w:bookmarkEnd w:id="18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organizational_2005"/>
      <w:bookmarkEnd w:id="18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organ_meta-analytic_1995"/>
      <w:bookmarkEnd w:id="18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ciello_high_2013"/>
      <w:bookmarkEnd w:id="19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an_social_2017"/>
      <w:bookmarkEnd w:id="19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guihyun_park_why_2019"/>
      <w:bookmarkEnd w:id="19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rganizational_2000"/>
      <w:bookmarkEnd w:id="19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dsakoff_oxford_2018"/>
      <w:bookmarkEnd w:id="194"/>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lson_good_2012"/>
      <w:bookmarkEnd w:id="19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powers_feedback_1973"/>
      <w:bookmarkEnd w:id="19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ke_one_2016"/>
      <w:bookmarkEnd w:id="197"/>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einholt_why_2011"/>
      <w:bookmarkEnd w:id="19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caboni_size_2008"/>
      <w:bookmarkEnd w:id="19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ich_job_2010"/>
      <w:bookmarkEnd w:id="20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getting_2001"/>
      <w:bookmarkEnd w:id="20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egocentric_1979"/>
      <w:bookmarkEnd w:id="20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ross_introduction_2014"/>
      <w:bookmarkEnd w:id="20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aloner_strategic_2001"/>
      <w:bookmarkEnd w:id="20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cullen_forced_2005"/>
      <w:bookmarkEnd w:id="20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eibert_social_2001"/>
      <w:bookmarkEnd w:id="20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iffman_ecological_2009"/>
      <w:bookmarkEnd w:id="20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ort_concept_2010"/>
      <w:bookmarkEnd w:id="20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hreve_stochastic_2004"/>
      <w:bookmarkEnd w:id="20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ehavioral_1955"/>
      <w:bookmarkEnd w:id="21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rational_1956"/>
      <w:bookmarkEnd w:id="21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bounded_1991"/>
      <w:bookmarkEnd w:id="21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mon_what_1992"/>
      <w:bookmarkEnd w:id="213"/>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itzmann_sometimes_2010"/>
      <w:bookmarkEnd w:id="214"/>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aldino2015theory"/>
      <w:bookmarkEnd w:id="21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_organizational_1983"/>
      <w:bookmarkEnd w:id="21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mith2007agent"/>
      <w:bookmarkEnd w:id="21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rnberg_use_2001"/>
      <w:bookmarkEnd w:id="21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adaptation_2006"/>
      <w:bookmarkEnd w:id="21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stewart_exploring_2007"/>
      <w:bookmarkEnd w:id="22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aleb_fooled_2005"/>
      <w:bookmarkEnd w:id="22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tt_situation_2000"/>
      <w:bookmarkEnd w:id="22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ews_helping_2009"/>
      <w:bookmarkEnd w:id="22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horsteinson_anchoring_2008"/>
      <w:bookmarkEnd w:id="22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tijms_understanding_2012"/>
      <w:bookmarkEnd w:id="22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ancouver_using_2016"/>
      <w:bookmarkEnd w:id="22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vogel_integrating_2009"/>
      <w:bookmarkEnd w:id="22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addell_its_2015"/>
      <w:bookmarkEnd w:id="228"/>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egwarth_smart_2009"/>
      <w:bookmarkEnd w:id="22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30" w:name="ref-weyant_application_1996"/>
      <w:bookmarkEnd w:id="23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wong_between-individual_2005"/>
      <w:bookmarkEnd w:id="23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yechiam_learning_2003"/>
      <w:bookmarkEnd w:id="23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3" w:name="ref-zaheer_time_1999"/>
      <w:bookmarkEnd w:id="23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EDCC3" w14:textId="77777777" w:rsidR="00711388" w:rsidRDefault="00711388" w:rsidP="00F071F0">
      <w:pPr>
        <w:spacing w:after="0"/>
      </w:pPr>
      <w:r>
        <w:separator/>
      </w:r>
    </w:p>
  </w:endnote>
  <w:endnote w:type="continuationSeparator" w:id="0">
    <w:p w14:paraId="51703337" w14:textId="77777777" w:rsidR="00711388" w:rsidRDefault="00711388"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F75F28" w:rsidRDefault="00F75F28"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F75F28" w:rsidRDefault="00F75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F75F28" w:rsidRDefault="00F75F28"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F75F28" w:rsidRDefault="00F7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8B27B" w14:textId="77777777" w:rsidR="00711388" w:rsidRDefault="00711388" w:rsidP="00F071F0">
      <w:pPr>
        <w:spacing w:after="0"/>
      </w:pPr>
      <w:r>
        <w:separator/>
      </w:r>
    </w:p>
  </w:footnote>
  <w:footnote w:type="continuationSeparator" w:id="0">
    <w:p w14:paraId="74E3CC66" w14:textId="77777777" w:rsidR="00711388" w:rsidRDefault="00711388"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13D62"/>
    <w:rsid w:val="00031643"/>
    <w:rsid w:val="000775F8"/>
    <w:rsid w:val="000B1844"/>
    <w:rsid w:val="000D1F86"/>
    <w:rsid w:val="001020A3"/>
    <w:rsid w:val="0012008A"/>
    <w:rsid w:val="00140B5F"/>
    <w:rsid w:val="00142C22"/>
    <w:rsid w:val="00145D8B"/>
    <w:rsid w:val="0014685A"/>
    <w:rsid w:val="001633C0"/>
    <w:rsid w:val="0016396F"/>
    <w:rsid w:val="001678DA"/>
    <w:rsid w:val="001831E3"/>
    <w:rsid w:val="001F2ADC"/>
    <w:rsid w:val="003B718C"/>
    <w:rsid w:val="003D12ED"/>
    <w:rsid w:val="003E1A8C"/>
    <w:rsid w:val="0040224F"/>
    <w:rsid w:val="00482BF4"/>
    <w:rsid w:val="004D270E"/>
    <w:rsid w:val="004E339A"/>
    <w:rsid w:val="004E3C1F"/>
    <w:rsid w:val="005E6A40"/>
    <w:rsid w:val="00626F47"/>
    <w:rsid w:val="00635AD7"/>
    <w:rsid w:val="0063774C"/>
    <w:rsid w:val="00653DF2"/>
    <w:rsid w:val="00664109"/>
    <w:rsid w:val="00684861"/>
    <w:rsid w:val="006A2605"/>
    <w:rsid w:val="006C7094"/>
    <w:rsid w:val="006E0096"/>
    <w:rsid w:val="00711388"/>
    <w:rsid w:val="0071337A"/>
    <w:rsid w:val="007559E8"/>
    <w:rsid w:val="00772DA6"/>
    <w:rsid w:val="0079319B"/>
    <w:rsid w:val="007E6FC2"/>
    <w:rsid w:val="007E797A"/>
    <w:rsid w:val="008274AA"/>
    <w:rsid w:val="008C295D"/>
    <w:rsid w:val="0094403F"/>
    <w:rsid w:val="00975FD3"/>
    <w:rsid w:val="0097711F"/>
    <w:rsid w:val="00990472"/>
    <w:rsid w:val="009A2386"/>
    <w:rsid w:val="009A77BB"/>
    <w:rsid w:val="009E3619"/>
    <w:rsid w:val="009F6F78"/>
    <w:rsid w:val="00A2726A"/>
    <w:rsid w:val="00A37B1C"/>
    <w:rsid w:val="00A423DE"/>
    <w:rsid w:val="00A425AC"/>
    <w:rsid w:val="00A55653"/>
    <w:rsid w:val="00A711B0"/>
    <w:rsid w:val="00AB26E0"/>
    <w:rsid w:val="00AD7D5D"/>
    <w:rsid w:val="00B26698"/>
    <w:rsid w:val="00B71159"/>
    <w:rsid w:val="00B766E6"/>
    <w:rsid w:val="00BB1ED6"/>
    <w:rsid w:val="00BD1706"/>
    <w:rsid w:val="00C2617C"/>
    <w:rsid w:val="00CC34FD"/>
    <w:rsid w:val="00CD659E"/>
    <w:rsid w:val="00D6248B"/>
    <w:rsid w:val="00DB308E"/>
    <w:rsid w:val="00DB65C7"/>
    <w:rsid w:val="00DC0862"/>
    <w:rsid w:val="00E102E1"/>
    <w:rsid w:val="00E16936"/>
    <w:rsid w:val="00E51DDE"/>
    <w:rsid w:val="00E63CCB"/>
    <w:rsid w:val="00E81AF4"/>
    <w:rsid w:val="00F071F0"/>
    <w:rsid w:val="00F11189"/>
    <w:rsid w:val="00F420AF"/>
    <w:rsid w:val="00F75F28"/>
    <w:rsid w:val="00FA31FD"/>
    <w:rsid w:val="00FB111F"/>
    <w:rsid w:val="00FB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hyperlink" Target="https://github.com/Cdishop" TargetMode="External"/><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49</Pages>
  <Words>20245</Words>
  <Characters>115397</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29</cp:revision>
  <dcterms:created xsi:type="dcterms:W3CDTF">2020-07-04T22:19:00Z</dcterms:created>
  <dcterms:modified xsi:type="dcterms:W3CDTF">2020-08-25T13:33:00Z</dcterms:modified>
</cp:coreProperties>
</file>