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1416BD">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1416BD">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1416BD">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1416BD">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1416BD">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1416BD">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1416BD">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1416BD">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1416BD">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1416BD">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40126FCB" w:rsidR="00F420AF" w:rsidRP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r w:rsidR="00BD05FD">
        <w:rPr>
          <w:rFonts w:ascii="Times New Roman" w:hAnsi="Times New Roman" w:cs="Times New Roman"/>
          <w:color w:val="000000" w:themeColor="text1"/>
        </w:rPr>
        <w:t xml:space="preserve"> That said, </w:t>
      </w:r>
      <w:r w:rsidR="00BD05FD">
        <w:rPr>
          <w:rFonts w:ascii="Times New Roman" w:hAnsi="Times New Roman" w:cs="Times New Roman"/>
          <w:color w:val="000000" w:themeColor="text1"/>
        </w:rPr>
        <w:t xml:space="preserve">I acknowledge that there are many circumstances in which OCBs occur outside the context of a plea for help. No </w:t>
      </w:r>
      <w:r w:rsidR="00BD05FD">
        <w:rPr>
          <w:rFonts w:ascii="Times New Roman" w:hAnsi="Times New Roman" w:cs="Times New Roman"/>
          <w:color w:val="000000" w:themeColor="text1"/>
        </w:rPr>
        <w:t>rule</w:t>
      </w:r>
      <w:r w:rsidR="00BD05FD">
        <w:rPr>
          <w:rFonts w:ascii="Times New Roman" w:hAnsi="Times New Roman" w:cs="Times New Roman"/>
          <w:color w:val="000000" w:themeColor="text1"/>
        </w:rPr>
        <w:t xml:space="preserve"> demands that when an employee challenges the dominant perspective in a meeting, offers suggestions to new hires, or actively creates new ways of completing tasks he or she does so</w:t>
      </w:r>
      <w:r w:rsidR="00BD05FD">
        <w:rPr>
          <w:rFonts w:ascii="Times New Roman" w:hAnsi="Times New Roman" w:cs="Times New Roman"/>
          <w:color w:val="000000" w:themeColor="text1"/>
        </w:rPr>
        <w:t xml:space="preserve"> only</w:t>
      </w:r>
      <w:r w:rsidR="00BD05FD">
        <w:rPr>
          <w:rFonts w:ascii="Times New Roman" w:hAnsi="Times New Roman" w:cs="Times New Roman"/>
          <w:color w:val="000000" w:themeColor="text1"/>
        </w:rPr>
        <w:t xml:space="preserve"> after being solicited from coworkers. Entire articles, book chapters, and careers have been dedicated to documenting the importance of challenging OCBs in organizations. It is a limitation of this study that I choose to focus only on solicited acts of help. But </w:t>
      </w:r>
      <w:r w:rsidR="00BD05FD">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among citizenship scholars </w:t>
      </w:r>
      <w:r w:rsidR="00BD05FD">
        <w:rPr>
          <w:rFonts w:ascii="Times New Roman" w:hAnsi="Times New Roman" w:cs="Times New Roman"/>
          <w:color w:val="000000" w:themeColor="text1"/>
        </w:rPr>
        <w:t xml:space="preserve">is that OCBs commonly manifest as </w:t>
      </w:r>
      <w:r w:rsidR="00BD05FD">
        <w:rPr>
          <w:rFonts w:ascii="Times New Roman" w:hAnsi="Times New Roman" w:cs="Times New Roman"/>
          <w:color w:val="000000" w:themeColor="text1"/>
        </w:rPr>
        <w:t>affiliative actions</w:t>
      </w:r>
      <w:r w:rsidR="00BD05FD">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For this reason, I limit the current study to only that area. </w:t>
      </w: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73BDF962"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29083E3D" w:rsidR="0040224F" w:rsidRPr="0040224F" w:rsidRDefault="0040224F" w:rsidP="009A2D8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six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3C488413"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BD05FD">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C188876" w14:textId="47F9CE45" w:rsidR="00BD1706" w:rsidRPr="00AD7D5D" w:rsidRDefault="00BD1706" w:rsidP="00BD05FD">
      <w:pPr>
        <w:pStyle w:val="Heading3"/>
        <w:spacing w:before="0"/>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BD05FD">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w:t>
      </w:r>
      <w:r w:rsidRPr="002136D3">
        <w:rPr>
          <w:rFonts w:ascii="Times New Roman" w:hAnsi="Times New Roman" w:cs="Times New Roman"/>
          <w:color w:val="000000" w:themeColor="text1"/>
        </w:rPr>
        <w:lastRenderedPageBreak/>
        <w:t>(2015),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3ABE71A8" w:rsidR="006C7094" w:rsidRDefault="00BD1706" w:rsidP="00816571">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large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In an early meta-analysis, for example, OCBs correlated with satisfaction, perceived fairness, perceptions of leadership support, and conscientiousness (Organ &amp; Ryan, 1995). Later meta-analyses documented relationships between OCBs and other personality facets (</w:t>
      </w:r>
      <w:proofErr w:type="spellStart"/>
      <w:r w:rsidR="00D753D2">
        <w:rPr>
          <w:rFonts w:ascii="Times New Roman" w:hAnsi="Times New Roman" w:cs="Times New Roman"/>
          <w:color w:val="000000" w:themeColor="text1"/>
        </w:rPr>
        <w:t>Chiaburu</w:t>
      </w:r>
      <w:proofErr w:type="spellEnd"/>
      <w:r w:rsidR="00D753D2">
        <w:rPr>
          <w:rFonts w:ascii="Times New Roman" w:hAnsi="Times New Roman" w:cs="Times New Roman"/>
          <w:color w:val="000000" w:themeColor="text1"/>
        </w:rPr>
        <w:t>, Oh, Berry, Li, &amp; Gardner, 2011) and other perceptions of leadership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816571">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 xml:space="preserve">Even if employees are identical in </w:t>
      </w:r>
      <w:r w:rsidRPr="00D423F2">
        <w:rPr>
          <w:rFonts w:ascii="Times New Roman" w:hAnsi="Times New Roman" w:cs="Times New Roman"/>
          <w:color w:val="000000" w:themeColor="text1"/>
        </w:rPr>
        <w:lastRenderedPageBreak/>
        <w:t>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2967FBDC" w14:textId="07F5DA74" w:rsidR="00B54B85"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I examine</w:t>
      </w:r>
      <w:r w:rsidR="009C2115">
        <w:rPr>
          <w:rFonts w:ascii="Times New Roman" w:hAnsi="Times New Roman" w:cs="Times New Roman"/>
          <w:color w:val="000000" w:themeColor="text1"/>
        </w:rPr>
        <w:t xml:space="preserve"> the downstream consequences of accumulating requests for help (and employee reactions to such requests).</w:t>
      </w:r>
      <w:r w:rsidR="00B54B85">
        <w:rPr>
          <w:rFonts w:ascii="Times New Roman" w:hAnsi="Times New Roman" w:cs="Times New Roman"/>
          <w:color w:val="000000" w:themeColor="text1"/>
        </w:rPr>
        <w:t xml:space="preserve"> The random school and the systematic school (may) differ in their reasons for why some employees accumulate requests differently than others, but they make the same predictions (in the context of the current study) regarding whether or not good soldiers emerge. This point is easier to articulate after describing the full theoretical framework, so I return to it in the Discussion. </w:t>
      </w:r>
    </w:p>
    <w:p w14:paraId="61EF7BEE" w14:textId="2F1EF037" w:rsidR="00E102E1" w:rsidRP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w:t>
      </w:r>
      <w:r w:rsidRPr="00145D8B">
        <w:rPr>
          <w:rFonts w:ascii="Times New Roman" w:hAnsi="Times New Roman" w:cs="Times New Roman"/>
          <w:color w:val="000000" w:themeColor="text1"/>
        </w:rPr>
        <w:lastRenderedPageBreak/>
        <w:t xml:space="preserve">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w:t>
      </w:r>
      <w:r w:rsidRPr="00145D8B">
        <w:rPr>
          <w:rFonts w:ascii="Times New Roman" w:hAnsi="Times New Roman" w:cs="Times New Roman"/>
          <w:color w:val="000000" w:themeColor="text1"/>
        </w:rPr>
        <w:lastRenderedPageBreak/>
        <w:t>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04243AAA"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79790FB4"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w:t>
      </w:r>
      <w:r w:rsidRPr="00145D8B">
        <w:rPr>
          <w:rFonts w:ascii="Times New Roman" w:hAnsi="Times New Roman" w:cs="Times New Roman"/>
          <w:color w:val="000000" w:themeColor="text1"/>
        </w:rPr>
        <w:lastRenderedPageBreak/>
        <w:t>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53A8B417"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B54B85">
      <w:pPr>
        <w:pStyle w:val="Heading1"/>
        <w:spacing w:before="0"/>
        <w:jc w:val="center"/>
        <w:rPr>
          <w:b w:val="0"/>
          <w:bCs w:val="0"/>
        </w:rPr>
      </w:pPr>
      <w:bookmarkStart w:id="31" w:name="_Toc46507607"/>
      <w:bookmarkStart w:id="32" w:name="_Toc46512006"/>
      <w:r w:rsidRPr="00AD7D5D">
        <w:rPr>
          <w:b w:val="0"/>
          <w:bCs w:val="0"/>
        </w:rPr>
        <w:t>RESEARCH OVERVIEW</w:t>
      </w:r>
      <w:bookmarkEnd w:id="31"/>
      <w:bookmarkEnd w:id="32"/>
    </w:p>
    <w:p w14:paraId="7B1C4299" w14:textId="77777777" w:rsid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3" w:name="pilot"/>
    </w:p>
    <w:p w14:paraId="03B36184" w14:textId="548D5602" w:rsidR="00145D8B" w:rsidRPr="00AD7D5D" w:rsidRDefault="000775F8" w:rsidP="0040224F">
      <w:pPr>
        <w:pStyle w:val="Heading1"/>
        <w:spacing w:before="0"/>
        <w:jc w:val="center"/>
        <w:rPr>
          <w:b w:val="0"/>
          <w:bCs w:val="0"/>
        </w:rPr>
      </w:pPr>
      <w:bookmarkStart w:id="34" w:name="_Toc46507608"/>
      <w:bookmarkStart w:id="35" w:name="_Toc46512007"/>
      <w:bookmarkEnd w:id="33"/>
      <w:r w:rsidRPr="00AD7D5D">
        <w:rPr>
          <w:b w:val="0"/>
          <w:bCs w:val="0"/>
        </w:rPr>
        <w:t>PILOT</w:t>
      </w:r>
      <w:bookmarkEnd w:id="34"/>
      <w:bookmarkEnd w:id="35"/>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6" w:name="_Toc46507609"/>
      <w:bookmarkStart w:id="37" w:name="_Toc46512008"/>
      <w:r w:rsidRPr="00AD7D5D">
        <w:rPr>
          <w:rFonts w:ascii="Times New Roman" w:hAnsi="Times New Roman" w:cs="Times New Roman"/>
          <w:color w:val="000000" w:themeColor="text1"/>
          <w:sz w:val="24"/>
          <w:szCs w:val="24"/>
        </w:rPr>
        <w:t>Data Sources</w:t>
      </w:r>
      <w:bookmarkEnd w:id="36"/>
      <w:bookmarkEnd w:id="37"/>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8" w:name="_Toc46507610"/>
      <w:bookmarkStart w:id="39" w:name="_Toc46512009"/>
      <w:r w:rsidRPr="00AD7D5D">
        <w:rPr>
          <w:rStyle w:val="Heading3Char"/>
          <w:rFonts w:ascii="Times New Roman" w:hAnsi="Times New Roman" w:cs="Times New Roman"/>
          <w:color w:val="000000" w:themeColor="text1"/>
          <w:sz w:val="24"/>
          <w:szCs w:val="24"/>
        </w:rPr>
        <w:t>Issues on GitHub Repositories – Non-Academic</w:t>
      </w:r>
      <w:bookmarkEnd w:id="38"/>
      <w:bookmarkEnd w:id="3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w:t>
      </w:r>
      <w:r w:rsidRPr="00145D8B">
        <w:rPr>
          <w:rFonts w:ascii="Times New Roman" w:hAnsi="Times New Roman" w:cs="Times New Roman"/>
          <w:color w:val="000000" w:themeColor="text1"/>
        </w:rPr>
        <w:lastRenderedPageBreak/>
        <w:t>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0" w:name="_Toc46507611"/>
      <w:bookmarkStart w:id="41" w:name="_Toc46512010"/>
      <w:r w:rsidRPr="00AD7D5D">
        <w:rPr>
          <w:rStyle w:val="Heading3Char"/>
          <w:rFonts w:ascii="Times New Roman" w:hAnsi="Times New Roman" w:cs="Times New Roman"/>
          <w:color w:val="000000" w:themeColor="text1"/>
          <w:sz w:val="24"/>
          <w:szCs w:val="24"/>
        </w:rPr>
        <w:t>Issues on GitHub Repositories – Academic</w:t>
      </w:r>
      <w:bookmarkEnd w:id="40"/>
      <w:bookmarkEnd w:id="41"/>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2"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3" w:name="_Toc46507612"/>
      <w:bookmarkStart w:id="44" w:name="_Toc46512011"/>
      <w:r w:rsidRPr="00AD7D5D">
        <w:rPr>
          <w:rFonts w:ascii="Times New Roman" w:hAnsi="Times New Roman" w:cs="Times New Roman"/>
          <w:color w:val="000000" w:themeColor="text1"/>
          <w:sz w:val="24"/>
          <w:szCs w:val="24"/>
        </w:rPr>
        <w:t>Analysis</w:t>
      </w:r>
      <w:bookmarkEnd w:id="42"/>
      <w:bookmarkEnd w:id="43"/>
      <w:bookmarkEnd w:id="44"/>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Kuljanin, Braun, &amp; DeShon, 2011). What matters for my purposes is that random walks contain </w:t>
      </w:r>
      <w:r w:rsidRPr="00145D8B">
        <w:rPr>
          <w:rFonts w:ascii="Times New Roman" w:hAnsi="Times New Roman" w:cs="Times New Roman"/>
          <w:color w:val="000000" w:themeColor="text1"/>
        </w:rPr>
        <w:lastRenderedPageBreak/>
        <w:t>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w:t>
      </w:r>
      <w:proofErr w:type="spellStart"/>
      <w:r w:rsidRPr="001A52FF">
        <w:rPr>
          <w:rFonts w:ascii="Times New Roman" w:hAnsi="Times New Roman" w:cs="Times New Roman"/>
        </w:rPr>
        <w:t>succintly</w:t>
      </w:r>
      <w:proofErr w:type="spellEnd"/>
      <w:r w:rsidRPr="001A52FF">
        <w:rPr>
          <w:rFonts w:ascii="Times New Roman" w:hAnsi="Times New Roman" w:cs="Times New Roman"/>
        </w:rPr>
        <w:t xml:space="preserve">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74AED4A6" w14:textId="77777777"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the last step is to evaluate the hypothesis. Ordinary-least-squares regression is used to estimate delta, and the coefficient is divided by its standard error to find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69DB2F30" w14:textId="18AE2805" w:rsidR="007F1E59" w:rsidRDefault="007F1E59" w:rsidP="0040224F">
      <w:pPr>
        <w:pStyle w:val="BodyText"/>
        <w:spacing w:before="0" w:after="0"/>
        <w:ind w:firstLine="720"/>
        <w:rPr>
          <w:rFonts w:ascii="Times New Roman" w:hAnsi="Times New Roman" w:cs="Times New Roman"/>
          <w:color w:val="000000" w:themeColor="text1"/>
        </w:rPr>
      </w:pPr>
    </w:p>
    <w:p w14:paraId="28561AC6" w14:textId="77777777" w:rsidR="00F420AF" w:rsidRDefault="00F420AF" w:rsidP="009A77BB">
      <w:pPr>
        <w:spacing w:after="0"/>
        <w:rPr>
          <w:rFonts w:ascii="Times New Roman" w:hAnsi="Times New Roman" w:cs="Times New Roman"/>
        </w:rPr>
      </w:pPr>
      <w:bookmarkStart w:id="45" w:name="results"/>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6" w:name="_Toc46507613"/>
      <w:bookmarkStart w:id="47" w:name="_Toc46512012"/>
      <w:r w:rsidRPr="00AD7D5D">
        <w:rPr>
          <w:rFonts w:ascii="Times New Roman" w:hAnsi="Times New Roman" w:cs="Times New Roman"/>
          <w:color w:val="000000" w:themeColor="text1"/>
          <w:sz w:val="24"/>
          <w:szCs w:val="24"/>
        </w:rPr>
        <w:t>Results</w:t>
      </w:r>
      <w:bookmarkEnd w:id="45"/>
      <w:bookmarkEnd w:id="46"/>
      <w:bookmarkEnd w:id="47"/>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lastRenderedPageBreak/>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8"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9" w:name="_Toc46507614"/>
      <w:bookmarkStart w:id="50" w:name="_Toc46512013"/>
      <w:r w:rsidRPr="00AD7D5D">
        <w:rPr>
          <w:rFonts w:ascii="Times New Roman" w:hAnsi="Times New Roman" w:cs="Times New Roman"/>
          <w:color w:val="000000" w:themeColor="text1"/>
          <w:sz w:val="24"/>
          <w:szCs w:val="24"/>
        </w:rPr>
        <w:t>Pilot Discussion</w:t>
      </w:r>
      <w:bookmarkEnd w:id="48"/>
      <w:bookmarkEnd w:id="49"/>
      <w:bookmarkEnd w:id="50"/>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1" w:name="study"/>
    </w:p>
    <w:p w14:paraId="1DEB493B" w14:textId="26A1A75B" w:rsidR="00145D8B" w:rsidRPr="00AD7D5D" w:rsidRDefault="000775F8" w:rsidP="0040224F">
      <w:pPr>
        <w:pStyle w:val="Heading1"/>
        <w:spacing w:before="0"/>
        <w:jc w:val="center"/>
        <w:rPr>
          <w:b w:val="0"/>
          <w:bCs w:val="0"/>
        </w:rPr>
      </w:pPr>
      <w:bookmarkStart w:id="52" w:name="_Toc46507615"/>
      <w:bookmarkStart w:id="53" w:name="_Toc46512014"/>
      <w:bookmarkEnd w:id="51"/>
      <w:r w:rsidRPr="00AD7D5D">
        <w:rPr>
          <w:b w:val="0"/>
          <w:bCs w:val="0"/>
        </w:rPr>
        <w:t>STUDY</w:t>
      </w:r>
      <w:bookmarkEnd w:id="52"/>
      <w:bookmarkEnd w:id="53"/>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4"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5" w:name="_Toc46507616"/>
      <w:bookmarkStart w:id="56" w:name="_Toc46512015"/>
      <w:r w:rsidRPr="00AD7D5D">
        <w:rPr>
          <w:rFonts w:ascii="Times New Roman" w:hAnsi="Times New Roman" w:cs="Times New Roman"/>
          <w:color w:val="000000" w:themeColor="text1"/>
          <w:sz w:val="24"/>
          <w:szCs w:val="24"/>
        </w:rPr>
        <w:t>Simulation Heuristic</w:t>
      </w:r>
      <w:bookmarkEnd w:id="54"/>
      <w:bookmarkEnd w:id="55"/>
      <w:bookmarkEnd w:id="56"/>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t>
      </w:r>
      <w:r w:rsidRPr="00145D8B">
        <w:rPr>
          <w:rFonts w:ascii="Times New Roman" w:hAnsi="Times New Roman" w:cs="Times New Roman"/>
          <w:color w:val="000000" w:themeColor="text1"/>
        </w:rPr>
        <w:lastRenderedPageBreak/>
        <w:t xml:space="preserve">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7" w:name="analysis-results"/>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8" w:name="_Toc46507617"/>
      <w:bookmarkStart w:id="59" w:name="_Toc46512016"/>
      <w:r w:rsidRPr="00AD7D5D">
        <w:rPr>
          <w:rFonts w:ascii="Times New Roman" w:hAnsi="Times New Roman" w:cs="Times New Roman"/>
          <w:color w:val="000000" w:themeColor="text1"/>
          <w:sz w:val="24"/>
          <w:szCs w:val="24"/>
        </w:rPr>
        <w:t>Analysis &amp; Results</w:t>
      </w:r>
      <w:bookmarkEnd w:id="57"/>
      <w:bookmarkEnd w:id="58"/>
      <w:bookmarkEnd w:id="59"/>
    </w:p>
    <w:p w14:paraId="6AE9AA74" w14:textId="622FEF8D" w:rsidR="00E102E1" w:rsidRDefault="00E102E1" w:rsidP="009850E8">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71562206" w14:textId="47AC2347" w:rsidR="009850E8" w:rsidRPr="009850E8"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because it demands one to evaluate  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w:t>
      </w:r>
      <w:r w:rsidRPr="009850E8">
        <w:rPr>
          <w:rFonts w:ascii="Times New Roman" w:hAnsi="Times New Roman" w:cs="Times New Roman"/>
          <w:color w:val="000000" w:themeColor="text1"/>
        </w:rPr>
        <w:lastRenderedPageBreak/>
        <w:t xml:space="preserve">need to evaluate multiple realizations because the same behavior manifests across each stimulation run. (Technically, deterministic systems can produce chaos so this statement isn't always true). </w:t>
      </w:r>
    </w:p>
    <w:p w14:paraId="6405D374" w14:textId="17B2F6A0" w:rsidR="009850E8" w:rsidRPr="00145D8B"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 stable ranks/quantiles -- is synonymous with the idea of a good soldier as described in our literature. The best employee at period one is frequently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 relative to their colleagues -- at 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(quantiles) remain stable across n = 1, 2, 3, 4, etc. periods. A high probability means "the most likely realization to occur." A low probability means "the least likely realization to occur." When the greatest probability occurs over high values of n, this means the </w:t>
      </w:r>
      <w:proofErr w:type="spellStart"/>
      <w:r w:rsidRPr="009850E8">
        <w:rPr>
          <w:rFonts w:ascii="Times New Roman" w:hAnsi="Times New Roman" w:cs="Times New Roman"/>
          <w:color w:val="000000" w:themeColor="text1"/>
        </w:rPr>
        <w:t>the</w:t>
      </w:r>
      <w:proofErr w:type="spellEnd"/>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n, this means that the given condition is unlikely to yield stable ranks. Most realizations are instead those which manifest unstable OCB ranks. </w:t>
      </w:r>
    </w:p>
    <w:p w14:paraId="213D0733" w14:textId="51EF3E25"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0"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1" w:name="_Toc46507618"/>
      <w:bookmarkStart w:id="62" w:name="_Toc46512017"/>
      <w:bookmarkEnd w:id="60"/>
      <w:r w:rsidRPr="00AD7D5D">
        <w:rPr>
          <w:b w:val="0"/>
          <w:bCs w:val="0"/>
        </w:rPr>
        <w:t>DISCUSSION</w:t>
      </w:r>
      <w:bookmarkEnd w:id="61"/>
      <w:bookmarkEnd w:id="62"/>
    </w:p>
    <w:p w14:paraId="303ECA6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3"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4" w:name="_Toc46507619"/>
      <w:bookmarkStart w:id="65" w:name="_Toc46512018"/>
      <w:r w:rsidRPr="00AD7D5D">
        <w:rPr>
          <w:rFonts w:ascii="Times New Roman" w:hAnsi="Times New Roman" w:cs="Times New Roman"/>
          <w:color w:val="000000" w:themeColor="text1"/>
          <w:sz w:val="24"/>
          <w:szCs w:val="24"/>
        </w:rPr>
        <w:t>Theoretical Implications</w:t>
      </w:r>
      <w:bookmarkEnd w:id="63"/>
      <w:bookmarkEnd w:id="64"/>
      <w:bookmarkEnd w:id="65"/>
    </w:p>
    <w:p w14:paraId="244F9E92" w14:textId="47B264D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w:t>
      </w:r>
      <w:r w:rsidR="001F2ADC">
        <w:rPr>
          <w:rFonts w:ascii="Times New Roman" w:hAnsi="Times New Roman" w:cs="Times New Roman"/>
          <w:color w:val="000000" w:themeColor="text1"/>
        </w:rPr>
        <w:lastRenderedPageBreak/>
        <w:t xml:space="preserve">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w:t>
      </w:r>
      <w:r w:rsidRPr="00145D8B">
        <w:rPr>
          <w:rFonts w:ascii="Times New Roman" w:hAnsi="Times New Roman" w:cs="Times New Roman"/>
          <w:color w:val="000000" w:themeColor="text1"/>
        </w:rPr>
        <w:lastRenderedPageBreak/>
        <w:t>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6"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7" w:name="_Toc46507620"/>
      <w:bookmarkStart w:id="68" w:name="_Toc46512019"/>
      <w:r w:rsidRPr="00AD7D5D">
        <w:rPr>
          <w:rFonts w:ascii="Times New Roman" w:hAnsi="Times New Roman" w:cs="Times New Roman"/>
          <w:color w:val="000000" w:themeColor="text1"/>
          <w:sz w:val="24"/>
          <w:szCs w:val="24"/>
        </w:rPr>
        <w:t>Practical implications</w:t>
      </w:r>
      <w:bookmarkEnd w:id="66"/>
      <w:bookmarkEnd w:id="67"/>
      <w:bookmarkEnd w:id="68"/>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69"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0" w:name="_Toc46507621"/>
      <w:bookmarkStart w:id="71" w:name="_Toc46512020"/>
      <w:r w:rsidRPr="00AD7D5D">
        <w:rPr>
          <w:rFonts w:ascii="Times New Roman" w:hAnsi="Times New Roman" w:cs="Times New Roman"/>
          <w:color w:val="000000" w:themeColor="text1"/>
          <w:sz w:val="24"/>
          <w:szCs w:val="24"/>
        </w:rPr>
        <w:t>Limitations</w:t>
      </w:r>
      <w:bookmarkEnd w:id="69"/>
      <w:bookmarkEnd w:id="70"/>
      <w:bookmarkEnd w:id="71"/>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2"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3" w:name="_Toc46507622"/>
      <w:bookmarkStart w:id="74" w:name="_Toc46512021"/>
      <w:r w:rsidRPr="00AD7D5D">
        <w:rPr>
          <w:rFonts w:ascii="Times New Roman" w:hAnsi="Times New Roman" w:cs="Times New Roman"/>
          <w:color w:val="000000" w:themeColor="text1"/>
          <w:sz w:val="24"/>
          <w:szCs w:val="24"/>
        </w:rPr>
        <w:t>Conclusion</w:t>
      </w:r>
      <w:bookmarkEnd w:id="72"/>
      <w:bookmarkEnd w:id="73"/>
      <w:bookmarkEnd w:id="74"/>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5" w:name="appendix"/>
    </w:p>
    <w:p w14:paraId="05E8665A" w14:textId="61AA6FCA" w:rsidR="00145D8B" w:rsidRPr="00AD7D5D" w:rsidRDefault="007E797A" w:rsidP="00AD7D5D">
      <w:pPr>
        <w:pStyle w:val="Heading1"/>
        <w:jc w:val="center"/>
        <w:rPr>
          <w:b w:val="0"/>
          <w:bCs w:val="0"/>
        </w:rPr>
      </w:pPr>
      <w:bookmarkStart w:id="76" w:name="_Toc46507623"/>
      <w:bookmarkStart w:id="77" w:name="_Toc46512022"/>
      <w:bookmarkEnd w:id="75"/>
      <w:r w:rsidRPr="00AD7D5D">
        <w:rPr>
          <w:b w:val="0"/>
          <w:bCs w:val="0"/>
        </w:rPr>
        <w:lastRenderedPageBreak/>
        <w:t>APPENDIX</w:t>
      </w:r>
      <w:bookmarkEnd w:id="76"/>
      <w:bookmarkEnd w:id="77"/>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8" w:name="refs"/>
      <w:bookmarkStart w:id="79" w:name="ref-adler_social_2002"/>
      <w:bookmarkEnd w:id="78"/>
      <w:bookmarkEnd w:id="79"/>
      <w:r w:rsidR="00145D8B">
        <w:rPr>
          <w:rFonts w:ascii="Times New Roman" w:hAnsi="Times New Roman" w:cs="Times New Roman"/>
          <w:color w:val="000000" w:themeColor="text1"/>
        </w:rPr>
        <w:t>.</w:t>
      </w:r>
    </w:p>
    <w:p w14:paraId="6A0A77F4" w14:textId="77777777" w:rsidR="00CC34FD" w:rsidRPr="00CC34FD" w:rsidRDefault="001416BD"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0" w:name="ref-aguinis_cumulative_2016"/>
      <w:bookmarkEnd w:id="80"/>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kimoto_generalized_2008"/>
      <w:bookmarkEnd w:id="81"/>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llen1998effects"/>
      <w:bookmarkEnd w:id="82"/>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martocchio_employee_2009"/>
      <w:bookmarkEnd w:id="83"/>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bandura_psychology_1982"/>
      <w:bookmarkEnd w:id="84"/>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helping_2012"/>
      <w:bookmarkEnd w:id="85"/>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su_introduction_2003"/>
      <w:bookmarkEnd w:id="86"/>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ecker_theory_1965"/>
      <w:bookmarkEnd w:id="87"/>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8" w:name="ref-bergeron_potential_2007"/>
      <w:bookmarkEnd w:id="88"/>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9" w:name="ref-bergeron_organizational_2013"/>
      <w:bookmarkEnd w:id="89"/>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dual_2014"/>
      <w:bookmarkEnd w:id="90"/>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nhardsson_buffet_nodate"/>
      <w:bookmarkEnd w:id="91"/>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hattacharya_testing_2005"/>
      <w:bookmarkEnd w:id="9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lumberg_missing_1982"/>
      <w:bookmarkEnd w:id="9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ohns_mis_2016"/>
      <w:bookmarkEnd w:id="94"/>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lino_citizenship_1999"/>
      <w:bookmarkEnd w:id="95"/>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well_2015"/>
      <w:bookmarkEnd w:id="96"/>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citizenship_2002"/>
      <w:bookmarkEnd w:id="97"/>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9"/>
      <w:bookmarkEnd w:id="98"/>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naccio_advice_2006"/>
      <w:bookmarkEnd w:id="99"/>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ttazzi_stochastic_2003"/>
      <w:bookmarkEnd w:id="100"/>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rown_attenuating_2005"/>
      <w:bookmarkEnd w:id="101"/>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cain_giving_2014"/>
      <w:bookmarkEnd w:id="102"/>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hang_moving_2009"/>
      <w:bookmarkEnd w:id="103"/>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iaburu_five-factor_2011"/>
      <w:bookmarkEnd w:id="104"/>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ristian_dynamic_2015"/>
      <w:bookmarkEnd w:id="10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ialdini_test_1976"/>
      <w:bookmarkEnd w:id="106"/>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social_2004"/>
      <w:bookmarkEnd w:id="10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reciprocal_1975"/>
      <w:bookmarkEnd w:id="108"/>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onnolly_regret_2013"/>
      <w:bookmarkEnd w:id="10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oper_world_1982"/>
      <w:bookmarkEnd w:id="11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ronin_why_2009"/>
      <w:bookmarkEnd w:id="111"/>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2" w:name="ref-dalal_within-person_2009"/>
      <w:bookmarkEnd w:id="112"/>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3" w:name="ref-dawis_note_1978"/>
      <w:bookmarkEnd w:id="113"/>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eci_self-determination_1980"/>
      <w:bookmarkEnd w:id="114"/>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nrell_random_2004"/>
      <w:bookmarkEnd w:id="115"/>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organizational_2008"/>
      <w:bookmarkEnd w:id="116"/>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perspectivechance_2014"/>
      <w:bookmarkEnd w:id="117"/>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shon_motivated_2005"/>
      <w:bookmarkEnd w:id="118"/>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clarifying_2009"/>
      <w:bookmarkEnd w:id="119"/>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utsch_study_1955"/>
      <w:bookmarkEnd w:id="120"/>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w_serendipity_2009"/>
      <w:bookmarkEnd w:id="121"/>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ickey_distribution_1979"/>
      <w:bookmarkEnd w:id="122"/>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llard_sequential-request_1984"/>
      <w:bookmarkEnd w:id="123"/>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obrow_introduction_2016"/>
      <w:bookmarkEnd w:id="124"/>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enzle_rhetorical_1982"/>
      <w:bookmarkEnd w:id="125"/>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pstein2008model"/>
      <w:bookmarkEnd w:id="126"/>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_explorations_1979"/>
      <w:bookmarkEnd w:id="127"/>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fehr_obtaining_1979"/>
      <w:bookmarkEnd w:id="128"/>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rris_what_2018"/>
      <w:bookmarkEnd w:id="129"/>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leeson_whole_2015"/>
      <w:bookmarkEnd w:id="130"/>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1" w:name="ref-florey_reactions_1997"/>
      <w:bookmarkEnd w:id="131"/>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2" w:name="ref-forgas_asking_1998"/>
      <w:bookmarkEnd w:id="132"/>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reedman_compliance_1966"/>
      <w:bookmarkEnd w:id="133"/>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iedrich_primary_1993"/>
      <w:bookmarkEnd w:id="134"/>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galunic_positive_2012"/>
      <w:bookmarkEnd w:id="135"/>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sper_approaching_2014"/>
      <w:bookmarkEnd w:id="136"/>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ilbert_correspondence_1995"/>
      <w:bookmarkEnd w:id="137"/>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lomb_doing_2011"/>
      <w:bookmarkEnd w:id="138"/>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raham_consultant_1998"/>
      <w:bookmarkEnd w:id="139"/>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nd_brain_2017"/>
      <w:bookmarkEnd w:id="140"/>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t_give_2014"/>
      <w:bookmarkEnd w:id="141"/>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ood_2009"/>
      <w:bookmarkEnd w:id="142"/>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y_emergence_2014"/>
      <w:bookmarkEnd w:id="143"/>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eenberg_self-serving_1982"/>
      <w:bookmarkEnd w:id="144"/>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oss_beneficiary_1975"/>
      <w:bookmarkEnd w:id="145"/>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hansen_search-transfer_1999"/>
      <w:bookmarkEnd w:id="146"/>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eider_social_1944"/>
      <w:bookmarkEnd w:id="147"/>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nderson_how_2012"/>
      <w:bookmarkEnd w:id="148"/>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ighhouse_context-dependent_1996"/>
      <w:bookmarkEnd w:id="149"/>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judgment_2013"/>
      <w:bookmarkEnd w:id="150"/>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lbert_toward_2012"/>
      <w:bookmarkEnd w:id="151"/>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l_narrative_2006"/>
      <w:bookmarkEnd w:id="152"/>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helping_2008"/>
      <w:bookmarkEnd w:id="153"/>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biased_1997"/>
      <w:bookmarkEnd w:id="154"/>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s_optimal_2012"/>
      <w:bookmarkEnd w:id="155"/>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ockey_compensatory_1997"/>
      <w:bookmarkEnd w:id="156"/>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7" w:name="ref-hsee_velocity_1991"/>
      <w:bookmarkEnd w:id="157"/>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8" w:name="ref-hui_instrumental_2000"/>
      <w:bookmarkEnd w:id="158"/>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ilgen_computational_2000"/>
      <w:bookmarkEnd w:id="159"/>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ies_interactive_2006"/>
      <w:bookmarkEnd w:id="160"/>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nkpen_social_2005"/>
      <w:bookmarkEnd w:id="161"/>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jaynes_probability_2003"/>
      <w:bookmarkEnd w:id="162"/>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ohns_advances_2018"/>
      <w:bookmarkEnd w:id="163"/>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kalick_matching_1986"/>
      <w:bookmarkEnd w:id="164"/>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unda_case_1990"/>
      <w:bookmarkEnd w:id="165"/>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lance_ferris_being_2019"/>
      <w:bookmarkEnd w:id="166"/>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ders_primer_2016"/>
      <w:bookmarkEnd w:id="167"/>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ger_semantics_1972"/>
      <w:bookmarkEnd w:id="168"/>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tane_psychology_1981"/>
      <w:bookmarkEnd w:id="169"/>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unresponsive_1970"/>
      <w:bookmarkEnd w:id="170"/>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urenceau_using_2005"/>
      <w:bookmarkEnd w:id="171"/>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evashina_structured_2014"/>
      <w:bookmarkEnd w:id="172"/>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3" w:name="ref-lewin_field_1951"/>
      <w:bookmarkEnd w:id="17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4" w:name="ref-liu_good_2016"/>
      <w:bookmarkEnd w:id="17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organizational_2017"/>
      <w:bookmarkEnd w:id="175"/>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ord_moving_1994"/>
      <w:bookmarkEnd w:id="17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mann_does_2014"/>
      <w:bookmarkEnd w:id="177"/>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tta_not_2020"/>
      <w:bookmarkEnd w:id="178"/>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eglino_considering_2004"/>
      <w:bookmarkEnd w:id="179"/>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0" w:name="ref-methot_good_2017"/>
      <w:bookmarkEnd w:id="180"/>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1" w:name="ref-mischel_cognitive-affective_1995"/>
      <w:bookmarkEnd w:id="181"/>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lodinow_drunkards_2008"/>
      <w:bookmarkEnd w:id="182"/>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nagengast_big_2012"/>
      <w:bookmarkEnd w:id="183"/>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hapiet_social_1998"/>
      <w:bookmarkEnd w:id="184"/>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ewman_recruitment_2009"/>
      <w:bookmarkEnd w:id="185"/>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organ_organizational_1988"/>
      <w:bookmarkEnd w:id="186"/>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2005"/>
      <w:bookmarkEnd w:id="187"/>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meta-analytic_1995"/>
      <w:bookmarkEnd w:id="188"/>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paciello_high_2013"/>
      <w:bookmarkEnd w:id="189"/>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n_social_2017"/>
      <w:bookmarkEnd w:id="190"/>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guihyun_park_why_2019"/>
      <w:bookmarkEnd w:id="191"/>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podsakoff_organizational_2000"/>
      <w:bookmarkEnd w:id="192"/>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xford_2018"/>
      <w:bookmarkEnd w:id="193"/>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lson_good_2012"/>
      <w:bookmarkEnd w:id="194"/>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wers_feedback_1973"/>
      <w:bookmarkEnd w:id="195"/>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reike_one_2016"/>
      <w:bookmarkEnd w:id="196"/>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nholt_why_2011"/>
      <w:bookmarkEnd w:id="197"/>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iccaboni_size_2008"/>
      <w:bookmarkEnd w:id="198"/>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h_job_2010"/>
      <w:bookmarkEnd w:id="199"/>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oss_getting_2001"/>
      <w:bookmarkEnd w:id="200"/>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egocentric_1979"/>
      <w:bookmarkEnd w:id="201"/>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introduction_2014"/>
      <w:bookmarkEnd w:id="202"/>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saloner_strategic_2001"/>
      <w:bookmarkEnd w:id="203"/>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cullen_forced_2005"/>
      <w:bookmarkEnd w:id="204"/>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eibert_social_2001"/>
      <w:bookmarkEnd w:id="205"/>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hiffman_ecological_2009"/>
      <w:bookmarkEnd w:id="206"/>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ort_concept_2010"/>
      <w:bookmarkEnd w:id="207"/>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reve_stochastic_2004"/>
      <w:bookmarkEnd w:id="208"/>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imon_behavioral_1955"/>
      <w:bookmarkEnd w:id="209"/>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rational_1956"/>
      <w:bookmarkEnd w:id="210"/>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bounded_1991"/>
      <w:bookmarkEnd w:id="211"/>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what_1992"/>
      <w:bookmarkEnd w:id="212"/>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tzmann_sometimes_2010"/>
      <w:bookmarkEnd w:id="213"/>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maldino2015theory"/>
      <w:bookmarkEnd w:id="214"/>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ith_organizational_1983"/>
      <w:bookmarkEnd w:id="215"/>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2007agent"/>
      <w:bookmarkEnd w:id="216"/>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ternberg_use_2001"/>
      <w:bookmarkEnd w:id="217"/>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wart_adaptation_2006"/>
      <w:bookmarkEnd w:id="218"/>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exploring_2007"/>
      <w:bookmarkEnd w:id="219"/>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taleb_fooled_2005"/>
      <w:bookmarkEnd w:id="220"/>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ett_situation_2000"/>
      <w:bookmarkEnd w:id="221"/>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ws_helping_2009"/>
      <w:bookmarkEnd w:id="222"/>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horsteinson_anchoring_2008"/>
      <w:bookmarkEnd w:id="223"/>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ijms_understanding_2012"/>
      <w:bookmarkEnd w:id="224"/>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vancouver_using_2016"/>
      <w:bookmarkEnd w:id="225"/>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ogel_integrating_2009"/>
      <w:bookmarkEnd w:id="226"/>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waddell_its_2015"/>
      <w:bookmarkEnd w:id="227"/>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egwarth_smart_2009"/>
      <w:bookmarkEnd w:id="228"/>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29" w:name="ref-weyant_application_1996"/>
      <w:bookmarkEnd w:id="229"/>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0" w:name="ref-wong_between-individual_2005"/>
      <w:bookmarkEnd w:id="230"/>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yechiam_learning_2003"/>
      <w:bookmarkEnd w:id="231"/>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zaheer_time_1999"/>
      <w:bookmarkEnd w:id="23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116A2" w14:textId="77777777" w:rsidR="009E3D07" w:rsidRDefault="009E3D07" w:rsidP="00F071F0">
      <w:pPr>
        <w:spacing w:after="0"/>
      </w:pPr>
      <w:r>
        <w:separator/>
      </w:r>
    </w:p>
  </w:endnote>
  <w:endnote w:type="continuationSeparator" w:id="0">
    <w:p w14:paraId="7FC11FE9" w14:textId="77777777" w:rsidR="009E3D07" w:rsidRDefault="009E3D07"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1416BD" w:rsidRDefault="001416BD"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1416BD" w:rsidRDefault="00141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1416BD" w:rsidRDefault="001416BD"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1416BD" w:rsidRDefault="00141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7FDB3" w14:textId="77777777" w:rsidR="009E3D07" w:rsidRDefault="009E3D07" w:rsidP="00F071F0">
      <w:pPr>
        <w:spacing w:after="0"/>
      </w:pPr>
      <w:r>
        <w:separator/>
      </w:r>
    </w:p>
  </w:footnote>
  <w:footnote w:type="continuationSeparator" w:id="0">
    <w:p w14:paraId="62A1515A" w14:textId="77777777" w:rsidR="009E3D07" w:rsidRDefault="009E3D07"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4950"/>
    <w:rsid w:val="000775F8"/>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C7877"/>
    <w:rsid w:val="001F2ADC"/>
    <w:rsid w:val="001F6D97"/>
    <w:rsid w:val="002A1B9C"/>
    <w:rsid w:val="00301BF0"/>
    <w:rsid w:val="003B718C"/>
    <w:rsid w:val="003D12ED"/>
    <w:rsid w:val="003D18B0"/>
    <w:rsid w:val="003D2B3A"/>
    <w:rsid w:val="003E1A8C"/>
    <w:rsid w:val="0040224F"/>
    <w:rsid w:val="00482BF4"/>
    <w:rsid w:val="00494B71"/>
    <w:rsid w:val="004D270E"/>
    <w:rsid w:val="004E05C2"/>
    <w:rsid w:val="004E339A"/>
    <w:rsid w:val="004E3C1F"/>
    <w:rsid w:val="004F2DD3"/>
    <w:rsid w:val="00547354"/>
    <w:rsid w:val="005533E9"/>
    <w:rsid w:val="005E6A40"/>
    <w:rsid w:val="005F12F3"/>
    <w:rsid w:val="00626F47"/>
    <w:rsid w:val="00635AD7"/>
    <w:rsid w:val="0063774C"/>
    <w:rsid w:val="00653DF2"/>
    <w:rsid w:val="00664109"/>
    <w:rsid w:val="00684861"/>
    <w:rsid w:val="006A2605"/>
    <w:rsid w:val="006C7094"/>
    <w:rsid w:val="006E0096"/>
    <w:rsid w:val="00711388"/>
    <w:rsid w:val="0071337A"/>
    <w:rsid w:val="007559E8"/>
    <w:rsid w:val="00772DA6"/>
    <w:rsid w:val="0079319B"/>
    <w:rsid w:val="007E6FC2"/>
    <w:rsid w:val="007E797A"/>
    <w:rsid w:val="007F1E59"/>
    <w:rsid w:val="00816571"/>
    <w:rsid w:val="008274AA"/>
    <w:rsid w:val="008C295D"/>
    <w:rsid w:val="008D43C9"/>
    <w:rsid w:val="0094403F"/>
    <w:rsid w:val="00975FD3"/>
    <w:rsid w:val="0097711F"/>
    <w:rsid w:val="009850E8"/>
    <w:rsid w:val="00990472"/>
    <w:rsid w:val="009A2386"/>
    <w:rsid w:val="009A2D8F"/>
    <w:rsid w:val="009A467A"/>
    <w:rsid w:val="009A77BB"/>
    <w:rsid w:val="009C2115"/>
    <w:rsid w:val="009E3619"/>
    <w:rsid w:val="009E3D07"/>
    <w:rsid w:val="009F6F78"/>
    <w:rsid w:val="00A2726A"/>
    <w:rsid w:val="00A31F00"/>
    <w:rsid w:val="00A37B1C"/>
    <w:rsid w:val="00A423DE"/>
    <w:rsid w:val="00A425AC"/>
    <w:rsid w:val="00A55653"/>
    <w:rsid w:val="00A61F92"/>
    <w:rsid w:val="00A711B0"/>
    <w:rsid w:val="00AB26E0"/>
    <w:rsid w:val="00AB4E38"/>
    <w:rsid w:val="00AD7D5D"/>
    <w:rsid w:val="00B26698"/>
    <w:rsid w:val="00B54B85"/>
    <w:rsid w:val="00B71159"/>
    <w:rsid w:val="00B766E6"/>
    <w:rsid w:val="00BB1ED6"/>
    <w:rsid w:val="00BD05FD"/>
    <w:rsid w:val="00BD1706"/>
    <w:rsid w:val="00BD6828"/>
    <w:rsid w:val="00C2617C"/>
    <w:rsid w:val="00CC34FD"/>
    <w:rsid w:val="00CD659E"/>
    <w:rsid w:val="00D2400D"/>
    <w:rsid w:val="00D423F2"/>
    <w:rsid w:val="00D6248B"/>
    <w:rsid w:val="00D753D2"/>
    <w:rsid w:val="00DB308E"/>
    <w:rsid w:val="00DB65C7"/>
    <w:rsid w:val="00DC0862"/>
    <w:rsid w:val="00E102E1"/>
    <w:rsid w:val="00E16936"/>
    <w:rsid w:val="00E51DDE"/>
    <w:rsid w:val="00E63CCB"/>
    <w:rsid w:val="00E81AF4"/>
    <w:rsid w:val="00EC2BB2"/>
    <w:rsid w:val="00EF2323"/>
    <w:rsid w:val="00F071F0"/>
    <w:rsid w:val="00F11189"/>
    <w:rsid w:val="00F25AFB"/>
    <w:rsid w:val="00F420AF"/>
    <w:rsid w:val="00F75F28"/>
    <w:rsid w:val="00F84BAD"/>
    <w:rsid w:val="00FA31FD"/>
    <w:rsid w:val="00FB111F"/>
    <w:rsid w:val="00FB2CC8"/>
    <w:rsid w:val="00FB7F19"/>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51</Pages>
  <Words>21508</Words>
  <Characters>122601</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39</cp:revision>
  <dcterms:created xsi:type="dcterms:W3CDTF">2020-07-04T22:19:00Z</dcterms:created>
  <dcterms:modified xsi:type="dcterms:W3CDTF">2020-08-28T18:38:00Z</dcterms:modified>
</cp:coreProperties>
</file>