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221E1176"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Pr>
          <w:rFonts w:ascii="Times New Roman" w:hAnsi="Times New Roman" w:cs="Times New Roman"/>
          <w:color w:val="000000" w:themeColor="text1"/>
        </w:rPr>
        <w:br w:type="page"/>
      </w:r>
    </w:p>
    <w:p w14:paraId="525C194E" w14:textId="64C9DD37" w:rsidR="0063774C" w:rsidRDefault="0063774C" w:rsidP="00F420A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5838B1A3" w:rsidR="0063774C" w:rsidRDefault="00E51DDE" w:rsidP="00F420AF">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r w:rsidR="0063774C">
        <w:rPr>
          <w:rFonts w:ascii="Times New Roman" w:hAnsi="Times New Roman" w:cs="Times New Roman"/>
          <w:color w:val="000000" w:themeColor="text1"/>
        </w:rPr>
        <w:br w:type="page"/>
      </w:r>
    </w:p>
    <w:p w14:paraId="406ACB19" w14:textId="2626ADA4"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w:t>
      </w:r>
      <w:r w:rsidRPr="00145D8B">
        <w:rPr>
          <w:rFonts w:ascii="Times New Roman" w:hAnsi="Times New Roman" w:cs="Times New Roman"/>
          <w:color w:val="000000" w:themeColor="text1"/>
        </w:rPr>
        <w:lastRenderedPageBreak/>
        <w:t>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1B10F2A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and good soldiers is missing an appreciation of the pleas for help </w:t>
      </w:r>
      <w:r w:rsidRPr="00145D8B">
        <w:rPr>
          <w:rFonts w:ascii="Times New Roman" w:hAnsi="Times New Roman" w:cs="Times New Roman"/>
          <w:color w:val="000000" w:themeColor="text1"/>
        </w:rPr>
        <w:lastRenderedPageBreak/>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 have the potential to change whether a given amount of help should merit the label “extra miler” or “good soldier” (the same amount of help looks different if it follows 2 versus 12 requests for assistance), and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w:t>
      </w:r>
      <w:r w:rsidRPr="00145D8B">
        <w:rPr>
          <w:rFonts w:ascii="Times New Roman" w:hAnsi="Times New Roman" w:cs="Times New Roman"/>
          <w:color w:val="000000" w:themeColor="text1"/>
        </w:rPr>
        <w:lastRenderedPageBreak/>
        <w:t>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w:t>
      </w:r>
      <w:r w:rsidRPr="00145D8B">
        <w:rPr>
          <w:rFonts w:ascii="Times New Roman" w:hAnsi="Times New Roman" w:cs="Times New Roman"/>
          <w:color w:val="000000" w:themeColor="text1"/>
        </w:rPr>
        <w:lastRenderedPageBreak/>
        <w:t>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67CEB129" w14:textId="77777777" w:rsidR="00F420AF" w:rsidRDefault="00F420AF" w:rsidP="00F420A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F420A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F420AF">
            <w:pPr>
              <w:spacing w:line="480" w:lineRule="auto"/>
              <w:rPr>
                <w:rFonts w:ascii="Times New Roman" w:hAnsi="Times New Roman" w:cs="Times New Roman"/>
                <w:b/>
                <w:bCs/>
              </w:rPr>
            </w:pPr>
          </w:p>
          <w:p w14:paraId="3652CC0C" w14:textId="77777777" w:rsidR="00F420AF" w:rsidRPr="009C26BA" w:rsidRDefault="00F420AF" w:rsidP="00F420AF">
            <w:pPr>
              <w:spacing w:line="480" w:lineRule="auto"/>
              <w:rPr>
                <w:rFonts w:ascii="Times New Roman" w:hAnsi="Times New Roman" w:cs="Times New Roman"/>
                <w:b/>
                <w:bCs/>
              </w:rPr>
            </w:pPr>
          </w:p>
          <w:p w14:paraId="216AB7DC" w14:textId="77777777" w:rsidR="00F420AF" w:rsidRPr="009C26BA" w:rsidRDefault="00F420AF" w:rsidP="00F420AF">
            <w:pPr>
              <w:spacing w:line="480" w:lineRule="auto"/>
              <w:rPr>
                <w:rFonts w:ascii="Times New Roman" w:hAnsi="Times New Roman" w:cs="Times New Roman"/>
                <w:b/>
                <w:bCs/>
              </w:rPr>
            </w:pPr>
          </w:p>
          <w:p w14:paraId="161C420D" w14:textId="77777777" w:rsidR="00F420AF" w:rsidRPr="009C26BA" w:rsidRDefault="00F420AF" w:rsidP="00F420AF">
            <w:pPr>
              <w:spacing w:line="480" w:lineRule="auto"/>
              <w:rPr>
                <w:rFonts w:ascii="Times New Roman" w:hAnsi="Times New Roman" w:cs="Times New Roman"/>
                <w:b/>
                <w:bCs/>
              </w:rPr>
            </w:pPr>
          </w:p>
          <w:p w14:paraId="551E9901"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F420AF">
            <w:pPr>
              <w:spacing w:line="480" w:lineRule="auto"/>
              <w:rPr>
                <w:rFonts w:ascii="Times New Roman" w:hAnsi="Times New Roman" w:cs="Times New Roman"/>
              </w:rPr>
            </w:pPr>
          </w:p>
          <w:p w14:paraId="1E592122" w14:textId="2E96EDF4" w:rsidR="00F420AF" w:rsidRDefault="00F420AF"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F420AF">
            <w:pPr>
              <w:spacing w:line="480" w:lineRule="auto"/>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5382147" w14:textId="1A817096" w:rsidR="00145D8B" w:rsidRPr="00145D8B" w:rsidRDefault="00E102E1" w:rsidP="009A2386">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Theoretical Background: Person x Situation Interaction</w:t>
      </w:r>
      <w:bookmarkEnd w:id="0"/>
    </w:p>
    <w:p w14:paraId="76108856" w14:textId="46B32E9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highlight the critical importance of adding 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w:t>
      </w:r>
      <w:r w:rsidRPr="00145D8B">
        <w:rPr>
          <w:rFonts w:ascii="Times New Roman" w:hAnsi="Times New Roman" w:cs="Times New Roman"/>
          <w:color w:val="000000" w:themeColor="text1"/>
        </w:rPr>
        <w:lastRenderedPageBreak/>
        <w:t>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w:t>
      </w:r>
      <w:r w:rsidRPr="00145D8B">
        <w:rPr>
          <w:rFonts w:ascii="Times New Roman" w:hAnsi="Times New Roman" w:cs="Times New Roman"/>
          <w:color w:val="000000" w:themeColor="text1"/>
        </w:rPr>
        <w:lastRenderedPageBreak/>
        <w:t xml:space="preserve">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w:t>
      </w:r>
      <w:r w:rsidRPr="00145D8B">
        <w:rPr>
          <w:rFonts w:ascii="Times New Roman" w:hAnsi="Times New Roman" w:cs="Times New Roman"/>
          <w:color w:val="000000" w:themeColor="text1"/>
        </w:rPr>
        <w:lastRenderedPageBreak/>
        <w:t>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w:t>
      </w:r>
      <w:r w:rsidRPr="00145D8B">
        <w:rPr>
          <w:rFonts w:ascii="Times New Roman" w:hAnsi="Times New Roman" w:cs="Times New Roman"/>
          <w:color w:val="000000" w:themeColor="text1"/>
        </w:rPr>
        <w:lastRenderedPageBreak/>
        <w:t>such a way that the pool has inertia/memory – the amount changes from where it was at the immediately prior time point, it does not arbitrarily swing to zero.</w:t>
      </w:r>
    </w:p>
    <w:p w14:paraId="79F34D37" w14:textId="3B240DAD"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often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390CCD98" w14:textId="77777777" w:rsidR="00F420AF" w:rsidRDefault="00F420AF" w:rsidP="00F420AF">
      <w:pPr>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F420AF">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F420AF">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F420AF">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 Systematic School of Thought</w:t>
      </w:r>
      <w:bookmarkEnd w:id="3"/>
    </w:p>
    <w:p w14:paraId="02319E7E" w14:textId="696F532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 even when a system is non-random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w:t>
      </w:r>
      <w:r w:rsidRPr="00145D8B">
        <w:rPr>
          <w:rFonts w:ascii="Times New Roman" w:hAnsi="Times New Roman" w:cs="Times New Roman"/>
          <w:color w:val="000000" w:themeColor="text1"/>
        </w:rPr>
        <w:lastRenderedPageBreak/>
        <w:t>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w:t>
      </w:r>
      <w:r w:rsidRPr="00145D8B">
        <w:rPr>
          <w:rFonts w:ascii="Times New Roman" w:hAnsi="Times New Roman" w:cs="Times New Roman"/>
          <w:color w:val="000000" w:themeColor="text1"/>
        </w:rPr>
        <w:lastRenderedPageBreak/>
        <w:t>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w:t>
      </w:r>
      <w:r w:rsidRPr="00145D8B">
        <w:rPr>
          <w:rFonts w:ascii="Times New Roman" w:hAnsi="Times New Roman" w:cs="Times New Roman"/>
          <w:color w:val="000000" w:themeColor="text1"/>
        </w:rPr>
        <w:lastRenderedPageBreak/>
        <w:t>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w:t>
      </w:r>
      <w:r w:rsidRPr="00145D8B">
        <w:rPr>
          <w:rFonts w:ascii="Times New Roman" w:hAnsi="Times New Roman" w:cs="Times New Roman"/>
          <w:color w:val="000000" w:themeColor="text1"/>
        </w:rPr>
        <w:lastRenderedPageBreak/>
        <w:t>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w:t>
      </w:r>
      <w:r w:rsidRPr="00145D8B">
        <w:rPr>
          <w:rFonts w:ascii="Times New Roman" w:hAnsi="Times New Roman" w:cs="Times New Roman"/>
          <w:color w:val="000000" w:themeColor="text1"/>
        </w:rPr>
        <w:lastRenderedPageBreak/>
        <w:t>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6E0A221C" w14:textId="256C46DC" w:rsidR="00F420AF"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includes 36 trajectories, each representing the number of received help requests (issues) across time for a single user. Each time-series represents a stock of help requests over time, with greater values indicating more requests and lower values indicating fewer requests. For each data set, the pilot research question regarding randomness and inertia is evaluated by assessing whether the series contains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28561AC6" w14:textId="77777777" w:rsidR="00F420AF" w:rsidRDefault="00F420AF" w:rsidP="00F420AF">
      <w:pPr>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F420AF">
            <w:pPr>
              <w:spacing w:before="40" w:after="4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F420AF">
            <w:pPr>
              <w:spacing w:before="40" w:after="40"/>
              <w:ind w:left="100" w:right="100"/>
              <w:jc w:val="right"/>
            </w:pPr>
            <w:r>
              <w:rPr>
                <w:rFonts w:ascii="Arial" w:eastAsia="Arial" w:hAnsi="Arial" w:cs="Arial"/>
                <w:color w:val="111111"/>
                <w:sz w:val="18"/>
                <w:szCs w:val="18"/>
              </w:rPr>
              <w:lastRenderedPageBreak/>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F420AF">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F420AF">
      <w:pPr>
        <w:rPr>
          <w:rFonts w:ascii="Times New Roman" w:hAnsi="Times New Roman" w:cs="Times New Roman"/>
        </w:rPr>
      </w:pPr>
    </w:p>
    <w:p w14:paraId="38A4E0F0" w14:textId="45E73409" w:rsidR="00F420AF" w:rsidRPr="00F420AF" w:rsidRDefault="00F420AF" w:rsidP="00F420AF">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4BEE7ED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w:t>
      </w:r>
      <w:r w:rsidRPr="00145D8B">
        <w:rPr>
          <w:rFonts w:ascii="Times New Roman" w:hAnsi="Times New Roman" w:cs="Times New Roman"/>
          <w:color w:val="000000" w:themeColor="text1"/>
        </w:rPr>
        <w:lastRenderedPageBreak/>
        <w:t xml:space="preserve">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9" w:name="pilot-discussion"/>
    </w:p>
    <w:p w14:paraId="11B0BB62" w14:textId="441161A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601F20F5"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r w:rsidRPr="00145D8B">
        <w:rPr>
          <w:rFonts w:ascii="Times New Roman" w:hAnsi="Times New Roman" w:cs="Times New Roman"/>
          <w:color w:val="000000" w:themeColor="text1"/>
        </w:rPr>
        <w:lastRenderedPageBreak/>
        <w:t>Recall that these labels refer to a subset of employees who frequently offer more help than others.</w:t>
      </w:r>
      <w:bookmarkStart w:id="11" w:name="simulation-heuristic"/>
    </w:p>
    <w:p w14:paraId="30017628" w14:textId="431EA61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69666DF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w:t>
      </w:r>
      <w:r w:rsidRPr="00145D8B">
        <w:rPr>
          <w:rFonts w:ascii="Times New Roman" w:hAnsi="Times New Roman" w:cs="Times New Roman"/>
          <w:color w:val="000000" w:themeColor="text1"/>
        </w:rPr>
        <w:lastRenderedPageBreak/>
        <w:t>meaning that an employee offers more help when her request pool is small and less help when her pool is large.</w:t>
      </w:r>
    </w:p>
    <w:p w14:paraId="677D9FC8"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w:t>
      </w:r>
      <w:r w:rsidRPr="00145D8B">
        <w:rPr>
          <w:rFonts w:ascii="Times New Roman" w:hAnsi="Times New Roman" w:cs="Times New Roman"/>
          <w:color w:val="000000" w:themeColor="text1"/>
        </w:rPr>
        <w:lastRenderedPageBreak/>
        <w:t xml:space="preserve">“streakiness”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B1DADE0"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w:t>
      </w:r>
      <w:r w:rsidRPr="00145D8B">
        <w:rPr>
          <w:rFonts w:ascii="Times New Roman" w:hAnsi="Times New Roman" w:cs="Times New Roman"/>
          <w:color w:val="000000" w:themeColor="text1"/>
        </w:rPr>
        <w:lastRenderedPageBreak/>
        <w:t xml:space="preserve">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99A872B" w:rsidR="009F6F78" w:rsidRPr="00145D8B"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lastRenderedPageBreak/>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conditions one and two. </w:t>
      </w:r>
    </w:p>
    <w:p w14:paraId="3D49E819" w14:textId="6C71302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F6F78">
      <w:pPr>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A5363D2" w:rsidR="009F6F78" w:rsidRPr="00145D8B"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conditions three and four. </w:t>
      </w:r>
    </w:p>
    <w:p w14:paraId="57A9C587" w14:textId="6FAA2B5A"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15C70054" w14:textId="77777777" w:rsidR="009F6F78" w:rsidRDefault="009F6F78" w:rsidP="009F6F78">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F6F78">
      <w:pPr>
        <w:pStyle w:val="BodyText"/>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64637C70"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47B264D8"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t>
      </w:r>
      <w:r w:rsidRPr="00145D8B">
        <w:rPr>
          <w:rFonts w:ascii="Times New Roman" w:hAnsi="Times New Roman" w:cs="Times New Roman"/>
          <w:color w:val="000000" w:themeColor="text1"/>
        </w:rPr>
        <w:lastRenderedPageBreak/>
        <w:t>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w:t>
      </w:r>
      <w:r w:rsidRPr="00145D8B">
        <w:rPr>
          <w:rFonts w:ascii="Times New Roman" w:hAnsi="Times New Roman" w:cs="Times New Roman"/>
          <w:color w:val="000000" w:themeColor="text1"/>
        </w:rPr>
        <w:lastRenderedPageBreak/>
        <w:t>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w:t>
      </w:r>
      <w:r w:rsidRPr="00145D8B">
        <w:rPr>
          <w:rFonts w:ascii="Times New Roman" w:hAnsi="Times New Roman" w:cs="Times New Roman"/>
          <w:color w:val="000000" w:themeColor="text1"/>
        </w:rPr>
        <w:lastRenderedPageBreak/>
        <w:t>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2443D83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79854C6F" w:rsidR="00E102E1" w:rsidRPr="00145D8B" w:rsidRDefault="00E102E1" w:rsidP="00CD659E">
      <w:pPr>
        <w:pStyle w:val="BlockText"/>
        <w:spacing w:line="480" w:lineRule="auto"/>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Of the seventy tellers who were promoted, thirty-three were genuine givers: they sustained their giving after the promotion. The other thirty-seven tellers declined rapidly in their giving. They were fakers: in the three months before the promotion, they knew they were being watched, so 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w:t>
      </w:r>
      <w:r w:rsidRPr="00145D8B">
        <w:rPr>
          <w:rFonts w:ascii="Times New Roman" w:hAnsi="Times New Roman" w:cs="Times New Roman"/>
          <w:color w:val="000000" w:themeColor="text1"/>
        </w:rPr>
        <w:lastRenderedPageBreak/>
        <w:t xml:space="preserve">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w:t>
      </w:r>
      <w:r w:rsidRPr="00145D8B">
        <w:rPr>
          <w:rFonts w:ascii="Times New Roman" w:hAnsi="Times New Roman" w:cs="Times New Roman"/>
          <w:color w:val="000000" w:themeColor="text1"/>
        </w:rPr>
        <w:lastRenderedPageBreak/>
        <w:t>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17" w:name="conclusion"/>
    </w:p>
    <w:p w14:paraId="2B76DBA5" w14:textId="09D50EE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584F2B2B"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w:t>
      </w:r>
      <w:r w:rsidRPr="00145D8B">
        <w:rPr>
          <w:rFonts w:ascii="Times New Roman" w:hAnsi="Times New Roman" w:cs="Times New Roman"/>
          <w:color w:val="000000" w:themeColor="text1"/>
        </w:rPr>
        <w:lastRenderedPageBreak/>
        <w:t xml:space="preserve">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8" w:name="appendix"/>
    </w:p>
    <w:p w14:paraId="631582AB" w14:textId="4B42B861" w:rsidR="00145D8B" w:rsidRDefault="00145D8B"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7037E67C"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F420AF">
      <w:pPr>
        <w:pStyle w:val="BodyText"/>
        <w:spacing w:line="480" w:lineRule="auto"/>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F420AF">
            <w:pPr>
              <w:spacing w:line="480" w:lineRule="auto"/>
              <w:rPr>
                <w:rFonts w:ascii="Times New Roman" w:hAnsi="Times New Roman" w:cs="Times New Roman"/>
                <w:b/>
                <w:bCs/>
              </w:rPr>
            </w:pPr>
          </w:p>
          <w:p w14:paraId="3945C23A" w14:textId="77777777" w:rsidR="0063774C" w:rsidRPr="009C26BA" w:rsidRDefault="0063774C" w:rsidP="00F420AF">
            <w:pPr>
              <w:spacing w:line="480" w:lineRule="auto"/>
              <w:rPr>
                <w:rFonts w:ascii="Times New Roman" w:hAnsi="Times New Roman" w:cs="Times New Roman"/>
                <w:b/>
                <w:bCs/>
              </w:rPr>
            </w:pPr>
          </w:p>
          <w:p w14:paraId="44390775" w14:textId="77777777" w:rsidR="0063774C" w:rsidRPr="009C26BA" w:rsidRDefault="0063774C" w:rsidP="00F420AF">
            <w:pPr>
              <w:spacing w:line="480" w:lineRule="auto"/>
              <w:rPr>
                <w:rFonts w:ascii="Times New Roman" w:hAnsi="Times New Roman" w:cs="Times New Roman"/>
                <w:b/>
                <w:bCs/>
              </w:rPr>
            </w:pPr>
          </w:p>
          <w:p w14:paraId="5ADFEBEB" w14:textId="77777777" w:rsidR="0063774C" w:rsidRPr="009C26BA" w:rsidRDefault="0063774C" w:rsidP="00F420AF">
            <w:pPr>
              <w:spacing w:line="480" w:lineRule="auto"/>
              <w:rPr>
                <w:rFonts w:ascii="Times New Roman" w:hAnsi="Times New Roman" w:cs="Times New Roman"/>
                <w:b/>
                <w:bCs/>
              </w:rPr>
            </w:pPr>
          </w:p>
          <w:p w14:paraId="5B6A7D19"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F420AF">
            <w:pPr>
              <w:spacing w:line="480" w:lineRule="auto"/>
              <w:rPr>
                <w:rFonts w:ascii="Times New Roman" w:hAnsi="Times New Roman" w:cs="Times New Roman"/>
              </w:rPr>
            </w:pPr>
          </w:p>
          <w:p w14:paraId="0ED7AA78" w14:textId="77777777" w:rsidR="0063774C" w:rsidRDefault="0063774C"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F420AF">
            <w:pPr>
              <w:spacing w:line="480" w:lineRule="auto"/>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F420AF">
            <w:pPr>
              <w:spacing w:before="40" w:after="4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F420A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F420A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14531391" w:rsidR="0063774C" w:rsidRDefault="0063774C">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conditions one and two.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4A8493E7" w:rsidR="009F6F78"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conditions three and four. </w:t>
      </w:r>
    </w:p>
    <w:p w14:paraId="620FA651" w14:textId="0C5451E2" w:rsidR="0063774C" w:rsidRDefault="0063774C" w:rsidP="0063774C">
      <w:pPr>
        <w:rPr>
          <w:rFonts w:ascii="Times New Roman" w:hAnsi="Times New Roman" w:cs="Times New Roman"/>
        </w:rPr>
      </w:pP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2">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3">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4">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5">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6">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r w:rsidRPr="00145D8B">
        <w:rPr>
          <w:rFonts w:ascii="Times New Roman" w:hAnsi="Times New Roman" w:cs="Times New Roman"/>
          <w:color w:val="000000" w:themeColor="text1"/>
        </w:rPr>
        <w:t xml:space="preserve">Bernhardsson, E. (n.d.). Buffet lines are terrible, but let’s try to improve them using computer simulations. Retrieved May 28, 2020, from </w:t>
      </w:r>
      <w:hyperlink r:id="rId17">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8">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9">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0">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1">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2">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3">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4">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5">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6">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7">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8">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9">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0">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1">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2">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3">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4">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5">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6">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7">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8">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9">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0">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1">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2">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3">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4">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5">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6">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7">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8">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9">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0">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1">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2">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r w:rsidRPr="00145D8B">
        <w:rPr>
          <w:rFonts w:ascii="Times New Roman" w:hAnsi="Times New Roman" w:cs="Times New Roman"/>
          <w:color w:val="000000" w:themeColor="text1"/>
        </w:rPr>
        <w:lastRenderedPageBreak/>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3">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4">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5">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6">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7">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8">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9">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0">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1">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2">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3">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4">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rsidSect="00F071F0">
      <w:footerReference w:type="even" r:id="rId65"/>
      <w:footerReference w:type="default" r:id="rId6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81934" w14:textId="77777777" w:rsidR="003E1A8C" w:rsidRDefault="003E1A8C" w:rsidP="00F071F0">
      <w:pPr>
        <w:spacing w:after="0"/>
      </w:pPr>
      <w:r>
        <w:separator/>
      </w:r>
    </w:p>
  </w:endnote>
  <w:endnote w:type="continuationSeparator" w:id="0">
    <w:p w14:paraId="1D657C92" w14:textId="77777777" w:rsidR="003E1A8C" w:rsidRDefault="003E1A8C"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F071F0" w:rsidRDefault="00F071F0" w:rsidP="00E765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F071F0" w:rsidRDefault="00F07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F071F0" w:rsidRDefault="00F071F0" w:rsidP="00E76525">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F071F0" w:rsidRDefault="00F07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C1432" w14:textId="77777777" w:rsidR="003E1A8C" w:rsidRDefault="003E1A8C" w:rsidP="00F071F0">
      <w:pPr>
        <w:spacing w:after="0"/>
      </w:pPr>
      <w:r>
        <w:separator/>
      </w:r>
    </w:p>
  </w:footnote>
  <w:footnote w:type="continuationSeparator" w:id="0">
    <w:p w14:paraId="23F1EF90" w14:textId="77777777" w:rsidR="003E1A8C" w:rsidRDefault="003E1A8C"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12008A"/>
    <w:rsid w:val="00145D8B"/>
    <w:rsid w:val="0014685A"/>
    <w:rsid w:val="001678DA"/>
    <w:rsid w:val="001F2ADC"/>
    <w:rsid w:val="003D12ED"/>
    <w:rsid w:val="003E1A8C"/>
    <w:rsid w:val="004D270E"/>
    <w:rsid w:val="004E3C1F"/>
    <w:rsid w:val="0063774C"/>
    <w:rsid w:val="006A2605"/>
    <w:rsid w:val="0079319B"/>
    <w:rsid w:val="008C295D"/>
    <w:rsid w:val="009A2386"/>
    <w:rsid w:val="009E3619"/>
    <w:rsid w:val="009F6F78"/>
    <w:rsid w:val="00A2726A"/>
    <w:rsid w:val="00CD659E"/>
    <w:rsid w:val="00D6248B"/>
    <w:rsid w:val="00DC0862"/>
    <w:rsid w:val="00E102E1"/>
    <w:rsid w:val="00E16936"/>
    <w:rsid w:val="00E51DDE"/>
    <w:rsid w:val="00F071F0"/>
    <w:rsid w:val="00F11189"/>
    <w:rsid w:val="00F4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h0090920" TargetMode="External"/><Relationship Id="rId21" Type="http://schemas.openxmlformats.org/officeDocument/2006/relationships/hyperlink" Target="https://doi.org/10.1146/annurev.psych.55.090902.142015" TargetMode="External"/><Relationship Id="rId34" Type="http://schemas.openxmlformats.org/officeDocument/2006/relationships/hyperlink" Target="https://doi.org/10.2307/2786237" TargetMode="External"/><Relationship Id="rId42" Type="http://schemas.openxmlformats.org/officeDocument/2006/relationships/hyperlink" Target="https://doi.org/10.1037/met0000081" TargetMode="External"/><Relationship Id="rId47" Type="http://schemas.openxmlformats.org/officeDocument/2006/relationships/hyperlink" Target="https://doi.org/http://dx.doi.org.proxy2.cl.msu.edu/10.1037/apl0000440" TargetMode="External"/><Relationship Id="rId50" Type="http://schemas.openxmlformats.org/officeDocument/2006/relationships/hyperlink" Target="https://doi.org/10.1177/1094428114548590" TargetMode="External"/><Relationship Id="rId55" Type="http://schemas.openxmlformats.org/officeDocument/2006/relationships/hyperlink" Target="https://doi.org/http://dx.doi.org.proxy1.cl.msu.edu/10.1037/a0018080" TargetMode="External"/><Relationship Id="rId63" Type="http://schemas.openxmlformats.org/officeDocument/2006/relationships/hyperlink" Target="https://doi.org/10.1002/(SICI)1520-6793(199602)13:2%3C157::AID-MAR3%3E3.0.CO;2-E" TargetMode="Externa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08959285.2014.882925" TargetMode="External"/><Relationship Id="rId29" Type="http://schemas.openxmlformats.org/officeDocument/2006/relationships/hyperlink" Target="https://doi.org/10.1111/j.1744-6570.2010.01206.x" TargetMode="External"/><Relationship Id="rId11" Type="http://schemas.openxmlformats.org/officeDocument/2006/relationships/image" Target="media/image4.emf"/><Relationship Id="rId24" Type="http://schemas.openxmlformats.org/officeDocument/2006/relationships/hyperlink" Target="https://doi.org/10.2307/3033650" TargetMode="External"/><Relationship Id="rId32" Type="http://schemas.openxmlformats.org/officeDocument/2006/relationships/hyperlink" Target="https://doi.org/http://dx.doi.org.proxy2.cl.msu.edu/10.1037/apl0000171" TargetMode="External"/><Relationship Id="rId37" Type="http://schemas.openxmlformats.org/officeDocument/2006/relationships/hyperlink" Target="http://www5.unitn.it/Biblioteca/it/Web/LibriElettroniciDettaglio/50847" TargetMode="External"/><Relationship Id="rId40" Type="http://schemas.openxmlformats.org/officeDocument/2006/relationships/hyperlink" Target="https://doi.org/http://dx.doi.org.proxy2.cl.msu.edu/10.1037/a0023348" TargetMode="External"/><Relationship Id="rId45" Type="http://schemas.openxmlformats.org/officeDocument/2006/relationships/hyperlink" Target="https://doi.org/10.5465/19416520.2016.1120971" TargetMode="External"/><Relationship Id="rId53" Type="http://schemas.openxmlformats.org/officeDocument/2006/relationships/hyperlink" Target="https://doi.org/10.1016/B978-0-12-407948-9.00001-3" TargetMode="External"/><Relationship Id="rId58" Type="http://schemas.openxmlformats.org/officeDocument/2006/relationships/hyperlink" Target="https://doi.org/10.1177/193896550933352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16/j.jvb.2009.03.007" TargetMode="External"/><Relationship Id="rId19" Type="http://schemas.openxmlformats.org/officeDocument/2006/relationships/hyperlink" Target="https://doi.org/10.1016/j.obhdp.2006.07.001" TargetMode="External"/><Relationship Id="rId14" Type="http://schemas.openxmlformats.org/officeDocument/2006/relationships/hyperlink" Target="https://doi.org/10.1108/00197851211202939" TargetMode="External"/><Relationship Id="rId22" Type="http://schemas.openxmlformats.org/officeDocument/2006/relationships/hyperlink" Target="https://doi.org/10.1111/j.1468-2958.1984.tb00028.x" TargetMode="External"/><Relationship Id="rId27" Type="http://schemas.openxmlformats.org/officeDocument/2006/relationships/hyperlink" Target="https://doi.org/10.1177/0146167298242006" TargetMode="External"/><Relationship Id="rId30" Type="http://schemas.openxmlformats.org/officeDocument/2006/relationships/hyperlink" Target="http://search.proquest.com/docview/1290697349/citation/6D851E1565C64816PQ/1" TargetMode="External"/><Relationship Id="rId35" Type="http://schemas.openxmlformats.org/officeDocument/2006/relationships/hyperlink" Target="https://doi.org/10.1037/0033-3204.43.2.154" TargetMode="External"/><Relationship Id="rId43" Type="http://schemas.openxmlformats.org/officeDocument/2006/relationships/hyperlink" Target="https://doi.org/http://dx.doi.org.proxy1.cl.msu.edu/10.1037/apl0000010" TargetMode="External"/><Relationship Id="rId48" Type="http://schemas.openxmlformats.org/officeDocument/2006/relationships/hyperlink" Target="https://doi.org/10.5465/amr.2014.0415" TargetMode="External"/><Relationship Id="rId56" Type="http://schemas.openxmlformats.org/officeDocument/2006/relationships/hyperlink" Target="http://search.proquest.com/docview/220133960/abstract/418A38FC6C224C6DPQ/1" TargetMode="External"/><Relationship Id="rId64" Type="http://schemas.openxmlformats.org/officeDocument/2006/relationships/hyperlink" Target="https://doi.org/10.1023/B:CMOT.0000029054.93142.2b" TargetMode="External"/><Relationship Id="rId8" Type="http://schemas.openxmlformats.org/officeDocument/2006/relationships/hyperlink" Target="https://github.com/Cdishop" TargetMode="External"/><Relationship Id="rId51" Type="http://schemas.openxmlformats.org/officeDocument/2006/relationships/hyperlink" Target="https://doi.org/http://dx.doi.org.proxy1.cl.msu.edu/10.1037/a0013472" TargetMode="External"/><Relationship Id="rId3" Type="http://schemas.openxmlformats.org/officeDocument/2006/relationships/settings" Target="settings.xml"/><Relationship Id="rId12" Type="http://schemas.openxmlformats.org/officeDocument/2006/relationships/hyperlink" Target="https://doi.org/10.1016/j.concog.2011.08.007" TargetMode="External"/><Relationship Id="rId17" Type="http://schemas.openxmlformats.org/officeDocument/2006/relationships/hyperlink" Target="https://erikbern.com/2019/10/16/buffet-lines-are-terrible.html" TargetMode="External"/><Relationship Id="rId25" Type="http://schemas.openxmlformats.org/officeDocument/2006/relationships/hyperlink" Target="https://doi.org/http://dx.doi.org.proxy2.cl.msu.edu/10.1037/0003-066X.34.8.649" TargetMode="External"/><Relationship Id="rId33" Type="http://schemas.openxmlformats.org/officeDocument/2006/relationships/hyperlink" Target="https://doi.org/10.1037/a0013770" TargetMode="External"/><Relationship Id="rId38" Type="http://schemas.openxmlformats.org/officeDocument/2006/relationships/hyperlink" Target="https://doi.org/10.1146/annurev-orgpsych-032117-104406" TargetMode="External"/><Relationship Id="rId46" Type="http://schemas.openxmlformats.org/officeDocument/2006/relationships/hyperlink" Target="https://doi.org/10.1080/10400419.2014.901073" TargetMode="External"/><Relationship Id="rId59" Type="http://schemas.openxmlformats.org/officeDocument/2006/relationships/hyperlink" Target="https://doi.org/10.1111/peps.12141" TargetMode="External"/><Relationship Id="rId67" Type="http://schemas.openxmlformats.org/officeDocument/2006/relationships/fontTable" Target="fontTable.xml"/><Relationship Id="rId20" Type="http://schemas.openxmlformats.org/officeDocument/2006/relationships/hyperlink" Target="https://doi.org/10.5465/19416520.2014.911576" TargetMode="External"/><Relationship Id="rId41" Type="http://schemas.openxmlformats.org/officeDocument/2006/relationships/hyperlink" Target="https://doi.org/10.1016/j.obhdp.2019.05.001" TargetMode="External"/><Relationship Id="rId54" Type="http://schemas.openxmlformats.org/officeDocument/2006/relationships/hyperlink" Target="https://doi.org/10.1177/0149206309342746" TargetMode="External"/><Relationship Id="rId62" Type="http://schemas.openxmlformats.org/officeDocument/2006/relationships/hyperlink" Target="https://doi.org/10.1080/08838151.2014.9982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747-5632(02)00007-9" TargetMode="External"/><Relationship Id="rId23" Type="http://schemas.openxmlformats.org/officeDocument/2006/relationships/hyperlink" Target="https://doi.org/10.1177/1461444814543998" TargetMode="External"/><Relationship Id="rId28" Type="http://schemas.openxmlformats.org/officeDocument/2006/relationships/hyperlink" Target="https://doi.org/10.1016/j.jesp.2013.12.007" TargetMode="External"/><Relationship Id="rId36" Type="http://schemas.openxmlformats.org/officeDocument/2006/relationships/hyperlink" Target="https://doi.org/10.1037/0022-0167.55.3.359" TargetMode="External"/><Relationship Id="rId49" Type="http://schemas.openxmlformats.org/officeDocument/2006/relationships/hyperlink" Target="https://doi.org/10.1037/a0027697" TargetMode="External"/><Relationship Id="rId57" Type="http://schemas.openxmlformats.org/officeDocument/2006/relationships/hyperlink" Target="https://doi.org/http://dx.doi.org.proxy1.cl.msu.edu/10.1037/0021-9010.92.4.1149" TargetMode="External"/><Relationship Id="rId10" Type="http://schemas.openxmlformats.org/officeDocument/2006/relationships/image" Target="media/image3.emf"/><Relationship Id="rId31" Type="http://schemas.openxmlformats.org/officeDocument/2006/relationships/hyperlink" Target="https://doi.org/http://dx.doi.org.proxy2.cl.msu.edu/10.1037/h0088979" TargetMode="External"/><Relationship Id="rId44" Type="http://schemas.openxmlformats.org/officeDocument/2006/relationships/hyperlink" Target="https://doi.org/10.1037/apl0000392" TargetMode="External"/><Relationship Id="rId52" Type="http://schemas.openxmlformats.org/officeDocument/2006/relationships/hyperlink" Target="https://doi.org/10.5465/amd.2017.0033" TargetMode="External"/><Relationship Id="rId60" Type="http://schemas.openxmlformats.org/officeDocument/2006/relationships/hyperlink" Target="https://doi.org/10.1111/ijtd.1212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8/S0742-7301(2009)0000028005" TargetMode="External"/><Relationship Id="rId18" Type="http://schemas.openxmlformats.org/officeDocument/2006/relationships/hyperlink" Target="https://doi.org/10.1002/job.635" TargetMode="External"/><Relationship Id="rId39" Type="http://schemas.openxmlformats.org/officeDocument/2006/relationships/hyperlink" Target="http://search.proquest.com/docview/213939054?pq-origsite=su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62</Pages>
  <Words>17267</Words>
  <Characters>98423</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16</cp:revision>
  <dcterms:created xsi:type="dcterms:W3CDTF">2020-07-04T22:19:00Z</dcterms:created>
  <dcterms:modified xsi:type="dcterms:W3CDTF">2020-07-05T17:13:00Z</dcterms:modified>
</cp:coreProperties>
</file>