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a1a2e"/>
          <w:sz w:val="52"/>
          <w:szCs w:val="52"/>
        </w:rPr>
        <w:t xml:space="preserve">Evidence Catalog Panel</w:t>
      </w:r>
    </w:p>
    <w:p>
      <w:pPr>
        <w:spacing w:after="200"/>
        <w:jc w:val="center"/>
      </w:pPr>
      <w:r>
        <w:rPr>
          <w:rFonts w:ascii="Arial" w:cs="Arial" w:eastAsia="Arial" w:hAnsi="Arial"/>
          <w:color w:val="666666"/>
          <w:sz w:val="24"/>
          <w:szCs w:val="24"/>
        </w:rPr>
        <w:t xml:space="preserve">Integration Guide for the Collect-Then-Refine Architecture</w:t>
      </w:r>
    </w:p>
    <w:p>
      <w:pPr>
        <w:spacing w:after="600"/>
        <w:jc w:val="center"/>
      </w:pPr>
      <w:r>
        <w:rPr>
          <w:rFonts w:ascii="Arial" w:cs="Arial" w:eastAsia="Arial" w:hAnsi="Arial"/>
          <w:color w:val="999999"/>
          <w:sz w:val="20"/>
          <w:szCs w:val="20"/>
        </w:rPr>
        <w:t xml:space="preserve">IndexLab Phase 4 Redesign — March 2026</w:t>
      </w:r>
    </w:p>
    <w:p>
      <w:pPr>
        <w:spacing w:after="200"/>
        <w:jc w:val="center"/>
      </w:pPr>
      <w:r>
        <w:rPr>
          <w:rFonts w:ascii="Arial" w:cs="Arial" w:eastAsia="Arial" w:hAnsi="Arial"/>
          <w:i/>
          <w:iCs/>
          <w:color w:val="999999"/>
          <w:sz w:val="18"/>
          <w:szCs w:val="18"/>
        </w:rPr>
        <w:t xml:space="preserve">Replaces: compound-learning-dashboard.jsx + IndexLab-Phase4-Learning-Panel-Guide.docx</w:t>
      </w:r>
    </w:p>
    <w:p>
      <w:r>
        <w:br w:type="page"/>
      </w:r>
    </w:p>
    <w:p>
      <w:pPr>
        <w:pStyle w:val="Heading1"/>
        <w:spacing w:before="300" w:after="150"/>
      </w:pPr>
      <w:r>
        <w:rPr>
          <w:rFonts w:ascii="Arial" w:cs="Arial" w:eastAsia="Arial" w:hAnsi="Arial"/>
          <w:b/>
          <w:bCs/>
          <w:sz w:val="32"/>
          <w:szCs w:val="32"/>
        </w:rPr>
        <w:t xml:space="preserve">Architecture Overview</w:t>
      </w:r>
    </w:p>
    <w:p>
      <w:pPr>
        <w:spacing w:after="120"/>
      </w:pPr>
      <w:r>
        <w:rPr>
          <w:rFonts w:ascii="Arial" w:cs="Arial" w:eastAsia="Arial" w:hAnsi="Arial"/>
          <w:color w:val="333333"/>
          <w:sz w:val="20"/>
          <w:szCs w:val="20"/>
        </w:rPr>
        <w:t xml:space="preserve">The Evidence Catalog Panel replaces the old Learning Panel. The old panel was built around the convergence pipeline: compound curves, query indexes, plan diffs, and knob telemetry. The new panel is built around the collect-then-refine architecture: source records, comparison matrices, URL memory, and host health.</w:t>
      </w:r>
    </w:p>
    <w:p>
      <w:pPr>
        <w:spacing w:after="120"/>
      </w:pPr>
      <w:r>
        <w:rPr>
          <w:rFonts w:ascii="Arial" w:cs="Arial" w:eastAsia="Arial" w:hAnsi="Arial"/>
          <w:color w:val="333333"/>
          <w:sz w:val="20"/>
          <w:szCs w:val="20"/>
        </w:rPr>
        <w:t xml:space="preserve">The fundamental shift is from optimizing a 13-phase pipeline to inspecting evidence. The operator's primary question changes from 'is the compound curve trending down?' to 'do these sources agree on the specs?'</w:t>
      </w:r>
    </w:p>
    <w:p>
      <w:pPr>
        <w:pStyle w:val="Heading2"/>
        <w:spacing w:before="300" w:after="150"/>
      </w:pPr>
      <w:r>
        <w:rPr>
          <w:rFonts w:ascii="Arial" w:cs="Arial" w:eastAsia="Arial" w:hAnsi="Arial"/>
          <w:b/>
          <w:bCs/>
          <w:sz w:val="26"/>
          <w:szCs w:val="26"/>
        </w:rPr>
        <w:t xml:space="preserve">The 5-Stage Pipeline</w:t>
      </w:r>
    </w:p>
    <w:p>
      <w:pPr>
        <w:spacing w:after="80"/>
      </w:pPr>
      <w:r>
        <w:rPr>
          <w:rFonts w:ascii="Arial" w:cs="Arial" w:eastAsia="Arial" w:hAnsi="Arial"/>
          <w:b/>
          <w:bCs/>
          <w:sz w:val="20"/>
          <w:szCs w:val="20"/>
        </w:rPr>
        <w:t xml:space="preserve">Stage 1 — Collect: </w:t>
      </w:r>
      <w:r>
        <w:rPr>
          <w:rFonts w:ascii="Arial" w:cs="Arial" w:eastAsia="Arial" w:hAnsi="Arial"/>
          <w:color w:val="555555"/>
          <w:sz w:val="20"/>
          <w:szCs w:val="20"/>
        </w:rPr>
        <w:t xml:space="preserve">Search broadly, fetch every relevant page, store raw content. No filtering by identity or tier. Every URL from the source registry gets fetched.</w:t>
      </w:r>
    </w:p>
    <w:p>
      <w:pPr>
        <w:spacing w:after="80"/>
      </w:pPr>
      <w:r>
        <w:rPr>
          <w:rFonts w:ascii="Arial" w:cs="Arial" w:eastAsia="Arial" w:hAnsi="Arial"/>
          <w:b/>
          <w:bCs/>
          <w:sz w:val="20"/>
          <w:szCs w:val="20"/>
        </w:rPr>
        <w:t xml:space="preserve">Stage 2 — Extract: </w:t>
      </w:r>
      <w:r>
        <w:rPr>
          <w:rFonts w:ascii="Arial" w:cs="Arial" w:eastAsia="Arial" w:hAnsi="Arial"/>
          <w:color w:val="555555"/>
          <w:sz w:val="20"/>
          <w:szCs w:val="20"/>
        </w:rPr>
        <w:t xml:space="preserve">Run deterministic + LLM extraction on each stored page independently. Output is one flat JSON per source with all extracted field/value pairs.</w:t>
      </w:r>
    </w:p>
    <w:p>
      <w:pPr>
        <w:spacing w:after="80"/>
      </w:pPr>
      <w:r>
        <w:rPr>
          <w:rFonts w:ascii="Arial" w:cs="Arial" w:eastAsia="Arial" w:hAnsi="Arial"/>
          <w:b/>
          <w:bCs/>
          <w:sz w:val="20"/>
          <w:szCs w:val="20"/>
        </w:rPr>
        <w:t xml:space="preserve">Stage 3 — Catalog: </w:t>
      </w:r>
      <w:r>
        <w:rPr>
          <w:rFonts w:ascii="Arial" w:cs="Arial" w:eastAsia="Arial" w:hAnsi="Arial"/>
          <w:color w:val="555555"/>
          <w:sz w:val="20"/>
          <w:szCs w:val="20"/>
        </w:rPr>
        <w:t xml:space="preserve">Classify each source: exact product match, variant (shared family), or wrong product. Attach identity as metadata, not destructive truth.</w:t>
      </w:r>
    </w:p>
    <w:p>
      <w:pPr>
        <w:spacing w:after="80"/>
      </w:pPr>
      <w:r>
        <w:rPr>
          <w:rFonts w:ascii="Arial" w:cs="Arial" w:eastAsia="Arial" w:hAnsi="Arial"/>
          <w:b/>
          <w:bCs/>
          <w:sz w:val="20"/>
          <w:szCs w:val="20"/>
        </w:rPr>
        <w:t xml:space="preserve">Stage 4 — Compare: </w:t>
      </w:r>
      <w:r>
        <w:rPr>
          <w:rFonts w:ascii="Arial" w:cs="Arial" w:eastAsia="Arial" w:hAnsi="Arial"/>
          <w:color w:val="555555"/>
          <w:sz w:val="20"/>
          <w:szCs w:val="20"/>
        </w:rPr>
        <w:t xml:space="preserve">Lay all confirmed sources side by side. For each field, show every source's value. Consensus emerges from agreement. Outliers are flagged.</w:t>
      </w:r>
    </w:p>
    <w:p>
      <w:pPr>
        <w:spacing w:after="80"/>
      </w:pPr>
      <w:r>
        <w:rPr>
          <w:rFonts w:ascii="Arial" w:cs="Arial" w:eastAsia="Arial" w:hAnsi="Arial"/>
          <w:b/>
          <w:bCs/>
          <w:sz w:val="20"/>
          <w:szCs w:val="20"/>
        </w:rPr>
        <w:t xml:space="preserve">Stage 5 — Publish: </w:t>
      </w:r>
      <w:r>
        <w:rPr>
          <w:rFonts w:ascii="Arial" w:cs="Arial" w:eastAsia="Arial" w:hAnsi="Arial"/>
          <w:color w:val="555555"/>
          <w:sz w:val="20"/>
          <w:szCs w:val="20"/>
        </w:rPr>
        <w:t xml:space="preserve">Merge consensus values into final spec JSON with full provenance. Every field traces to specific source files.</w:t>
      </w:r>
    </w:p>
    <w:p>
      <w:pPr>
        <w:pStyle w:val="Heading1"/>
        <w:spacing w:before="300" w:after="150"/>
      </w:pPr>
      <w:r>
        <w:rPr>
          <w:rFonts w:ascii="Arial" w:cs="Arial" w:eastAsia="Arial" w:hAnsi="Arial"/>
          <w:b/>
          <w:bCs/>
          <w:sz w:val="32"/>
          <w:szCs w:val="32"/>
        </w:rPr>
        <w:t xml:space="preserve">Panel Structure</w:t>
      </w:r>
    </w:p>
    <w:p>
      <w:pPr>
        <w:spacing w:after="120"/>
      </w:pPr>
      <w:r>
        <w:rPr>
          <w:rFonts w:ascii="Arial" w:cs="Arial" w:eastAsia="Arial" w:hAnsi="Arial"/>
          <w:color w:val="333333"/>
          <w:sz w:val="20"/>
          <w:szCs w:val="20"/>
        </w:rPr>
        <w:t xml:space="preserve">The Evidence Catalog Panel has 5 sub-tabs plus a KPI strip. It replaces the old 6-tab Learning Panel (Compound Curve, QueryIndex, URLIndex, Plan Diff, Host Health, Knob Telemetry).</w:t>
      </w:r>
    </w:p>
    <w:p>
      <w:pPr>
        <w:pStyle w:val="Heading2"/>
        <w:spacing w:before="300" w:after="150"/>
      </w:pPr>
      <w:r>
        <w:rPr>
          <w:rFonts w:ascii="Arial" w:cs="Arial" w:eastAsia="Arial" w:hAnsi="Arial"/>
          <w:b/>
          <w:bCs/>
          <w:sz w:val="26"/>
          <w:szCs w:val="26"/>
        </w:rPr>
        <w:t xml:space="preserve">KPI Strip</w:t>
      </w:r>
    </w:p>
    <w:p>
      <w:pPr>
        <w:spacing w:after="120"/>
      </w:pPr>
      <w:r>
        <w:rPr>
          <w:rFonts w:ascii="Arial" w:cs="Arial" w:eastAsia="Arial" w:hAnsi="Arial"/>
          <w:color w:val="333333"/>
          <w:sz w:val="20"/>
          <w:szCs w:val="20"/>
        </w:rPr>
        <w:t xml:space="preserve">Always visible above the tab content. Shows at-a-glance status for the current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a2030" w:val="clear"/>
            <w:tcMar>
              <w:top w:type="dxa" w:w="60"/>
              <w:left w:type="dxa" w:w="100"/>
              <w:bottom w:type="dxa" w:w="60"/>
              <w:right w:type="dxa" w:w="100"/>
            </w:tcMar>
          </w:tcPr>
          <w:p>
            <w:r>
              <w:rPr>
                <w:rFonts w:ascii="Arial" w:cs="Arial" w:eastAsia="Arial" w:hAnsi="Arial"/>
                <w:b/>
                <w:bCs/>
                <w:color w:val="E8EDF4"/>
                <w:sz w:val="18"/>
                <w:szCs w:val="18"/>
              </w:rPr>
              <w:t xml:space="preserve">KPI</w:t>
            </w:r>
          </w:p>
        </w:tc>
        <w:tc>
          <w:tcPr>
            <w:tcW w:type="dxa" w:w="2500"/>
            <w:tcBorders>
              <w:top w:val="single" w:color="CCCCCC" w:sz="1"/>
              <w:left w:val="single" w:color="CCCCCC" w:sz="1"/>
              <w:bottom w:val="single" w:color="CCCCCC" w:sz="1"/>
              <w:right w:val="single" w:color="CCCCCC" w:sz="1"/>
            </w:tcBorders>
            <w:shd w:fill="1a2030" w:val="clear"/>
            <w:tcMar>
              <w:top w:type="dxa" w:w="60"/>
              <w:left w:type="dxa" w:w="100"/>
              <w:bottom w:type="dxa" w:w="60"/>
              <w:right w:type="dxa" w:w="100"/>
            </w:tcMar>
          </w:tcPr>
          <w:p>
            <w:r>
              <w:rPr>
                <w:rFonts w:ascii="Arial" w:cs="Arial" w:eastAsia="Arial" w:hAnsi="Arial"/>
                <w:b/>
                <w:bCs/>
                <w:color w:val="E8EDF4"/>
                <w:sz w:val="18"/>
                <w:szCs w:val="18"/>
              </w:rPr>
              <w:t xml:space="preserve">Example</w:t>
            </w:r>
          </w:p>
        </w:tc>
        <w:tc>
          <w:tcPr>
            <w:tcW w:type="dxa" w:w="4860"/>
            <w:tcBorders>
              <w:top w:val="single" w:color="CCCCCC" w:sz="1"/>
              <w:left w:val="single" w:color="CCCCCC" w:sz="1"/>
              <w:bottom w:val="single" w:color="CCCCCC" w:sz="1"/>
              <w:right w:val="single" w:color="CCCCCC" w:sz="1"/>
            </w:tcBorders>
            <w:shd w:fill="1a2030" w:val="clear"/>
            <w:tcMar>
              <w:top w:type="dxa" w:w="60"/>
              <w:left w:type="dxa" w:w="100"/>
              <w:bottom w:type="dxa" w:w="60"/>
              <w:right w:type="dxa" w:w="100"/>
            </w:tcMar>
          </w:tcPr>
          <w:p>
            <w:r>
              <w:rPr>
                <w:rFonts w:ascii="Arial" w:cs="Arial" w:eastAsia="Arial" w:hAnsi="Arial"/>
                <w:b/>
                <w:bCs/>
                <w:color w:val="E8EDF4"/>
                <w:sz w:val="18"/>
                <w:szCs w:val="18"/>
              </w:rPr>
              <w:t xml:space="preserve">What It Tells You</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Sources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Total source records collected for this product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Fields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12/13</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Consensus fields filled vs total fields attempted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Fill Rate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92%</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Percentage of fields with consensus value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Review Queue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Sources needing human review (uncertain identity, parser warnings)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URL Reuse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38%</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Percentage of URLs pre-seeded from prior runs</w:t>
            </w:r>
          </w:p>
        </w:tc>
      </w:tr>
    </w:tbl>
    <w:p>
      <w:pPr>
        <w:pStyle w:val="Heading2"/>
        <w:spacing w:before="300" w:after="150"/>
      </w:pPr>
      <w:r>
        <w:rPr>
          <w:rFonts w:ascii="Arial" w:cs="Arial" w:eastAsia="Arial" w:hAnsi="Arial"/>
          <w:b/>
          <w:bCs/>
          <w:sz w:val="26"/>
          <w:szCs w:val="26"/>
        </w:rPr>
        <w:t xml:space="preserve">Tab 1: Comparison Matrix</w:t>
      </w:r>
    </w:p>
    <w:p>
      <w:pPr>
        <w:spacing w:after="120"/>
      </w:pPr>
      <w:r>
        <w:rPr>
          <w:rFonts w:ascii="Arial" w:cs="Arial" w:eastAsia="Arial" w:hAnsi="Arial"/>
          <w:b/>
          <w:bCs/>
          <w:color w:val="333333"/>
          <w:sz w:val="20"/>
          <w:szCs w:val="20"/>
        </w:rPr>
        <w:t xml:space="preserve">The primary operator surface. This is the single most important view in the entire system.</w:t>
      </w:r>
    </w:p>
    <w:p>
      <w:pPr>
        <w:spacing w:after="120"/>
      </w:pPr>
      <w:r>
        <w:rPr>
          <w:rFonts w:ascii="Arial" w:cs="Arial" w:eastAsia="Arial" w:hAnsi="Arial"/>
          <w:color w:val="333333"/>
          <w:sz w:val="20"/>
          <w:szCs w:val="20"/>
        </w:rPr>
        <w:t xml:space="preserve">Rows are fields. Columns are sources. Cells are the value each source extracted for that field. The rightmost column shows the consensus value. Outlier cells are highlighted red. Missing cells show a dash. Fields with conflicts show an amber warning icon.</w:t>
      </w:r>
    </w:p>
    <w:p>
      <w:pPr>
        <w:spacing w:after="120"/>
      </w:pPr>
      <w:r>
        <w:rPr>
          <w:rFonts w:ascii="Arial" w:cs="Arial" w:eastAsia="Arial" w:hAnsi="Arial"/>
          <w:color w:val="333333"/>
          <w:sz w:val="20"/>
          <w:szCs w:val="20"/>
        </w:rPr>
        <w:t xml:space="preserve">The 'Show conflicts only' toggle filters to fields where sources disagree or no consensus exists. This is the operator's fast path to finding problems.</w:t>
      </w:r>
    </w:p>
    <w:p>
      <w:pPr>
        <w:pStyle w:val="Heading3"/>
        <w:spacing w:before="300" w:after="150"/>
      </w:pPr>
      <w:r>
        <w:rPr>
          <w:rFonts w:ascii="Arial" w:cs="Arial" w:eastAsia="Arial" w:hAnsi="Arial"/>
          <w:b/>
          <w:bCs/>
          <w:sz w:val="22"/>
          <w:szCs w:val="22"/>
        </w:rPr>
        <w:t xml:space="preserve">What replaces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030" w:val="clear"/>
            <w:tcMar>
              <w:top w:type="dxa" w:w="60"/>
              <w:left w:type="dxa" w:w="100"/>
              <w:bottom w:type="dxa" w:w="60"/>
              <w:right w:type="dxa" w:w="100"/>
            </w:tcMar>
          </w:tcPr>
          <w:p>
            <w:r>
              <w:rPr>
                <w:rFonts w:ascii="Arial" w:cs="Arial" w:eastAsia="Arial" w:hAnsi="Arial"/>
                <w:b/>
                <w:bCs/>
                <w:color w:val="E8EDF4"/>
                <w:sz w:val="18"/>
                <w:szCs w:val="18"/>
              </w:rPr>
              <w:t xml:space="preserve">Old Panel Surface</w:t>
            </w:r>
          </w:p>
        </w:tc>
        <w:tc>
          <w:tcPr>
            <w:tcW w:type="dxa" w:w="4680"/>
            <w:tcBorders>
              <w:top w:val="single" w:color="CCCCCC" w:sz="1"/>
              <w:left w:val="single" w:color="CCCCCC" w:sz="1"/>
              <w:bottom w:val="single" w:color="CCCCCC" w:sz="1"/>
              <w:right w:val="single" w:color="CCCCCC" w:sz="1"/>
            </w:tcBorders>
            <w:shd w:fill="1a2030" w:val="clear"/>
            <w:tcMar>
              <w:top w:type="dxa" w:w="60"/>
              <w:left w:type="dxa" w:w="100"/>
              <w:bottom w:type="dxa" w:w="60"/>
              <w:right w:type="dxa" w:w="100"/>
            </w:tcMar>
          </w:tcPr>
          <w:p>
            <w:r>
              <w:rPr>
                <w:rFonts w:ascii="Arial" w:cs="Arial" w:eastAsia="Arial" w:hAnsi="Arial"/>
                <w:b/>
                <w:bCs/>
                <w:color w:val="E8EDF4"/>
                <w:sz w:val="18"/>
                <w:szCs w:val="18"/>
              </w:rPr>
              <w:t xml:space="preserve">Now Handled By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Plan Diff tab (v1/v2 comparison)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Comparison Matrix — all sources visible, not just two runs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Extract drawer tab</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Comparison Matrix — per-source values with outlier highlighting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Consensus engine (24 knobs)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Simple source agreement count — no knobs needed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Identity gate (15 knobs)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Source Records tab identity classification</w:t>
            </w:r>
          </w:p>
        </w:tc>
      </w:tr>
    </w:tbl>
    <w:p>
      <w:pPr>
        <w:pStyle w:val="Heading2"/>
        <w:spacing w:before="300" w:after="150"/>
      </w:pPr>
      <w:r>
        <w:rPr>
          <w:rFonts w:ascii="Arial" w:cs="Arial" w:eastAsia="Arial" w:hAnsi="Arial"/>
          <w:b/>
          <w:bCs/>
          <w:sz w:val="26"/>
          <w:szCs w:val="26"/>
        </w:rPr>
        <w:t xml:space="preserve">Tab 2: Source Records</w:t>
      </w:r>
    </w:p>
    <w:p>
      <w:pPr>
        <w:spacing w:after="120"/>
      </w:pPr>
      <w:r>
        <w:rPr>
          <w:rFonts w:ascii="Arial" w:cs="Arial" w:eastAsia="Arial" w:hAnsi="Arial"/>
          <w:color w:val="333333"/>
          <w:sz w:val="20"/>
          <w:szCs w:val="20"/>
        </w:rPr>
        <w:t xml:space="preserve">Every fetched page that produced extractable content appears here as a source record. Each row shows the URL, host, source tier, identity classification, fields extracted, parser warnings, quality score, and review status.</w:t>
      </w:r>
    </w:p>
    <w:p>
      <w:pPr>
        <w:spacing w:after="120"/>
      </w:pPr>
      <w:r>
        <w:rPr>
          <w:rFonts w:ascii="Arial" w:cs="Arial" w:eastAsia="Arial" w:hAnsi="Arial"/>
          <w:color w:val="333333"/>
          <w:sz w:val="20"/>
          <w:szCs w:val="20"/>
        </w:rPr>
        <w:t xml:space="preserve">Identity classification is post-extraction metadata, not a gate. Sources are tagged as: confirmed (exact product match), variant (same product family, shared fields usable), uncertain (needs human review), or rejected (wrong product entirely). Rejected sources are kept for audit but excluded from the comparison matrix.</w:t>
      </w:r>
    </w:p>
    <w:p>
      <w:pPr>
        <w:pStyle w:val="Heading3"/>
        <w:spacing w:before="300" w:after="150"/>
      </w:pPr>
      <w:r>
        <w:rPr>
          <w:rFonts w:ascii="Arial" w:cs="Arial" w:eastAsia="Arial" w:hAnsi="Arial"/>
          <w:b/>
          <w:bCs/>
          <w:sz w:val="22"/>
          <w:szCs w:val="22"/>
        </w:rPr>
        <w:t xml:space="preserve">Filter Bar</w:t>
      </w:r>
    </w:p>
    <w:p>
      <w:pPr>
        <w:spacing w:after="120"/>
      </w:pPr>
      <w:r>
        <w:rPr>
          <w:rFonts w:ascii="Arial" w:cs="Arial" w:eastAsia="Arial" w:hAnsi="Arial"/>
          <w:color w:val="333333"/>
          <w:sz w:val="20"/>
          <w:szCs w:val="20"/>
        </w:rPr>
        <w:t xml:space="preserve">Filter buttons across the top: All, Confirmed, Variant, Uncertain, Rejected. Each shows the count. Clicking filters the table. The 'needs-review' badge on the Source Records tab header shows how many sources need attention.</w:t>
      </w:r>
    </w:p>
    <w:p>
      <w:pPr>
        <w:pStyle w:val="Heading2"/>
        <w:spacing w:before="300" w:after="150"/>
      </w:pPr>
      <w:r>
        <w:rPr>
          <w:rFonts w:ascii="Arial" w:cs="Arial" w:eastAsia="Arial" w:hAnsi="Arial"/>
          <w:b/>
          <w:bCs/>
          <w:sz w:val="26"/>
          <w:szCs w:val="26"/>
        </w:rPr>
        <w:t xml:space="preserve">Tab 3: URL Memory</w:t>
      </w:r>
    </w:p>
    <w:p>
      <w:pPr>
        <w:spacing w:after="120"/>
      </w:pPr>
      <w:r>
        <w:rPr>
          <w:rFonts w:ascii="Arial" w:cs="Arial" w:eastAsia="Arial" w:hAnsi="Arial"/>
          <w:color w:val="333333"/>
          <w:sz w:val="20"/>
          <w:szCs w:val="20"/>
        </w:rPr>
        <w:t xml:space="preserve">Tracks every URL the system has ever fetched for this category. Shows visit count, average fields extracted, fetch success rate, last fetch time, and content hash. Sorted by visit count descending — the most-visited URLs are the most valuable for compound learning.</w:t>
      </w:r>
    </w:p>
    <w:p>
      <w:pPr>
        <w:spacing w:after="120"/>
      </w:pPr>
      <w:r>
        <w:rPr>
          <w:rFonts w:ascii="Arial" w:cs="Arial" w:eastAsia="Arial" w:hAnsi="Arial"/>
          <w:color w:val="333333"/>
          <w:sz w:val="20"/>
          <w:szCs w:val="20"/>
        </w:rPr>
        <w:t xml:space="preserve">This replaces the old URLIndex tab. The key difference: in the old panel, URL reuse was a metric to watch. In the new panel, URL reuse is the system's primary compound learning mechanism. High-visit URLs are automatically pre-seeded into new runs.</w:t>
      </w:r>
    </w:p>
    <w:p>
      <w:pPr>
        <w:pStyle w:val="Heading2"/>
        <w:spacing w:before="300" w:after="150"/>
      </w:pPr>
      <w:r>
        <w:rPr>
          <w:rFonts w:ascii="Arial" w:cs="Arial" w:eastAsia="Arial" w:hAnsi="Arial"/>
          <w:b/>
          <w:bCs/>
          <w:sz w:val="26"/>
          <w:szCs w:val="26"/>
        </w:rPr>
        <w:t xml:space="preserve">Tab 4: Host Health</w:t>
      </w:r>
    </w:p>
    <w:p>
      <w:pPr>
        <w:spacing w:after="120"/>
      </w:pPr>
      <w:r>
        <w:rPr>
          <w:rFonts w:ascii="Arial" w:cs="Arial" w:eastAsia="Arial" w:hAnsi="Arial"/>
          <w:color w:val="333333"/>
          <w:sz w:val="20"/>
          <w:szCs w:val="20"/>
        </w:rPr>
        <w:t xml:space="preserve">Aggregated per-host fetch metrics: total fetches, success count, fields produced, block rate, average latency. Sorted by block rate descending (worst hosts first). Status badges: healthy (&lt; 10% blocks), degraded (10-50% blocks), blocked (&gt; 50% blocks).</w:t>
      </w:r>
    </w:p>
    <w:p>
      <w:pPr>
        <w:spacing w:after="120"/>
      </w:pPr>
      <w:r>
        <w:rPr>
          <w:rFonts w:ascii="Arial" w:cs="Arial" w:eastAsia="Arial" w:hAnsi="Arial"/>
          <w:color w:val="333333"/>
          <w:sz w:val="20"/>
          <w:szCs w:val="20"/>
        </w:rPr>
        <w:t xml:space="preserve">This tab is largely unchanged from the old panel. Host health is infrastructure-level data that doesn't depend on pipeline architecture.</w:t>
      </w:r>
    </w:p>
    <w:p>
      <w:pPr>
        <w:pStyle w:val="Heading2"/>
        <w:spacing w:before="300" w:after="150"/>
      </w:pPr>
      <w:r>
        <w:rPr>
          <w:rFonts w:ascii="Arial" w:cs="Arial" w:eastAsia="Arial" w:hAnsi="Arial"/>
          <w:b/>
          <w:bCs/>
          <w:sz w:val="26"/>
          <w:szCs w:val="26"/>
        </w:rPr>
        <w:t xml:space="preserve">Tab 5: Compound Trend</w:t>
      </w:r>
    </w:p>
    <w:p>
      <w:pPr>
        <w:spacing w:after="120"/>
      </w:pPr>
      <w:r>
        <w:rPr>
          <w:rFonts w:ascii="Arial" w:cs="Arial" w:eastAsia="Arial" w:hAnsi="Arial"/>
          <w:color w:val="333333"/>
          <w:sz w:val="20"/>
          <w:szCs w:val="20"/>
        </w:rPr>
        <w:t xml:space="preserve">Sequential run-over-run comparison. Shows searches per product, URL reuse percentage, fields filled, LLM cost, and fetch success rate. Includes a verdict banner: PROVEN (searches declining 30%+, URL reuse increasing), PARTIAL (some improvement), or NOT_PROVEN (flat or regressing).</w:t>
      </w:r>
    </w:p>
    <w:p>
      <w:pPr>
        <w:spacing w:after="120"/>
      </w:pPr>
      <w:r>
        <w:rPr>
          <w:rFonts w:ascii="Arial" w:cs="Arial" w:eastAsia="Arial" w:hAnsi="Arial"/>
          <w:color w:val="333333"/>
          <w:sz w:val="20"/>
          <w:szCs w:val="20"/>
        </w:rPr>
        <w:t xml:space="preserve">This replaces the old Compound Curve tab. The data is simpler because compound learning is built into Stage 1 (URL pre-seeding) rather than being a separate Phase 4D consumption layer.</w:t>
      </w:r>
    </w:p>
    <w:p>
      <w:r>
        <w:br w:type="page"/>
      </w:r>
    </w:p>
    <w:p>
      <w:pPr>
        <w:pStyle w:val="Heading1"/>
        <w:spacing w:before="300" w:after="150"/>
      </w:pPr>
      <w:r>
        <w:rPr>
          <w:rFonts w:ascii="Arial" w:cs="Arial" w:eastAsia="Arial" w:hAnsi="Arial"/>
          <w:b/>
          <w:bCs/>
          <w:sz w:val="32"/>
          <w:szCs w:val="32"/>
        </w:rPr>
        <w:t xml:space="preserve">What Was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030" w:val="clear"/>
            <w:tcMar>
              <w:top w:type="dxa" w:w="60"/>
              <w:left w:type="dxa" w:w="100"/>
              <w:bottom w:type="dxa" w:w="60"/>
              <w:right w:type="dxa" w:w="100"/>
            </w:tcMar>
          </w:tcPr>
          <w:p>
            <w:r>
              <w:rPr>
                <w:rFonts w:ascii="Arial" w:cs="Arial" w:eastAsia="Arial" w:hAnsi="Arial"/>
                <w:b/>
                <w:bCs/>
                <w:color w:val="E8EDF4"/>
                <w:sz w:val="18"/>
                <w:szCs w:val="18"/>
              </w:rPr>
              <w:t xml:space="preserve">Old Tab</w:t>
            </w:r>
          </w:p>
        </w:tc>
        <w:tc>
          <w:tcPr>
            <w:tcW w:type="dxa" w:w="3120"/>
            <w:tcBorders>
              <w:top w:val="single" w:color="CCCCCC" w:sz="1"/>
              <w:left w:val="single" w:color="CCCCCC" w:sz="1"/>
              <w:bottom w:val="single" w:color="CCCCCC" w:sz="1"/>
              <w:right w:val="single" w:color="CCCCCC" w:sz="1"/>
            </w:tcBorders>
            <w:shd w:fill="1a2030" w:val="clear"/>
            <w:tcMar>
              <w:top w:type="dxa" w:w="60"/>
              <w:left w:type="dxa" w:w="100"/>
              <w:bottom w:type="dxa" w:w="60"/>
              <w:right w:type="dxa" w:w="100"/>
            </w:tcMar>
          </w:tcPr>
          <w:p>
            <w:r>
              <w:rPr>
                <w:rFonts w:ascii="Arial" w:cs="Arial" w:eastAsia="Arial" w:hAnsi="Arial"/>
                <w:b/>
                <w:bCs/>
                <w:color w:val="E8EDF4"/>
                <w:sz w:val="18"/>
                <w:szCs w:val="18"/>
              </w:rPr>
              <w:t xml:space="preserve">Why Removed</w:t>
            </w:r>
          </w:p>
        </w:tc>
        <w:tc>
          <w:tcPr>
            <w:tcW w:type="dxa" w:w="3120"/>
            <w:tcBorders>
              <w:top w:val="single" w:color="CCCCCC" w:sz="1"/>
              <w:left w:val="single" w:color="CCCCCC" w:sz="1"/>
              <w:bottom w:val="single" w:color="CCCCCC" w:sz="1"/>
              <w:right w:val="single" w:color="CCCCCC" w:sz="1"/>
            </w:tcBorders>
            <w:shd w:fill="1a2030" w:val="clear"/>
            <w:tcMar>
              <w:top w:type="dxa" w:w="60"/>
              <w:left w:type="dxa" w:w="100"/>
              <w:bottom w:type="dxa" w:w="60"/>
              <w:right w:type="dxa" w:w="100"/>
            </w:tcMar>
          </w:tcPr>
          <w:p>
            <w:r>
              <w:rPr>
                <w:rFonts w:ascii="Arial" w:cs="Arial" w:eastAsia="Arial" w:hAnsi="Arial"/>
                <w:b/>
                <w:bCs/>
                <w:color w:val="E8EDF4"/>
                <w:sz w:val="18"/>
                <w:szCs w:val="18"/>
              </w:rPr>
              <w:t xml:space="preserve">Where It Went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QueryIndex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Query memory is Stage 1 internals, not an operator surface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Dead query exclusion happens automatically in Stage 1 startup</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Plan Diff</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 'plans' to diff — system fetches everything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Comparison Matrix shows all sources, not just two runs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Knob Telemetry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~50 knobs instead of 526 — snapshot is trivial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Settings page shows current config; run artifacts log effective values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v1/v2 Diff</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 v1/v2 distinction — one pipeline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Comparison Matrix replaces this entirely</w:t>
            </w:r>
          </w:p>
        </w:tc>
      </w:tr>
    </w:tbl>
    <w:p>
      <w:pPr>
        <w:pStyle w:val="Heading1"/>
        <w:spacing w:before="300" w:after="150"/>
      </w:pPr>
      <w:r>
        <w:rPr>
          <w:rFonts w:ascii="Arial" w:cs="Arial" w:eastAsia="Arial" w:hAnsi="Arial"/>
          <w:b/>
          <w:bCs/>
          <w:sz w:val="32"/>
          <w:szCs w:val="32"/>
        </w:rPr>
        <w:t xml:space="preserve">API Endpoints</w:t>
      </w:r>
    </w:p>
    <w:p>
      <w:pPr>
        <w:spacing w:after="120"/>
      </w:pPr>
      <w:r>
        <w:rPr>
          <w:rFonts w:ascii="Arial" w:cs="Arial" w:eastAsia="Arial" w:hAnsi="Arial"/>
          <w:color w:val="333333"/>
          <w:sz w:val="20"/>
          <w:szCs w:val="20"/>
        </w:rPr>
        <w:t xml:space="preserve">The Evidence Catalog Panel consumes these API endpoints. All are category-scoped.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030" w:val="clear"/>
            <w:tcMar>
              <w:top w:type="dxa" w:w="60"/>
              <w:left w:type="dxa" w:w="100"/>
              <w:bottom w:type="dxa" w:w="60"/>
              <w:right w:type="dxa" w:w="100"/>
            </w:tcMar>
          </w:tcPr>
          <w:p>
            <w:r>
              <w:rPr>
                <w:rFonts w:ascii="Arial" w:cs="Arial" w:eastAsia="Arial" w:hAnsi="Arial"/>
                <w:b/>
                <w:bCs/>
                <w:color w:val="E8EDF4"/>
                <w:sz w:val="18"/>
                <w:szCs w:val="18"/>
              </w:rPr>
              <w:t xml:space="preserve">Endpoint</w:t>
            </w:r>
          </w:p>
        </w:tc>
        <w:tc>
          <w:tcPr>
            <w:tcW w:type="dxa" w:w="4680"/>
            <w:tcBorders>
              <w:top w:val="single" w:color="CCCCCC" w:sz="1"/>
              <w:left w:val="single" w:color="CCCCCC" w:sz="1"/>
              <w:bottom w:val="single" w:color="CCCCCC" w:sz="1"/>
              <w:right w:val="single" w:color="CCCCCC" w:sz="1"/>
            </w:tcBorders>
            <w:shd w:fill="1a2030" w:val="clear"/>
            <w:tcMar>
              <w:top w:type="dxa" w:w="60"/>
              <w:left w:type="dxa" w:w="100"/>
              <w:bottom w:type="dxa" w:w="60"/>
              <w:right w:type="dxa" w:w="100"/>
            </w:tcMar>
          </w:tcPr>
          <w:p>
            <w:r>
              <w:rPr>
                <w:rFonts w:ascii="Arial" w:cs="Arial" w:eastAsia="Arial" w:hAnsi="Arial"/>
                <w:b/>
                <w:bCs/>
                <w:color w:val="E8EDF4"/>
                <w:sz w:val="18"/>
                <w:szCs w:val="18"/>
              </w:rPr>
              <w:t xml:space="preserve">Returns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GET /indexlab/evidence/source-records?category=mouse&amp;product=razer-viper-v3-pro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Array of source record objects with identity, quality, fields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GET /indexlab/evidence/comparison-matrix?category=mouse&amp;product=razer-viper-v3-pro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Field × source matrix with consensus values and conflict flags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GET /indexlab/indexes/url-summary?category=mouse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URL memory: visit counts, success rates, field averages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GET /indexlab/analytics/host-health?category=mouse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Per-host fetch metrics, block rates, latency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GET /indexlab/analytics/compound-curve?category=mouse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Run-over-run trend with verdict</w:t>
            </w:r>
          </w:p>
        </w:tc>
      </w:tr>
    </w:tbl>
    <w:p>
      <w:pPr>
        <w:pStyle w:val="Heading1"/>
        <w:spacing w:before="300" w:after="150"/>
      </w:pPr>
      <w:r>
        <w:rPr>
          <w:rFonts w:ascii="Arial" w:cs="Arial" w:eastAsia="Arial" w:hAnsi="Arial"/>
          <w:b/>
          <w:bCs/>
          <w:sz w:val="32"/>
          <w:szCs w:val="32"/>
        </w:rPr>
        <w:t xml:space="preserve">Integration Instructions</w:t>
      </w:r>
    </w:p>
    <w:p>
      <w:pPr>
        <w:pStyle w:val="Heading2"/>
        <w:spacing w:before="300" w:after="150"/>
      </w:pPr>
      <w:r>
        <w:rPr>
          <w:rFonts w:ascii="Arial" w:cs="Arial" w:eastAsia="Arial" w:hAnsi="Arial"/>
          <w:b/>
          <w:bCs/>
          <w:sz w:val="26"/>
          <w:szCs w:val="26"/>
        </w:rPr>
        <w:t xml:space="preserve">File Location</w:t>
      </w:r>
    </w:p>
    <w:p>
      <w:pPr>
        <w:spacing w:after="80"/>
      </w:pPr>
      <w:r>
        <w:rPr>
          <w:rFonts w:ascii="Arial" w:cs="Arial" w:eastAsia="Arial" w:hAnsi="Arial"/>
          <w:b/>
          <w:bCs/>
          <w:sz w:val="20"/>
          <w:szCs w:val="20"/>
        </w:rPr>
        <w:t xml:space="preserve">Component: </w:t>
      </w:r>
      <w:r>
        <w:rPr>
          <w:rFonts w:ascii="Arial" w:cs="Arial" w:eastAsia="Arial" w:hAnsi="Arial"/>
          <w:color w:val="555555"/>
          <w:sz w:val="20"/>
          <w:szCs w:val="20"/>
        </w:rPr>
        <w:t xml:space="preserve">tools/gui-react/src/features/indexing/components/EvidenceCatalogPanel.jsx</w:t>
      </w:r>
    </w:p>
    <w:p>
      <w:pPr>
        <w:spacing w:after="80"/>
      </w:pPr>
      <w:r>
        <w:rPr>
          <w:rFonts w:ascii="Arial" w:cs="Arial" w:eastAsia="Arial" w:hAnsi="Arial"/>
          <w:b/>
          <w:bCs/>
          <w:sz w:val="20"/>
          <w:szCs w:val="20"/>
        </w:rPr>
        <w:t xml:space="preserve">Tab Position: </w:t>
      </w:r>
      <w:r>
        <w:rPr>
          <w:rFonts w:ascii="Arial" w:cs="Arial" w:eastAsia="Arial" w:hAnsi="Arial"/>
          <w:color w:val="555555"/>
          <w:sz w:val="20"/>
          <w:szCs w:val="20"/>
        </w:rPr>
        <w:t xml:space="preserve">Tab 7 (after Queue) in the existing Runtime Ops tab bar</w:t>
      </w:r>
    </w:p>
    <w:p>
      <w:pPr>
        <w:spacing w:after="80"/>
      </w:pPr>
      <w:r>
        <w:rPr>
          <w:rFonts w:ascii="Arial" w:cs="Arial" w:eastAsia="Arial" w:hAnsi="Arial"/>
          <w:b/>
          <w:bCs/>
          <w:sz w:val="20"/>
          <w:szCs w:val="20"/>
        </w:rPr>
        <w:t xml:space="preserve">Tab Label: </w:t>
      </w:r>
      <w:r>
        <w:rPr>
          <w:rFonts w:ascii="Arial" w:cs="Arial" w:eastAsia="Arial" w:hAnsi="Arial"/>
          <w:color w:val="555555"/>
          <w:sz w:val="20"/>
          <w:szCs w:val="20"/>
        </w:rPr>
        <w:t xml:space="preserve">Evidence</w:t>
      </w:r>
    </w:p>
    <w:p>
      <w:pPr>
        <w:spacing w:after="80"/>
      </w:pPr>
      <w:r>
        <w:rPr>
          <w:rFonts w:ascii="Arial" w:cs="Arial" w:eastAsia="Arial" w:hAnsi="Arial"/>
          <w:b/>
          <w:bCs/>
          <w:sz w:val="20"/>
          <w:szCs w:val="20"/>
        </w:rPr>
        <w:t xml:space="preserve">Replaces: </w:t>
      </w:r>
      <w:r>
        <w:rPr>
          <w:rFonts w:ascii="Arial" w:cs="Arial" w:eastAsia="Arial" w:hAnsi="Arial"/>
          <w:color w:val="555555"/>
          <w:sz w:val="20"/>
          <w:szCs w:val="20"/>
        </w:rPr>
        <w:t xml:space="preserve">compound-learning-dashboard.jsx (old Learning tab)</w:t>
      </w:r>
    </w:p>
    <w:p>
      <w:pPr>
        <w:pStyle w:val="Heading2"/>
        <w:spacing w:before="300" w:after="150"/>
      </w:pPr>
      <w:r>
        <w:rPr>
          <w:rFonts w:ascii="Arial" w:cs="Arial" w:eastAsia="Arial" w:hAnsi="Arial"/>
          <w:b/>
          <w:bCs/>
          <w:sz w:val="26"/>
          <w:szCs w:val="26"/>
        </w:rPr>
        <w:t xml:space="preserve">Data Wiring</w:t>
      </w:r>
    </w:p>
    <w:p>
      <w:pPr>
        <w:spacing w:after="120"/>
      </w:pPr>
      <w:r>
        <w:rPr>
          <w:rFonts w:ascii="Arial" w:cs="Arial" w:eastAsia="Arial" w:hAnsi="Arial"/>
          <w:color w:val="333333"/>
          <w:sz w:val="20"/>
          <w:szCs w:val="20"/>
        </w:rPr>
        <w:t xml:space="preserve">Replace all mock data generators with real API calls using the existing React Query pattern from the codebase. Each sub-tab fetches its own data independently. The KPI strip computes from the source records and comparison matrix responses.</w:t>
      </w:r>
    </w:p>
    <w:p>
      <w:pPr>
        <w:pStyle w:val="Heading2"/>
        <w:spacing w:before="300" w:after="150"/>
      </w:pPr>
      <w:r>
        <w:rPr>
          <w:rFonts w:ascii="Arial" w:cs="Arial" w:eastAsia="Arial" w:hAnsi="Arial"/>
          <w:b/>
          <w:bCs/>
          <w:sz w:val="26"/>
          <w:szCs w:val="26"/>
        </w:rPr>
        <w:t xml:space="preserve">Cross-Surface Navigation</w:t>
      </w:r>
    </w:p>
    <w:p>
      <w:pPr>
        <w:spacing w:after="120"/>
      </w:pPr>
      <w:r>
        <w:rPr>
          <w:rFonts w:ascii="Arial" w:cs="Arial" w:eastAsia="Arial" w:hAnsi="Arial"/>
          <w:color w:val="333333"/>
          <w:sz w:val="20"/>
          <w:szCs w:val="20"/>
        </w:rPr>
        <w:t xml:space="preserve">Clicking a source URL in the Source Records tab should navigate to the Worker Data Drawer for that fetch worker, if the run is still loaded. Clicking a host in Host Health should filter the Source Records tab to that host. These use the existing sessionStorage focus key pattern.</w:t>
      </w:r>
    </w:p>
    <w:p>
      <w:r>
        <w:br w:type="page"/>
      </w:r>
    </w:p>
    <w:p>
      <w:pPr>
        <w:pStyle w:val="Heading1"/>
        <w:spacing w:before="300" w:after="150"/>
      </w:pPr>
      <w:r>
        <w:rPr>
          <w:rFonts w:ascii="Arial" w:cs="Arial" w:eastAsia="Arial" w:hAnsi="Arial"/>
          <w:b/>
          <w:bCs/>
          <w:sz w:val="32"/>
          <w:szCs w:val="32"/>
        </w:rPr>
        <w:t xml:space="preserve">Acceptance Criteria</w:t>
      </w:r>
    </w:p>
    <w:p>
      <w:pPr>
        <w:pStyle w:val="ListParagraph"/>
        <w:numPr>
          <w:ilvl w:val="0"/>
          <w:numId w:val="2"/>
        </w:numPr>
      </w:pPr>
      <w:r>
        <w:rPr>
          <w:rFonts w:ascii="Arial" w:cs="Arial" w:eastAsia="Arial" w:hAnsi="Arial"/>
          <w:sz w:val="20"/>
          <w:szCs w:val="20"/>
        </w:rPr>
        <w:t xml:space="preserve">Comparison Matrix renders with real data from at least 3 sources for the test product</w:t>
      </w:r>
    </w:p>
    <w:p>
      <w:pPr>
        <w:pStyle w:val="ListParagraph"/>
        <w:numPr>
          <w:ilvl w:val="0"/>
          <w:numId w:val="2"/>
        </w:numPr>
      </w:pPr>
      <w:r>
        <w:rPr>
          <w:rFonts w:ascii="Arial" w:cs="Arial" w:eastAsia="Arial" w:hAnsi="Arial"/>
          <w:sz w:val="20"/>
          <w:szCs w:val="20"/>
        </w:rPr>
        <w:t xml:space="preserve">Conflict highlighting correctly marks cells where source value differs from consensus</w:t>
      </w:r>
    </w:p>
    <w:p>
      <w:pPr>
        <w:pStyle w:val="ListParagraph"/>
        <w:numPr>
          <w:ilvl w:val="0"/>
          <w:numId w:val="2"/>
        </w:numPr>
      </w:pPr>
      <w:r>
        <w:rPr>
          <w:rFonts w:ascii="Arial" w:cs="Arial" w:eastAsia="Arial" w:hAnsi="Arial"/>
          <w:sz w:val="20"/>
          <w:szCs w:val="20"/>
        </w:rPr>
        <w:t xml:space="preserve">Source Records shows identity classification badges (confirmed/variant/uncertain/rejected)</w:t>
      </w:r>
    </w:p>
    <w:p>
      <w:pPr>
        <w:pStyle w:val="ListParagraph"/>
        <w:numPr>
          <w:ilvl w:val="0"/>
          <w:numId w:val="2"/>
        </w:numPr>
      </w:pPr>
      <w:r>
        <w:rPr>
          <w:rFonts w:ascii="Arial" w:cs="Arial" w:eastAsia="Arial" w:hAnsi="Arial"/>
          <w:sz w:val="20"/>
          <w:szCs w:val="20"/>
        </w:rPr>
        <w:t xml:space="preserve">Filter buttons in Source Records correctly filter by identity state</w:t>
      </w:r>
    </w:p>
    <w:p>
      <w:pPr>
        <w:pStyle w:val="ListParagraph"/>
        <w:numPr>
          <w:ilvl w:val="0"/>
          <w:numId w:val="2"/>
        </w:numPr>
      </w:pPr>
      <w:r>
        <w:rPr>
          <w:rFonts w:ascii="Arial" w:cs="Arial" w:eastAsia="Arial" w:hAnsi="Arial"/>
          <w:sz w:val="20"/>
          <w:szCs w:val="20"/>
        </w:rPr>
        <w:t xml:space="preserve">URL Memory sorted by visit count, high-yield URLs visible at top</w:t>
      </w:r>
    </w:p>
    <w:p>
      <w:pPr>
        <w:pStyle w:val="ListParagraph"/>
        <w:numPr>
          <w:ilvl w:val="0"/>
          <w:numId w:val="2"/>
        </w:numPr>
      </w:pPr>
      <w:r>
        <w:rPr>
          <w:rFonts w:ascii="Arial" w:cs="Arial" w:eastAsia="Arial" w:hAnsi="Arial"/>
          <w:sz w:val="20"/>
          <w:szCs w:val="20"/>
        </w:rPr>
        <w:t xml:space="preserve">Host Health sorted by block rate, status badges correct</w:t>
      </w:r>
    </w:p>
    <w:p>
      <w:pPr>
        <w:pStyle w:val="ListParagraph"/>
        <w:numPr>
          <w:ilvl w:val="0"/>
          <w:numId w:val="2"/>
        </w:numPr>
      </w:pPr>
      <w:r>
        <w:rPr>
          <w:rFonts w:ascii="Arial" w:cs="Arial" w:eastAsia="Arial" w:hAnsi="Arial"/>
          <w:sz w:val="20"/>
          <w:szCs w:val="20"/>
        </w:rPr>
        <w:t xml:space="preserve">Compound Trend verdict matches actual search reduction and URL reuse metrics</w:t>
      </w:r>
    </w:p>
    <w:p>
      <w:pPr>
        <w:pStyle w:val="ListParagraph"/>
        <w:numPr>
          <w:ilvl w:val="0"/>
          <w:numId w:val="2"/>
        </w:numPr>
      </w:pPr>
      <w:r>
        <w:rPr>
          <w:rFonts w:ascii="Arial" w:cs="Arial" w:eastAsia="Arial" w:hAnsi="Arial"/>
          <w:sz w:val="20"/>
          <w:szCs w:val="20"/>
        </w:rPr>
        <w:t xml:space="preserve">KPI strip updates when data changes</w:t>
      </w:r>
    </w:p>
    <w:p>
      <w:pPr>
        <w:pStyle w:val="ListParagraph"/>
        <w:numPr>
          <w:ilvl w:val="0"/>
          <w:numId w:val="2"/>
        </w:numPr>
      </w:pPr>
      <w:r>
        <w:rPr>
          <w:rFonts w:ascii="Arial" w:cs="Arial" w:eastAsia="Arial" w:hAnsi="Arial"/>
          <w:sz w:val="20"/>
          <w:szCs w:val="20"/>
        </w:rPr>
        <w:t xml:space="preserve">No reference to convergence rounds, NeedSet engine, identity gate, or consensus engine in the UI</w:t>
      </w:r>
    </w:p>
    <w:p>
      <w:pPr>
        <w:pStyle w:val="ListParagraph"/>
        <w:numPr>
          <w:ilvl w:val="0"/>
          <w:numId w:val="2"/>
        </w:numPr>
        <w:spacing w:after="200"/>
      </w:pPr>
      <w:r>
        <w:rPr>
          <w:rFonts w:ascii="Arial" w:cs="Arial" w:eastAsia="Arial" w:hAnsi="Arial"/>
          <w:sz w:val="20"/>
          <w:szCs w:val="20"/>
        </w:rPr>
        <w:t xml:space="preserve">Tab renders without error when API returns empty data (no runs yet)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50"/>
      <w:outlineLvl w:val="1"/>
    </w:pPr>
    <w:rPr>
      <w:rFonts w:ascii="Arial" w:cs="Arial" w:eastAsia="Arial" w:hAnsi="Arial"/>
      <w:b/>
      <w:bCs/>
      <w:color w:val="2a3a5a"/>
      <w:sz w:val="26"/>
      <w:szCs w:val="26"/>
    </w:rPr>
  </w:style>
  <w:style w:type="paragraph" w:styleId="Heading3">
    <w:name w:val="Heading 3"/>
    <w:basedOn w:val="Normal"/>
    <w:next w:val="Normal"/>
    <w:qFormat/>
    <w:pPr>
      <w:spacing w:before="180" w:after="120"/>
      <w:outlineLvl w:val="2"/>
    </w:pPr>
    <w:rPr>
      <w:rFonts w:ascii="Arial" w:cs="Arial" w:eastAsia="Arial" w:hAnsi="Arial"/>
      <w:b/>
      <w:bCs/>
      <w:color w:val="3a4a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2026-03-10T18:09:16.708Z</dcterms:created>
  <dcterms:modified xsi:type="dcterms:W3CDTF">2026-03-10T18:09:16.709Z</dcterms:modified>
</cp:coreProperties>
</file>

<file path=docProps/custom.xml><?xml version="1.0" encoding="utf-8"?>
<Properties xmlns="http://schemas.openxmlformats.org/officeDocument/2006/custom-properties" xmlns:vt="http://schemas.openxmlformats.org/officeDocument/2006/docPropsVTypes"/>
</file>