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检索增强生成的幻觉检测与量化评估方法研究</w:t>
      </w:r>
    </w:p>
    <w:p>
      <w:r>
        <w:rPr>
          <w:rFonts w:ascii="Times New Roman" w:hAnsi="Times New Roman" w:eastAsia="Noto Serif CJK SC"/>
          <w:b/>
        </w:rPr>
        <w:t>开题报告</w:t>
      </w:r>
      <w:r>
        <w:rPr>
          <w:rFonts w:ascii="Times New Roman" w:hAnsi="Times New Roman" w:eastAsia="Noto Serif CJK SC"/>
        </w:rPr>
        <w:t xml:space="preserve"> ｜ 课题编号：C09 ｜ 课程：模式识别</w:t>
      </w:r>
    </w:p>
    <w:p>
      <w:pPr>
        <w:pStyle w:val="Heading1"/>
      </w:pPr>
      <w:r>
        <w:t>一、题目</w:t>
      </w:r>
    </w:p>
    <w:p>
      <w:r>
        <w:rPr>
          <w:rFonts w:ascii="Times New Roman" w:hAnsi="Times New Roman" w:eastAsia="Noto Serif CJK SC"/>
          <w:b/>
        </w:rPr>
        <w:t>面向检索失败、证据冲突与知识过时三类失败的检索增强生成幻觉检测与量化评估方法研究</w:t>
      </w:r>
      <w:r>
        <w:rPr>
          <w:rFonts w:ascii="Times New Roman" w:hAnsi="Times New Roman" w:eastAsia="Noto Serif CJK SC"/>
        </w:rPr>
        <w:t>——在单张消费级 GPU（≤12 GB 显存）与全离线可复现的约束下，构建开放域问答的检索增强生成（Retrieval-Augmented Generation, RAG）管道，自行构造覆盖上述三类失败的挑战子集，并实现基于</w:t>
      </w:r>
      <w:r>
        <w:rPr>
          <w:rFonts w:ascii="Times New Roman" w:hAnsi="Times New Roman" w:eastAsia="Noto Serif CJK SC"/>
          <w:b/>
        </w:rPr>
        <w:t>证据一致性特征</w:t>
      </w:r>
      <w:r>
        <w:rPr>
          <w:rFonts w:ascii="Times New Roman" w:hAnsi="Times New Roman" w:eastAsia="Noto Serif CJK SC"/>
        </w:rPr>
        <w:t>的幻觉自动判别器，量化回答其判别能力相对"生成模型自评置信度"基线的增益及其类型敏感性边界。</w:t>
      </w:r>
    </w:p>
    <w:p>
      <w:r>
        <w:rPr>
          <w:rFonts w:ascii="Times New Roman" w:hAnsi="Times New Roman" w:eastAsia="Noto Serif CJK SC"/>
        </w:rPr>
        <w:t xml:space="preserve">题目包含三个约束条件：① </w:t>
      </w:r>
      <w:r>
        <w:rPr>
          <w:rFonts w:ascii="Times New Roman" w:hAnsi="Times New Roman" w:eastAsia="Noto Serif CJK SC"/>
          <w:b/>
        </w:rPr>
        <w:t>场景约束</w:t>
      </w:r>
      <w:r>
        <w:rPr>
          <w:rFonts w:ascii="Times New Roman" w:hAnsi="Times New Roman" w:eastAsia="Noto Serif CJK SC"/>
        </w:rPr>
        <w:t xml:space="preserve">——开放域问答中的 RAG 管道；② </w:t>
      </w:r>
      <w:r>
        <w:rPr>
          <w:rFonts w:ascii="Times New Roman" w:hAnsi="Times New Roman" w:eastAsia="Noto Serif CJK SC"/>
          <w:b/>
        </w:rPr>
        <w:t>数据约束</w:t>
      </w:r>
      <w:r>
        <w:rPr>
          <w:rFonts w:ascii="Times New Roman" w:hAnsi="Times New Roman" w:eastAsia="Noto Serif CJK SC"/>
        </w:rPr>
        <w:t xml:space="preserve">——挑战样本必须由小组在公开数据集上自行构造，且真伪可自动判定；③ </w:t>
      </w:r>
      <w:r>
        <w:rPr>
          <w:rFonts w:ascii="Times New Roman" w:hAnsi="Times New Roman" w:eastAsia="Noto Serif CJK SC"/>
          <w:b/>
        </w:rPr>
        <w:t>算力与复现约束</w:t>
      </w:r>
      <w:r>
        <w:rPr>
          <w:rFonts w:ascii="Times New Roman" w:hAnsi="Times New Roman" w:eastAsia="Noto Serif CJK SC"/>
        </w:rPr>
        <w:t>——单卡 ≤12 GB、48 小时内完成全部实验、全流程离线可复现。</w:t>
      </w:r>
    </w:p>
    <w:p>
      <w:pPr>
        <w:pStyle w:val="Heading1"/>
      </w:pPr>
      <w:r>
        <w:t>二、研究背景与问题界定</w:t>
      </w:r>
    </w:p>
    <w:p>
      <w:r>
        <w:rPr>
          <w:rFonts w:ascii="Times New Roman" w:hAnsi="Times New Roman" w:eastAsia="Noto Serif CJK SC"/>
        </w:rPr>
        <w:t>大语言模型（LLM）在知识密集型任务中依赖参数化记忆，其缺陷有三：无法精确访问与操作知识、难以提供生成内容的出处、世界知识更新无从谈起[1]。RAG 通过外挂可检索的非参数化知识源缓解了上述问题[1,2]，工程上也已被广泛采用。然而，随着 RAG 成为标准方案，幻觉的性质发生了转化：它不再是单纯的"知识缺失"，而更多地表现为</w:t>
      </w:r>
      <w:r>
        <w:rPr>
          <w:rFonts w:ascii="Times New Roman" w:hAnsi="Times New Roman" w:eastAsia="Noto Serif CJK SC"/>
          <w:b/>
        </w:rPr>
        <w:t>证据检索、证据理解与证据到答案推导三个环节的失效</w:t>
      </w:r>
      <w:r>
        <w:rPr>
          <w:rFonts w:ascii="Times New Roman" w:hAnsi="Times New Roman" w:eastAsia="Noto Serif CJK SC"/>
        </w:rPr>
        <w:t>。已有工作从不同侧面印证了这一点：无关上下文会显著拉低模型表现，即使使用思维链提示[3]；当相关信息位于长上下文的中部时，模型的利用能力显著退化[4]；一次性"检索—阅读"对多跳问题不足，需要检索与推理交替进行[5]。评测类工作进一步指出，模型在噪声鲁棒性上尚可，但在负拒绝、信息整合与反事实鲁棒等能力上仍明显不足[6]；面向 RAG 的细粒度幻觉语料也显示，即便接入检索，模型仍会产生不被检索内容支持或与之矛盾的陈述[7]。</w:t>
      </w:r>
    </w:p>
    <w:p>
      <w:r>
        <w:rPr>
          <w:rFonts w:ascii="Times New Roman" w:hAnsi="Times New Roman" w:eastAsia="Noto Serif CJK SC"/>
        </w:rPr>
        <w:t>另一方面，幻觉的度量与检测研究为本课题提供了方法基础。在度量侧，忠实性与事实性在摘要任务上被系统区分，且文本蕴含类度量与人工忠实性判断的相关性优于词面重叠指标[13]；跨任务的事实一致性元评估进一步指出，仅在单一任务、单一数据集上开发的度量难以推广[14]；面向 RAG 的无参考评估[17]与原子事实级精确度[16]把评估推进到细粒度、可自动核验的层面；归因评估框架则把"输出能否归源于给定来源"独立为评估对象[18]，与本课题关注的一致性判别互补。在检测侧，方法可分为两条路线：一是</w:t>
      </w:r>
      <w:r>
        <w:rPr>
          <w:rFonts w:ascii="Times New Roman" w:hAnsi="Times New Roman" w:eastAsia="Noto Serif CJK SC"/>
          <w:b/>
        </w:rPr>
        <w:t>内部状态与不确定性路线</w:t>
      </w:r>
      <w:r>
        <w:rPr>
          <w:rFonts w:ascii="Times New Roman" w:hAnsi="Times New Roman" w:eastAsia="Noto Serif CJK SC"/>
        </w:rPr>
        <w:t>，以模型自评概率[10,11]或多次采样的自洽性[15]作为判据；二是</w:t>
      </w:r>
      <w:r>
        <w:rPr>
          <w:rFonts w:ascii="Times New Roman" w:hAnsi="Times New Roman" w:eastAsia="Noto Serif CJK SC"/>
          <w:b/>
        </w:rPr>
        <w:t>外部证据一致性路线</w:t>
      </w:r>
      <w:r>
        <w:rPr>
          <w:rFonts w:ascii="Times New Roman" w:hAnsi="Times New Roman" w:eastAsia="Noto Serif CJK SC"/>
        </w:rPr>
        <w:t>，把生成结果与证据显式比对，事后核验[22]与"按需检索 + 自我批判"[23]均属此类。此外，幻觉研究已有系统性综述，给出了定义、分类与任务特定的度量与缓解方法[12]；值得注意的还有幻觉的级联特性——模型给出错误回答后，其后续解释往往包含自身可识别的错误[21]，这提示判别需要同时考虑回答内部的自相矛盾。在数据资源侧，面向真实性[19]、幻觉识别[20]与事实验证[24]的评测集，连同自然语言推断语料[25,26]，共同为"证据—陈述"一致性建模提供了监督信号与评测范式。</w:t>
      </w:r>
    </w:p>
    <w:p>
      <w:r>
        <w:rPr>
          <w:rFonts w:ascii="Times New Roman" w:hAnsi="Times New Roman" w:eastAsia="Noto Serif CJK SC"/>
        </w:rPr>
        <w:t>综合来看，现有研究存在四点空白，构成本课题的问题来源：</w:t>
      </w:r>
    </w:p>
    <w:p>
      <w:pPr>
        <w:pStyle w:val="ListNumber"/>
      </w:pPr>
      <w:r>
        <w:rPr>
          <w:rFonts w:ascii="Times New Roman" w:hAnsi="Times New Roman" w:eastAsia="Noto Serif CJK SC"/>
          <w:b/>
        </w:rPr>
        <w:t>检索失败的"使用后判定"研究不足</w:t>
      </w:r>
      <w:r>
        <w:rPr>
          <w:rFonts w:ascii="Times New Roman" w:hAnsi="Times New Roman" w:eastAsia="Noto Serif CJK SC"/>
        </w:rPr>
        <w:t>：现有基准多以能力维度划分测试集[6]或提供词级幻觉标注[7]，缺少把"检索失败"作为可控实验变量、与其他失败类型对照评估的工作；</w:t>
      </w:r>
    </w:p>
    <w:p>
      <w:pPr>
        <w:pStyle w:val="ListNumber"/>
      </w:pPr>
      <w:r>
        <w:rPr>
          <w:rFonts w:ascii="Times New Roman" w:hAnsi="Times New Roman" w:eastAsia="Noto Serif CJK SC"/>
          <w:b/>
        </w:rPr>
        <w:t>证据冲突下的特征级敏感性缺乏分组证据</w:t>
      </w:r>
      <w:r>
        <w:rPr>
          <w:rFonts w:ascii="Times New Roman" w:hAnsi="Times New Roman" w:eastAsia="Noto Serif CJK SC"/>
        </w:rPr>
        <w:t>：反事实鲁棒性已在基准中被提出[6]，但结论停留在"模型能力不足"层面，未回答"哪一类一致性特征对该失败敏感"；</w:t>
      </w:r>
    </w:p>
    <w:p>
      <w:pPr>
        <w:pStyle w:val="ListNumber"/>
      </w:pPr>
      <w:r>
        <w:rPr>
          <w:rFonts w:ascii="Times New Roman" w:hAnsi="Times New Roman" w:eastAsia="Noto Serif CJK SC"/>
          <w:b/>
        </w:rPr>
        <w:t>"知识过时"缺少系统评估</w:t>
      </w:r>
      <w:r>
        <w:rPr>
          <w:rFonts w:ascii="Times New Roman" w:hAnsi="Times New Roman" w:eastAsia="Noto Serif CJK SC"/>
        </w:rPr>
        <w:t>：知识更新被视为 RAG 的核心价值[1,2]，但主流数据集的构建均以静态知识为前提[8,9]，时间敏感事实稀少，缺乏可自动判定真伪的构造方案；</w:t>
      </w:r>
    </w:p>
    <w:p>
      <w:pPr>
        <w:pStyle w:val="ListNumber"/>
      </w:pPr>
      <w:r>
        <w:rPr>
          <w:rFonts w:ascii="Times New Roman" w:hAnsi="Times New Roman" w:eastAsia="Noto Serif CJK SC"/>
          <w:b/>
        </w:rPr>
        <w:t>自评置信度基线的失效边界未被量化</w:t>
      </w:r>
      <w:r>
        <w:rPr>
          <w:rFonts w:ascii="Times New Roman" w:hAnsi="Times New Roman" w:eastAsia="Noto Serif CJK SC"/>
        </w:rPr>
        <w:t>：模型自评与内部状态可作为真实性信号已被证明[10,11]，但这些工作多在无检索污染的条件下评估；当证据被替换或污染时，该基线的退化幅度尚不清楚。</w:t>
      </w:r>
    </w:p>
    <w:p>
      <w:r>
        <w:rPr>
          <w:rFonts w:ascii="Times New Roman" w:hAnsi="Times New Roman" w:eastAsia="Noto Serif CJK SC"/>
          <w:b/>
        </w:rPr>
        <w:t>问题形式化</w:t>
      </w:r>
      <w:r>
        <w:rPr>
          <w:rFonts w:ascii="Times New Roman" w:hAnsi="Times New Roman" w:eastAsia="Noto Serif CJK SC"/>
        </w:rPr>
        <w:t>：给定问题 q、检索所得证据集合 E = {e₁, …, e_k} 与生成模型输出答案 a，本课题研究一个判别函数 f(q, E, a) 输出幻觉概率 p（取值范围 0～1），其中 p 表示"该回答不被证据支持（即幻觉）"的概率。特征向量 φ(q, E, a) 的分量包括答案与证据之间的语义蕴含概率、词面重叠度、证据之间的冲突计数等，判别器由标注数据训练得到。评价指标为 AUC，量化目标为</w:t>
      </w:r>
    </w:p>
    <w:p>
      <w:pPr>
        <w:ind w:left="454"/>
        <w:jc w:val="center"/>
      </w:pPr>
      <w:r>
        <w:rPr>
          <w:rFonts w:ascii="Times New Roman" w:hAnsi="Times New Roman" w:eastAsia="Noto Serif CJK SC"/>
          <w:b/>
          <w:sz w:val="22"/>
        </w:rPr>
        <w:t>AUC(一致性特征判别器) − AUC(自评置信度基线) ≥ 0.10</w:t>
      </w:r>
    </w:p>
    <w:p>
      <w:r>
        <w:rPr>
          <w:rFonts w:ascii="Times New Roman" w:hAnsi="Times New Roman" w:eastAsia="Noto Serif CJK SC"/>
        </w:rPr>
        <w:t>并以三个随机种子的均值 ± 标准差与配对显著性检验支撑该结论。</w:t>
      </w:r>
    </w:p>
    <w:p>
      <w:pPr>
        <w:pStyle w:val="Heading1"/>
      </w:pPr>
      <w:r>
        <w:t>三、研究目标</w:t>
      </w:r>
    </w:p>
    <w:p>
      <w:pPr>
        <w:pStyle w:val="ListNumber"/>
      </w:pPr>
      <w:r>
        <w:rPr>
          <w:rFonts w:ascii="Times New Roman" w:hAnsi="Times New Roman" w:eastAsia="Noto Serif CJK SC"/>
          <w:b/>
        </w:rPr>
        <w:t>主目标（量化）</w:t>
      </w:r>
      <w:r>
        <w:rPr>
          <w:rFonts w:ascii="Times New Roman" w:hAnsi="Times New Roman" w:eastAsia="Noto Serif CJK SC"/>
        </w:rPr>
        <w:t xml:space="preserve">：在自构造的挑战测试集（≥300 例，覆盖检索失败、证据冲突、答案过时三类，每类 100 例）上，证据一致性判别器的 </w:t>
      </w:r>
      <w:r>
        <w:rPr>
          <w:rFonts w:ascii="Times New Roman" w:hAnsi="Times New Roman" w:eastAsia="Noto Serif CJK SC"/>
          <w:b/>
        </w:rPr>
        <w:t>幻觉判别 AUC 相对"生成模型自评置信度"基线提升 ≥0.10</w:t>
      </w:r>
      <w:r>
        <w:rPr>
          <w:rFonts w:ascii="Times New Roman" w:hAnsi="Times New Roman" w:eastAsia="Noto Serif CJK SC"/>
        </w:rPr>
        <w:t>（3 个随机种子的均值比较，并给出配对检验 p 值）。</w:t>
      </w:r>
    </w:p>
    <w:p>
      <w:pPr>
        <w:pStyle w:val="ListNumber"/>
      </w:pPr>
      <w:r>
        <w:rPr>
          <w:rFonts w:ascii="Times New Roman" w:hAnsi="Times New Roman" w:eastAsia="Noto Serif CJK SC"/>
          <w:b/>
        </w:rPr>
        <w:t>分组目标</w:t>
      </w:r>
      <w:r>
        <w:rPr>
          <w:rFonts w:ascii="Times New Roman" w:hAnsi="Times New Roman" w:eastAsia="Noto Serif CJK SC"/>
        </w:rPr>
        <w:t>：给出按幻觉类型分组的查准/查全与 AUC，明确回答"</w:t>
      </w:r>
      <w:r>
        <w:rPr>
          <w:rFonts w:ascii="Times New Roman" w:hAnsi="Times New Roman" w:eastAsia="Noto Serif CJK SC"/>
          <w:b/>
        </w:rPr>
        <w:t>一致性特征对哪类幻觉敏感、对哪类失败失效</w:t>
      </w:r>
      <w:r>
        <w:rPr>
          <w:rFonts w:ascii="Times New Roman" w:hAnsi="Times New Roman" w:eastAsia="Noto Serif CJK SC"/>
        </w:rPr>
        <w:t>"——这是课题结论的核心要求。</w:t>
      </w:r>
    </w:p>
    <w:p>
      <w:pPr>
        <w:pStyle w:val="ListNumber"/>
      </w:pPr>
      <w:r>
        <w:rPr>
          <w:rFonts w:ascii="Times New Roman" w:hAnsi="Times New Roman" w:eastAsia="Noto Serif CJK SC"/>
          <w:b/>
        </w:rPr>
        <w:t>方法学目标</w:t>
      </w:r>
      <w:r>
        <w:rPr>
          <w:rFonts w:ascii="Times New Roman" w:hAnsi="Times New Roman" w:eastAsia="Noto Serif CJK SC"/>
        </w:rPr>
        <w:t>：完成不少于 3 组消融实验（构造算子 / 特征组 / 判别器与校准），并如实报告不少于 1 组未达预期的实验结果（预设方向为"答案过时"类）。</w:t>
      </w:r>
    </w:p>
    <w:p>
      <w:pPr>
        <w:pStyle w:val="ListNumber"/>
      </w:pPr>
      <w:r>
        <w:rPr>
          <w:rFonts w:ascii="Times New Roman" w:hAnsi="Times New Roman" w:eastAsia="Noto Serif CJK SC"/>
          <w:b/>
        </w:rPr>
        <w:t>工程目标</w:t>
      </w:r>
      <w:r>
        <w:rPr>
          <w:rFonts w:ascii="Times New Roman" w:hAnsi="Times New Roman" w:eastAsia="Noto Serif CJK SC"/>
        </w:rPr>
        <w:t>：全流程离线可复现；核心结论基于 ≥3 个随机种子；单张 ≤12 GB 显存 GPU 上 48 小时内可完成全部实验；代码、挑战集构造脚本与结果产物可被第三方重跑。</w:t>
      </w:r>
    </w:p>
    <w:p>
      <w:pPr>
        <w:pStyle w:val="Heading1"/>
      </w:pPr>
      <w:r>
        <w:t>四、研究内容</w:t>
      </w:r>
    </w:p>
    <w:p>
      <w:r>
        <w:rPr>
          <w:rFonts w:ascii="Times New Roman" w:hAnsi="Times New Roman" w:eastAsia="Noto Serif CJK SC"/>
          <w:b/>
        </w:rPr>
        <w:t>子任务 1：RAG 管道搭建（检索器 + 开源生成模型，全离线）</w:t>
      </w:r>
    </w:p>
    <w:p>
      <w:r>
        <w:rPr>
          <w:rFonts w:ascii="Times New Roman" w:hAnsi="Times New Roman" w:eastAsia="Noto Serif CJK SC"/>
        </w:rPr>
        <w:t>构建"问题 → 检索 → 提示构造 → 生成 → 记录证据"的端到端管道。检索侧以 BM25 稀疏检索为主线（纯 CPU、无额外依赖、结果可预期），另设稠密检索作为可选支线用于对比；生成侧选用可在 4 GB 级显存内以 fp16 贪心解码运行的</w:t>
      </w:r>
      <w:r>
        <w:rPr>
          <w:rFonts w:ascii="Times New Roman" w:hAnsi="Times New Roman" w:eastAsia="Noto Serif CJK SC"/>
          <w:b/>
        </w:rPr>
        <w:t>小参数开源指令模型</w:t>
      </w:r>
      <w:r>
        <w:rPr>
          <w:rFonts w:ascii="Times New Roman" w:hAnsi="Times New Roman" w:eastAsia="Noto Serif CJK SC"/>
        </w:rPr>
        <w:t xml:space="preserve">（如 Qwen2.5-0.5B-Instruct，Apache-2.0），统一 </w:t>
      </w:r>
      <w:r>
        <w:rPr>
          <w:rFonts w:ascii="DejaVu Sans Mono" w:hAnsi="DejaVu Sans Mono"/>
        </w:rPr>
        <w:t>do_sample=False</w:t>
      </w:r>
      <w:r>
        <w:rPr>
          <w:rFonts w:ascii="Times New Roman" w:hAnsi="Times New Roman" w:eastAsia="Noto Serif CJK SC"/>
        </w:rPr>
        <w:t xml:space="preserve"> 以保证可复现。管道输出结构化预测记录（答案、检索证据、提示、延迟、自评置信度），作为后续特征与评估的唯一输入。</w:t>
      </w:r>
    </w:p>
    <w:p>
      <w:r>
        <w:rPr>
          <w:rFonts w:ascii="Times New Roman" w:hAnsi="Times New Roman" w:eastAsia="Noto Serif CJK SC"/>
          <w:b/>
        </w:rPr>
        <w:t>子任务 2：挑战子集构造（三类退化算子，≥300 例，可自动判定真伪）</w:t>
      </w:r>
    </w:p>
    <w:p>
      <w:r>
        <w:rPr>
          <w:rFonts w:ascii="Times New Roman" w:hAnsi="Times New Roman" w:eastAsia="Noto Serif CJK SC"/>
        </w:rPr>
        <w:t xml:space="preserve">在 SQuAD v2.0 与 HotpotQA 的 dev/validation 划分上施加三类退化算子：① </w:t>
      </w:r>
      <w:r>
        <w:rPr>
          <w:rFonts w:ascii="Times New Roman" w:hAnsi="Times New Roman" w:eastAsia="Noto Serif CJK SC"/>
          <w:b/>
        </w:rPr>
        <w:t>检索失败</w:t>
      </w:r>
      <w:r>
        <w:rPr>
          <w:rFonts w:ascii="Times New Roman" w:hAnsi="Times New Roman" w:eastAsia="Noto Serif CJK SC"/>
        </w:rPr>
        <w:t xml:space="preserve">——移除全部支撑证据句并替换为同主题干扰段落（HotpotQA 的 distractor 配置天然提供干扰文）；② </w:t>
      </w:r>
      <w:r>
        <w:rPr>
          <w:rFonts w:ascii="Times New Roman" w:hAnsi="Times New Roman" w:eastAsia="Noto Serif CJK SC"/>
          <w:b/>
        </w:rPr>
        <w:t>证据冲突</w:t>
      </w:r>
      <w:r>
        <w:rPr>
          <w:rFonts w:ascii="Times New Roman" w:hAnsi="Times New Roman" w:eastAsia="Noto Serif CJK SC"/>
        </w:rPr>
        <w:t xml:space="preserve">——在上下文中部注入与真值矛盾但表面可信的句子（人名/日期/数量/地点四类槽位模板替换）；③ </w:t>
      </w:r>
      <w:r>
        <w:rPr>
          <w:rFonts w:ascii="Times New Roman" w:hAnsi="Times New Roman" w:eastAsia="Noto Serif CJK SC"/>
          <w:b/>
        </w:rPr>
        <w:t>答案过时</w:t>
      </w:r>
      <w:r>
        <w:rPr>
          <w:rFonts w:ascii="Times New Roman" w:hAnsi="Times New Roman" w:eastAsia="Noto Serif CJK SC"/>
        </w:rPr>
        <w:t>——把时间敏感事实改写为过期版本，构成"证据自洽但与世界当前状态不符"的场景。每个基样本同时生成</w:t>
      </w:r>
      <w:r>
        <w:rPr>
          <w:rFonts w:ascii="Times New Roman" w:hAnsi="Times New Roman" w:eastAsia="Noto Serif CJK SC"/>
          <w:b/>
        </w:rPr>
        <w:t>污染版与对照版</w:t>
      </w:r>
      <w:r>
        <w:rPr>
          <w:rFonts w:ascii="Times New Roman" w:hAnsi="Times New Roman" w:eastAsia="Noto Serif CJK SC"/>
        </w:rPr>
        <w:t>（证据完好），使正负样本同分布可比。</w:t>
      </w:r>
    </w:p>
    <w:p>
      <w:r>
        <w:rPr>
          <w:rFonts w:ascii="Times New Roman" w:hAnsi="Times New Roman" w:eastAsia="Noto Serif CJK SC"/>
          <w:b/>
        </w:rPr>
        <w:t>关键设计——标签的规则化推导</w:t>
      </w:r>
      <w:r>
        <w:rPr>
          <w:rFonts w:ascii="Times New Roman" w:hAnsi="Times New Roman" w:eastAsia="Noto Serif CJK SC"/>
        </w:rPr>
        <w:t>：标签定义为"回答是否被所给证据支持"，判定完全由规则完成（拒答模板匹配、真值字符串匹配、注入值匹配），</w:t>
      </w:r>
      <w:r>
        <w:rPr>
          <w:rFonts w:ascii="Times New Roman" w:hAnsi="Times New Roman" w:eastAsia="Noto Serif CJK SC"/>
          <w:b/>
        </w:rPr>
        <w:t>不使用待评估的 NLI 特征</w:t>
      </w:r>
      <w:r>
        <w:rPr>
          <w:rFonts w:ascii="Times New Roman" w:hAnsi="Times New Roman" w:eastAsia="Noto Serif CJK SC"/>
        </w:rPr>
        <w:t xml:space="preserve">。若用同一模型既生成标签又提供特征，将构成循环论证，AUC 增益失去意义。无法判定的样本单列为 </w:t>
      </w:r>
      <w:r>
        <w:rPr>
          <w:rFonts w:ascii="DejaVu Sans Mono" w:hAnsi="DejaVu Sans Mono"/>
        </w:rPr>
        <w:t>undetermined</w:t>
      </w:r>
      <w:r>
        <w:rPr>
          <w:rFonts w:ascii="Times New Roman" w:hAnsi="Times New Roman" w:eastAsia="Noto Serif CJK SC"/>
        </w:rPr>
        <w:t xml:space="preserve"> 并排除出主评估，数量如实报告。</w:t>
      </w:r>
    </w:p>
    <w:p>
      <w:r>
        <w:rPr>
          <w:rFonts w:ascii="Times New Roman" w:hAnsi="Times New Roman" w:eastAsia="Noto Serif CJK SC"/>
          <w:b/>
        </w:rPr>
        <w:t>子任务 3：一致性特征设计与判别器训练</w:t>
      </w:r>
    </w:p>
    <w:p>
      <w:r>
        <w:rPr>
          <w:rFonts w:ascii="Times New Roman" w:hAnsi="Times New Roman" w:eastAsia="Noto Serif CJK SC"/>
        </w:rPr>
        <w:t>以"答案是否可由证据推出"为主线构造三组特征：</w:t>
      </w:r>
      <w:r>
        <w:rPr>
          <w:rFonts w:ascii="Times New Roman" w:hAnsi="Times New Roman" w:eastAsia="Noto Serif CJK SC"/>
          <w:b/>
        </w:rPr>
        <w:t>语义一致性</w:t>
      </w:r>
      <w:r>
        <w:rPr>
          <w:rFonts w:ascii="Times New Roman" w:hAnsi="Times New Roman" w:eastAsia="Noto Serif CJK SC"/>
        </w:rPr>
        <w:t>（以 NLI 交叉编码器计算的答案←证据蕴含概率，取最大值与均值、矛盾概率）、</w:t>
      </w:r>
      <w:r>
        <w:rPr>
          <w:rFonts w:ascii="Times New Roman" w:hAnsi="Times New Roman" w:eastAsia="Noto Serif CJK SC"/>
          <w:b/>
        </w:rPr>
        <w:t>词面重叠</w:t>
      </w:r>
      <w:r>
        <w:rPr>
          <w:rFonts w:ascii="Times New Roman" w:hAnsi="Times New Roman" w:eastAsia="Noto Serif CJK SC"/>
        </w:rPr>
        <w:t>（精确匹配与 token-F1，作为浅层基线）、</w:t>
      </w:r>
      <w:r>
        <w:rPr>
          <w:rFonts w:ascii="Times New Roman" w:hAnsi="Times New Roman" w:eastAsia="Noto Serif CJK SC"/>
          <w:b/>
        </w:rPr>
        <w:t>证据冲突结构</w:t>
      </w:r>
      <w:r>
        <w:rPr>
          <w:rFonts w:ascii="Times New Roman" w:hAnsi="Times New Roman" w:eastAsia="Noto Serif CJK SC"/>
        </w:rPr>
        <w:t>（证据句对之间的矛盾计数、检索最高分）。判别器在逻辑回归、梯度提升树与轻量 MLP 之间比较，并引入概率校准（Platt / 温度缩放）以改善阈值类指标。特征组消融用于判断各组贡献。</w:t>
      </w:r>
    </w:p>
    <w:p>
      <w:r>
        <w:rPr>
          <w:rFonts w:ascii="Times New Roman" w:hAnsi="Times New Roman" w:eastAsia="Noto Serif CJK SC"/>
          <w:b/>
        </w:rPr>
        <w:t>子任务 4：分组评估、消融与结论提炼</w:t>
      </w:r>
    </w:p>
    <w:p>
      <w:r>
        <w:rPr>
          <w:rFonts w:ascii="Times New Roman" w:hAnsi="Times New Roman" w:eastAsia="Noto Serif CJK SC"/>
        </w:rPr>
        <w:t>按幻觉类型分组报告指标，完成 3 组消融，进行 3 种子重复与配对显著性检验，并组织 100 例人工抽检核验自动标签与判别结果的一致性（Cohen's κ）。最终提炼"一致性特征的类型敏感性边界"，并如实呈现负结果。</w:t>
      </w:r>
    </w:p>
    <w:p>
      <w:pPr>
        <w:pStyle w:val="Heading1"/>
      </w:pPr>
      <w:r>
        <w:t>五、关键技术及其与课程内容的对应</w:t>
      </w:r>
    </w:p>
    <w:tbl>
      <w:tblPr>
        <w:tblStyle w:val="TableGrid"/>
        <w:tblW w:type="auto" w:w="0"/>
        <w:tblLook w:firstColumn="1" w:firstRow="1" w:lastColumn="0" w:lastRow="0" w:noHBand="0" w:noVBand="1" w:val="04A0"/>
      </w:tblPr>
      <w:tblGrid>
        <w:gridCol w:w="2986"/>
        <w:gridCol w:w="2986"/>
        <w:gridCol w:w="2986"/>
      </w:tblGrid>
      <w:tr>
        <w:tc>
          <w:tcPr>
            <w:tcW w:type="dxa" w:w="2986"/>
          </w:tcPr>
          <w:p>
            <w:pPr>
              <w:spacing w:after="0"/>
            </w:pPr>
            <w:r>
              <w:rPr>
                <w:rFonts w:ascii="Times New Roman" w:hAnsi="Times New Roman" w:eastAsia="Noto Serif CJK SC"/>
                <w:b/>
                <w:sz w:val="18"/>
              </w:rPr>
              <w:t>关键技术</w:t>
            </w:r>
          </w:p>
        </w:tc>
        <w:tc>
          <w:tcPr>
            <w:tcW w:type="dxa" w:w="2986"/>
          </w:tcPr>
          <w:p>
            <w:pPr>
              <w:spacing w:after="0"/>
            </w:pPr>
            <w:r>
              <w:rPr>
                <w:rFonts w:ascii="Times New Roman" w:hAnsi="Times New Roman" w:eastAsia="Noto Serif CJK SC"/>
                <w:b/>
                <w:sz w:val="18"/>
              </w:rPr>
              <w:t>内容</w:t>
            </w:r>
          </w:p>
        </w:tc>
        <w:tc>
          <w:tcPr>
            <w:tcW w:type="dxa" w:w="2986"/>
          </w:tcPr>
          <w:p>
            <w:pPr>
              <w:spacing w:after="0"/>
            </w:pPr>
            <w:r>
              <w:rPr>
                <w:rFonts w:ascii="Times New Roman" w:hAnsi="Times New Roman" w:eastAsia="Noto Serif CJK SC"/>
                <w:b/>
                <w:sz w:val="18"/>
              </w:rPr>
              <w:t>对应课程知识点</w:t>
            </w:r>
          </w:p>
        </w:tc>
      </w:tr>
      <w:tr>
        <w:tc>
          <w:tcPr>
            <w:tcW w:type="dxa" w:w="2986"/>
          </w:tcPr>
          <w:p>
            <w:pPr>
              <w:spacing w:after="0"/>
            </w:pPr>
            <w:r>
              <w:rPr>
                <w:rFonts w:ascii="Times New Roman" w:hAnsi="Times New Roman" w:eastAsia="Noto Serif CJK SC"/>
                <w:sz w:val="18"/>
              </w:rPr>
              <w:t>检索增强生成</w:t>
            </w:r>
          </w:p>
        </w:tc>
        <w:tc>
          <w:tcPr>
            <w:tcW w:type="dxa" w:w="2986"/>
          </w:tcPr>
          <w:p>
            <w:pPr>
              <w:spacing w:after="0"/>
            </w:pPr>
            <w:r>
              <w:rPr>
                <w:rFonts w:ascii="Times New Roman" w:hAnsi="Times New Roman" w:eastAsia="Noto Serif CJK SC"/>
                <w:sz w:val="18"/>
              </w:rPr>
              <w:t>BM25 稀疏检索、提示构造与证据拼接、生成模型推理</w:t>
            </w:r>
          </w:p>
        </w:tc>
        <w:tc>
          <w:tcPr>
            <w:tcW w:type="dxa" w:w="2986"/>
          </w:tcPr>
          <w:p>
            <w:pPr>
              <w:spacing w:after="0"/>
            </w:pPr>
            <w:r>
              <w:rPr>
                <w:rFonts w:ascii="Times New Roman" w:hAnsi="Times New Roman" w:eastAsia="Noto Serif CJK SC"/>
                <w:sz w:val="18"/>
              </w:rPr>
              <w:t>特征提取与信息检索基础、深度学习网络</w:t>
            </w:r>
          </w:p>
        </w:tc>
      </w:tr>
      <w:tr>
        <w:tc>
          <w:tcPr>
            <w:tcW w:type="dxa" w:w="2986"/>
          </w:tcPr>
          <w:p>
            <w:pPr>
              <w:spacing w:after="0"/>
            </w:pPr>
            <w:r>
              <w:rPr>
                <w:rFonts w:ascii="Times New Roman" w:hAnsi="Times New Roman" w:eastAsia="Noto Serif CJK SC"/>
                <w:sz w:val="18"/>
              </w:rPr>
              <w:t>自然语言推断与一致性建模</w:t>
            </w:r>
          </w:p>
        </w:tc>
        <w:tc>
          <w:tcPr>
            <w:tcW w:type="dxa" w:w="2986"/>
          </w:tcPr>
          <w:p>
            <w:pPr>
              <w:spacing w:after="0"/>
            </w:pPr>
            <w:r>
              <w:rPr>
                <w:rFonts w:ascii="Times New Roman" w:hAnsi="Times New Roman" w:eastAsia="Noto Serif CJK SC"/>
                <w:sz w:val="18"/>
              </w:rPr>
              <w:t>交叉编码器蕴含/矛盾概率、答案-证据对齐、词面重叠度量</w:t>
            </w:r>
          </w:p>
        </w:tc>
        <w:tc>
          <w:tcPr>
            <w:tcW w:type="dxa" w:w="2986"/>
          </w:tcPr>
          <w:p>
            <w:pPr>
              <w:spacing w:after="0"/>
            </w:pPr>
            <w:r>
              <w:rPr>
                <w:rFonts w:ascii="Times New Roman" w:hAnsi="Times New Roman" w:eastAsia="Noto Serif CJK SC"/>
                <w:sz w:val="18"/>
              </w:rPr>
              <w:t>特征提取、分类器设计</w:t>
            </w:r>
          </w:p>
        </w:tc>
      </w:tr>
      <w:tr>
        <w:tc>
          <w:tcPr>
            <w:tcW w:type="dxa" w:w="2986"/>
          </w:tcPr>
          <w:p>
            <w:pPr>
              <w:spacing w:after="0"/>
            </w:pPr>
            <w:r>
              <w:rPr>
                <w:rFonts w:ascii="Times New Roman" w:hAnsi="Times New Roman" w:eastAsia="Noto Serif CJK SC"/>
                <w:sz w:val="18"/>
              </w:rPr>
              <w:t>统计决策与显著性检验</w:t>
            </w:r>
          </w:p>
        </w:tc>
        <w:tc>
          <w:tcPr>
            <w:tcW w:type="dxa" w:w="2986"/>
          </w:tcPr>
          <w:p>
            <w:pPr>
              <w:spacing w:after="0"/>
            </w:pPr>
            <w:r>
              <w:rPr>
                <w:rFonts w:ascii="Times New Roman" w:hAnsi="Times New Roman" w:eastAsia="Noto Serif CJK SC"/>
                <w:sz w:val="18"/>
              </w:rPr>
              <w:t>配对 t 检验、Wilcoxon 符号秩检验、置信区间</w:t>
            </w:r>
          </w:p>
        </w:tc>
        <w:tc>
          <w:tcPr>
            <w:tcW w:type="dxa" w:w="2986"/>
          </w:tcPr>
          <w:p>
            <w:pPr>
              <w:spacing w:after="0"/>
            </w:pPr>
            <w:r>
              <w:rPr>
                <w:rFonts w:ascii="Times New Roman" w:hAnsi="Times New Roman" w:eastAsia="Noto Serif CJK SC"/>
                <w:b/>
                <w:sz w:val="18"/>
              </w:rPr>
              <w:t>统计决策</w:t>
            </w:r>
            <w:r>
              <w:rPr>
                <w:rFonts w:ascii="Times New Roman" w:hAnsi="Times New Roman" w:eastAsia="Noto Serif CJK SC"/>
                <w:sz w:val="18"/>
              </w:rPr>
              <w:t>、模型选择与评估</w:t>
            </w:r>
          </w:p>
        </w:tc>
      </w:tr>
      <w:tr>
        <w:tc>
          <w:tcPr>
            <w:tcW w:type="dxa" w:w="2986"/>
          </w:tcPr>
          <w:p>
            <w:pPr>
              <w:spacing w:after="0"/>
            </w:pPr>
            <w:r>
              <w:rPr>
                <w:rFonts w:ascii="Times New Roman" w:hAnsi="Times New Roman" w:eastAsia="Noto Serif CJK SC"/>
                <w:sz w:val="18"/>
              </w:rPr>
              <w:t>判别器设计与模型选择</w:t>
            </w:r>
          </w:p>
        </w:tc>
        <w:tc>
          <w:tcPr>
            <w:tcW w:type="dxa" w:w="2986"/>
          </w:tcPr>
          <w:p>
            <w:pPr>
              <w:spacing w:after="0"/>
            </w:pPr>
            <w:r>
              <w:rPr>
                <w:rFonts w:ascii="Times New Roman" w:hAnsi="Times New Roman" w:eastAsia="Noto Serif CJK SC"/>
                <w:sz w:val="18"/>
              </w:rPr>
              <w:t>逻辑回归 / GBDT / 轻量 MLP、5 折交叉验证、超参选择</w:t>
            </w:r>
          </w:p>
        </w:tc>
        <w:tc>
          <w:tcPr>
            <w:tcW w:type="dxa" w:w="2986"/>
          </w:tcPr>
          <w:p>
            <w:pPr>
              <w:spacing w:after="0"/>
            </w:pPr>
            <w:r>
              <w:rPr>
                <w:rFonts w:ascii="Times New Roman" w:hAnsi="Times New Roman" w:eastAsia="Noto Serif CJK SC"/>
                <w:b/>
                <w:sz w:val="18"/>
              </w:rPr>
              <w:t>分类器设计</w:t>
            </w:r>
            <w:r>
              <w:rPr>
                <w:rFonts w:ascii="Times New Roman" w:hAnsi="Times New Roman" w:eastAsia="Noto Serif CJK SC"/>
                <w:sz w:val="18"/>
              </w:rPr>
              <w:t>、模型选择与评估</w:t>
            </w:r>
          </w:p>
        </w:tc>
      </w:tr>
      <w:tr>
        <w:tc>
          <w:tcPr>
            <w:tcW w:type="dxa" w:w="2986"/>
          </w:tcPr>
          <w:p>
            <w:pPr>
              <w:spacing w:after="0"/>
            </w:pPr>
            <w:r>
              <w:rPr>
                <w:rFonts w:ascii="Times New Roman" w:hAnsi="Times New Roman" w:eastAsia="Noto Serif CJK SC"/>
                <w:sz w:val="18"/>
              </w:rPr>
              <w:t>概率校准</w:t>
            </w:r>
          </w:p>
        </w:tc>
        <w:tc>
          <w:tcPr>
            <w:tcW w:type="dxa" w:w="2986"/>
          </w:tcPr>
          <w:p>
            <w:pPr>
              <w:spacing w:after="0"/>
            </w:pPr>
            <w:r>
              <w:rPr>
                <w:rFonts w:ascii="Times New Roman" w:hAnsi="Times New Roman" w:eastAsia="Noto Serif CJK SC"/>
                <w:sz w:val="18"/>
              </w:rPr>
              <w:t>Platt 缩放、温度缩放、可靠性图</w:t>
            </w:r>
          </w:p>
        </w:tc>
        <w:tc>
          <w:tcPr>
            <w:tcW w:type="dxa" w:w="2986"/>
          </w:tcPr>
          <w:p>
            <w:pPr>
              <w:spacing w:after="0"/>
            </w:pPr>
            <w:r>
              <w:rPr>
                <w:rFonts w:ascii="Times New Roman" w:hAnsi="Times New Roman" w:eastAsia="Noto Serif CJK SC"/>
                <w:sz w:val="18"/>
              </w:rPr>
              <w:t>分类器设计、模型评估</w:t>
            </w:r>
          </w:p>
        </w:tc>
      </w:tr>
      <w:tr>
        <w:tc>
          <w:tcPr>
            <w:tcW w:type="dxa" w:w="2986"/>
          </w:tcPr>
          <w:p>
            <w:pPr>
              <w:spacing w:after="0"/>
            </w:pPr>
            <w:r>
              <w:rPr>
                <w:rFonts w:ascii="Times New Roman" w:hAnsi="Times New Roman" w:eastAsia="Noto Serif CJK SC"/>
                <w:sz w:val="18"/>
              </w:rPr>
              <w:t>特征工程与消融</w:t>
            </w:r>
          </w:p>
        </w:tc>
        <w:tc>
          <w:tcPr>
            <w:tcW w:type="dxa" w:w="2986"/>
          </w:tcPr>
          <w:p>
            <w:pPr>
              <w:spacing w:after="0"/>
            </w:pPr>
            <w:r>
              <w:rPr>
                <w:rFonts w:ascii="Times New Roman" w:hAnsi="Times New Roman" w:eastAsia="Noto Serif CJK SC"/>
                <w:sz w:val="18"/>
              </w:rPr>
              <w:t>特征组 leave-one-group-out、特征相关性分析</w:t>
            </w:r>
          </w:p>
        </w:tc>
        <w:tc>
          <w:tcPr>
            <w:tcW w:type="dxa" w:w="2986"/>
          </w:tcPr>
          <w:p>
            <w:pPr>
              <w:spacing w:after="0"/>
            </w:pPr>
            <w:r>
              <w:rPr>
                <w:rFonts w:ascii="Times New Roman" w:hAnsi="Times New Roman" w:eastAsia="Noto Serif CJK SC"/>
                <w:b/>
                <w:sz w:val="18"/>
              </w:rPr>
              <w:t>特征提取与降维</w:t>
            </w:r>
          </w:p>
        </w:tc>
      </w:tr>
      <w:tr>
        <w:tc>
          <w:tcPr>
            <w:tcW w:type="dxa" w:w="2986"/>
          </w:tcPr>
          <w:p>
            <w:pPr>
              <w:spacing w:after="0"/>
            </w:pPr>
            <w:r>
              <w:rPr>
                <w:rFonts w:ascii="Times New Roman" w:hAnsi="Times New Roman" w:eastAsia="Noto Serif CJK SC"/>
                <w:sz w:val="18"/>
              </w:rPr>
              <w:t>数据构造与扰动实验</w:t>
            </w:r>
          </w:p>
        </w:tc>
        <w:tc>
          <w:tcPr>
            <w:tcW w:type="dxa" w:w="2986"/>
          </w:tcPr>
          <w:p>
            <w:pPr>
              <w:spacing w:after="0"/>
            </w:pPr>
            <w:r>
              <w:rPr>
                <w:rFonts w:ascii="Times New Roman" w:hAnsi="Times New Roman" w:eastAsia="Noto Serif CJK SC"/>
                <w:sz w:val="18"/>
              </w:rPr>
              <w:t>三类退化算子、参数化构造、随机种子管理</w:t>
            </w:r>
          </w:p>
        </w:tc>
        <w:tc>
          <w:tcPr>
            <w:tcW w:type="dxa" w:w="2986"/>
          </w:tcPr>
          <w:p>
            <w:pPr>
              <w:spacing w:after="0"/>
            </w:pPr>
            <w:r>
              <w:rPr>
                <w:rFonts w:ascii="Times New Roman" w:hAnsi="Times New Roman" w:eastAsia="Noto Serif CJK SC"/>
                <w:sz w:val="18"/>
              </w:rPr>
              <w:t>数据再构造、实验设计</w:t>
            </w:r>
          </w:p>
        </w:tc>
      </w:tr>
      <w:tr>
        <w:tc>
          <w:tcPr>
            <w:tcW w:type="dxa" w:w="2986"/>
          </w:tcPr>
          <w:p>
            <w:pPr>
              <w:spacing w:after="0"/>
            </w:pPr>
            <w:r>
              <w:rPr>
                <w:rFonts w:ascii="Times New Roman" w:hAnsi="Times New Roman" w:eastAsia="Noto Serif CJK SC"/>
                <w:sz w:val="18"/>
              </w:rPr>
              <w:t>大规模语言模型推理</w:t>
            </w:r>
          </w:p>
        </w:tc>
        <w:tc>
          <w:tcPr>
            <w:tcW w:type="dxa" w:w="2986"/>
          </w:tcPr>
          <w:p>
            <w:pPr>
              <w:spacing w:after="0"/>
            </w:pPr>
            <w:r>
              <w:rPr>
                <w:rFonts w:ascii="Times New Roman" w:hAnsi="Times New Roman" w:eastAsia="Noto Serif CJK SC"/>
                <w:sz w:val="18"/>
              </w:rPr>
              <w:t>Transformer 指令模型、显存约束下的推理优化</w:t>
            </w:r>
          </w:p>
        </w:tc>
        <w:tc>
          <w:tcPr>
            <w:tcW w:type="dxa" w:w="2986"/>
          </w:tcPr>
          <w:p>
            <w:pPr>
              <w:spacing w:after="0"/>
            </w:pPr>
            <w:r>
              <w:rPr>
                <w:rFonts w:ascii="Times New Roman" w:hAnsi="Times New Roman" w:eastAsia="Noto Serif CJK SC"/>
                <w:sz w:val="18"/>
              </w:rPr>
              <w:t>深度学习网络</w:t>
            </w:r>
          </w:p>
        </w:tc>
      </w:tr>
    </w:tbl>
    <w:p/>
    <w:p>
      <w:pPr>
        <w:pStyle w:val="Heading1"/>
      </w:pPr>
      <w:r>
        <w:t>六、技术路线</w:t>
      </w:r>
    </w:p>
    <w:p>
      <w:r>
        <w:rPr>
          <w:rFonts w:ascii="Times New Roman" w:hAnsi="Times New Roman" w:eastAsia="Noto Serif CJK SC"/>
        </w:rPr>
        <w:t>技术路线按五个阶段推进，每阶段设</w:t>
      </w:r>
      <w:r>
        <w:rPr>
          <w:rFonts w:ascii="Times New Roman" w:hAnsi="Times New Roman" w:eastAsia="Noto Serif CJK SC"/>
          <w:b/>
        </w:rPr>
        <w:t>可验证的通过门禁</w:t>
      </w:r>
      <w:r>
        <w:rPr>
          <w:rFonts w:ascii="Times New Roman" w:hAnsi="Times New Roman" w:eastAsia="Noto Serif CJK SC"/>
        </w:rPr>
        <w:t>（G0–G6），未通过不进入下一阶段，详见 [</w:t>
      </w:r>
      <w:r>
        <w:rPr>
          <w:rFonts w:ascii="DejaVu Sans Mono" w:hAnsi="DejaVu Sans Mono"/>
        </w:rPr>
        <w:t>docs/项目启动与实施指南.md</w:t>
      </w:r>
      <w:r>
        <w:rPr>
          <w:rFonts w:ascii="Times New Roman" w:hAnsi="Times New Roman" w:eastAsia="Noto Serif CJK SC"/>
        </w:rPr>
        <w:t>](项目启动与实施指南.md) §3.1。</w:t>
      </w:r>
    </w:p>
    <w:p>
      <w:pPr>
        <w:jc w:val="center"/>
      </w:pPr>
      <w:r>
        <w:drawing>
          <wp:inline xmlns:a="http://schemas.openxmlformats.org/drawingml/2006/main" xmlns:pic="http://schemas.openxmlformats.org/drawingml/2006/picture">
            <wp:extent cx="5400000" cy="3859263"/>
            <wp:docPr id="1" name="Picture 1"/>
            <wp:cNvGraphicFramePr>
              <a:graphicFrameLocks noChangeAspect="1"/>
            </wp:cNvGraphicFramePr>
            <a:graphic>
              <a:graphicData uri="http://schemas.openxmlformats.org/drawingml/2006/picture">
                <pic:pic>
                  <pic:nvPicPr>
                    <pic:cNvPr id="0" name="开题_架构图.png"/>
                    <pic:cNvPicPr/>
                  </pic:nvPicPr>
                  <pic:blipFill>
                    <a:blip r:embed="rId9"/>
                    <a:stretch>
                      <a:fillRect/>
                    </a:stretch>
                  </pic:blipFill>
                  <pic:spPr>
                    <a:xfrm>
                      <a:off x="0" y="0"/>
                      <a:ext cx="5400000" cy="3859263"/>
                    </a:xfrm>
                    <a:prstGeom prst="rect"/>
                  </pic:spPr>
                </pic:pic>
              </a:graphicData>
            </a:graphic>
          </wp:inline>
        </w:drawing>
      </w:r>
    </w:p>
    <w:p>
      <w:pPr>
        <w:jc w:val="center"/>
      </w:pPr>
      <w:r>
        <w:rPr>
          <w:rFonts w:ascii="Times New Roman" w:hAnsi="Times New Roman" w:eastAsia="Noto Serif CJK SC"/>
          <w:i/>
          <w:sz w:val="18"/>
        </w:rPr>
        <w:t>图 1 系统架构与数据流示意</w:t>
      </w:r>
    </w:p>
    <w:p>
      <w:r>
        <w:rPr>
          <w:rFonts w:ascii="Times New Roman" w:hAnsi="Times New Roman" w:eastAsia="Noto Serif CJK SC"/>
          <w:b/>
        </w:rPr>
        <w:t>阶段一（准备）</w:t>
      </w:r>
      <w:r>
        <w:rPr>
          <w:rFonts w:ascii="Times New Roman" w:hAnsi="Times New Roman" w:eastAsia="Noto Serif CJK SC"/>
        </w:rPr>
        <w:t xml:space="preserve">：建立统一环境（conda + </w:t>
      </w:r>
      <w:r>
        <w:rPr>
          <w:rFonts w:ascii="DejaVu Sans Mono" w:hAnsi="DejaVu Sans Mono"/>
        </w:rPr>
        <w:t>requirements.txt</w:t>
      </w:r>
      <w:r>
        <w:rPr>
          <w:rFonts w:ascii="Times New Roman" w:hAnsi="Times New Roman" w:eastAsia="Noto Serif CJK SC"/>
        </w:rPr>
        <w:t xml:space="preserve">，Ubuntu/Windows 通用），校验 CUDA 可用性与显存，预热模型与数据集，固定种子协议（模型种子 </w:t>
      </w:r>
      <w:r>
        <w:rPr>
          <w:rFonts w:ascii="DejaVu Sans Mono" w:hAnsi="DejaVu Sans Mono"/>
        </w:rPr>
        <w:t>[13, 42, 2024]</w:t>
      </w:r>
      <w:r>
        <w:rPr>
          <w:rFonts w:ascii="Times New Roman" w:hAnsi="Times New Roman" w:eastAsia="Noto Serif CJK SC"/>
        </w:rPr>
        <w:t>，构造种子独立于模型种子）。门禁 G0：环境自检退出码为 0，且 20 条样本冒烟生成成功。</w:t>
      </w:r>
    </w:p>
    <w:p>
      <w:r>
        <w:rPr>
          <w:rFonts w:ascii="Times New Roman" w:hAnsi="Times New Roman" w:eastAsia="Noto Serif CJK SC"/>
          <w:b/>
        </w:rPr>
        <w:t>阶段二（管道打通）</w:t>
      </w:r>
      <w:r>
        <w:rPr>
          <w:rFonts w:ascii="Times New Roman" w:hAnsi="Times New Roman" w:eastAsia="Noto Serif CJK SC"/>
        </w:rPr>
        <w:t>：完成检索器与生成管道，冻结中间产物字段契约（样本、预测、特征、指标四类对象）。门禁 G1：同一随机种子连续两次运行的输出逐字节一致。</w:t>
      </w:r>
    </w:p>
    <w:p>
      <w:r>
        <w:rPr>
          <w:rFonts w:ascii="Times New Roman" w:hAnsi="Times New Roman" w:eastAsia="Noto Serif CJK SC"/>
          <w:b/>
        </w:rPr>
        <w:t>阶段三（基线与挑战集）</w:t>
      </w:r>
      <w:r>
        <w:rPr>
          <w:rFonts w:ascii="Times New Roman" w:hAnsi="Times New Roman" w:eastAsia="Noto Serif CJK SC"/>
        </w:rPr>
        <w:t>：在常规集上跑通"自评置信度"基线；三类退化算子先各做 20 例原型，人工逐条核对标签自洽性，通过后再放量至 ≥300 例并冻结版本。门禁 G2/G3：基线可复现；三类样本的标签可被规则自动判定且抽检一致率 ≥90%。</w:t>
      </w:r>
    </w:p>
    <w:p>
      <w:r>
        <w:rPr>
          <w:rFonts w:ascii="Times New Roman" w:hAnsi="Times New Roman" w:eastAsia="Noto Serif CJK SC"/>
          <w:b/>
        </w:rPr>
        <w:t>阶段四（特征与判别器）</w:t>
      </w:r>
      <w:r>
        <w:rPr>
          <w:rFonts w:ascii="Times New Roman" w:hAnsi="Times New Roman" w:eastAsia="Noto Serif CJK SC"/>
        </w:rPr>
        <w:t>：提取三组一致性特征，训练判别器并做 5 折交叉验证与校准；若验证集 AUC 相对基线增益不足 0.10，则回到误差分析（按类型拆解漏检），增补特征或调整判别器后重跑。门禁 G4：单种子验证集增益 ≥0.10。</w:t>
      </w:r>
    </w:p>
    <w:p>
      <w:r>
        <w:rPr>
          <w:rFonts w:ascii="Times New Roman" w:hAnsi="Times New Roman" w:eastAsia="Noto Serif CJK SC"/>
          <w:b/>
        </w:rPr>
        <w:t>阶段五（固化与验证）</w:t>
      </w:r>
      <w:r>
        <w:rPr>
          <w:rFonts w:ascii="Times New Roman" w:hAnsi="Times New Roman" w:eastAsia="Noto Serif CJK SC"/>
        </w:rPr>
        <w:t>：3 种子重复、显著性检验、分组评估、3 组消融、100 例人工抽检、图表重绘。门禁 G5/G6：消融与失败分析齐备；报告中的每个数字可追溯到具体运行记录。</w:t>
      </w:r>
    </w:p>
    <w:p>
      <w:pPr>
        <w:jc w:val="center"/>
      </w:pPr>
      <w:r>
        <w:drawing>
          <wp:inline xmlns:a="http://schemas.openxmlformats.org/drawingml/2006/main" xmlns:pic="http://schemas.openxmlformats.org/drawingml/2006/picture">
            <wp:extent cx="5400000" cy="2037736"/>
            <wp:docPr id="2" name="Picture 2"/>
            <wp:cNvGraphicFramePr>
              <a:graphicFrameLocks noChangeAspect="1"/>
            </wp:cNvGraphicFramePr>
            <a:graphic>
              <a:graphicData uri="http://schemas.openxmlformats.org/drawingml/2006/picture">
                <pic:pic>
                  <pic:nvPicPr>
                    <pic:cNvPr id="0" name="开题_技术路线图.png"/>
                    <pic:cNvPicPr/>
                  </pic:nvPicPr>
                  <pic:blipFill>
                    <a:blip r:embed="rId10"/>
                    <a:stretch>
                      <a:fillRect/>
                    </a:stretch>
                  </pic:blipFill>
                  <pic:spPr>
                    <a:xfrm>
                      <a:off x="0" y="0"/>
                      <a:ext cx="5400000" cy="2037736"/>
                    </a:xfrm>
                    <a:prstGeom prst="rect"/>
                  </pic:spPr>
                </pic:pic>
              </a:graphicData>
            </a:graphic>
          </wp:inline>
        </w:drawing>
      </w:r>
    </w:p>
    <w:p>
      <w:pPr>
        <w:jc w:val="center"/>
      </w:pPr>
      <w:r>
        <w:rPr>
          <w:rFonts w:ascii="Times New Roman" w:hAnsi="Times New Roman" w:eastAsia="Noto Serif CJK SC"/>
          <w:i/>
          <w:sz w:val="18"/>
        </w:rPr>
        <w:t>图 2 技术路线与阶段门禁</w:t>
      </w:r>
    </w:p>
    <w:p>
      <w:pPr>
        <w:pStyle w:val="Heading1"/>
      </w:pPr>
      <w:r>
        <w:t>七、数据来源</w:t>
      </w:r>
    </w:p>
    <w:p>
      <w:r>
        <w:rPr>
          <w:rFonts w:ascii="Times New Roman" w:hAnsi="Times New Roman" w:eastAsia="Noto Serif CJK SC"/>
          <w:b/>
        </w:rPr>
        <w:t>公开数据集（在线加载，不手动下载）</w:t>
      </w:r>
      <w:r>
        <w:rPr>
          <w:rFonts w:ascii="Times New Roman" w:hAnsi="Times New Roman" w:eastAsia="Noto Serif CJK SC"/>
        </w:rPr>
        <w:t xml:space="preserve">。SQuAD v2.0[8] 与 HotpotQA[9] 通过 HuggingFace </w:t>
      </w:r>
      <w:r>
        <w:rPr>
          <w:rFonts w:ascii="DejaVu Sans Mono" w:hAnsi="DejaVu Sans Mono"/>
        </w:rPr>
        <w:t>datasets</w:t>
      </w:r>
      <w:r>
        <w:rPr>
          <w:rFonts w:ascii="Times New Roman" w:hAnsi="Times New Roman" w:eastAsia="Noto Serif CJK SC"/>
        </w:rPr>
        <w:t xml:space="preserve"> 按数据集标识在线加载：</w:t>
      </w:r>
      <w:r>
        <w:rPr>
          <w:rFonts w:ascii="DejaVu Sans Mono" w:hAnsi="DejaVu Sans Mono"/>
        </w:rPr>
        <w:t>rajpurkar/squad_v2</w:t>
      </w:r>
      <w:r>
        <w:rPr>
          <w:rFonts w:ascii="Times New Roman" w:hAnsi="Times New Roman" w:eastAsia="Noto Serif CJK SC"/>
        </w:rPr>
        <w:t xml:space="preserve">（dev 划分 11,873 问，含 5,945 个不可回答问题）与 </w:t>
      </w:r>
      <w:r>
        <w:rPr>
          <w:rFonts w:ascii="DejaVu Sans Mono" w:hAnsi="DejaVu Sans Mono"/>
        </w:rPr>
        <w:t>hotpotqa/hotpot_qa</w:t>
      </w:r>
      <w:r>
        <w:rPr>
          <w:rFonts w:ascii="Times New Roman" w:hAnsi="Times New Roman" w:eastAsia="Noto Serif CJK SC"/>
        </w:rPr>
        <w:t xml:space="preserve"> 的 </w:t>
      </w:r>
      <w:r>
        <w:rPr>
          <w:rFonts w:ascii="DejaVu Sans Mono" w:hAnsi="DejaVu Sans Mono"/>
        </w:rPr>
        <w:t>distractor</w:t>
      </w:r>
      <w:r>
        <w:rPr>
          <w:rFonts w:ascii="Times New Roman" w:hAnsi="Times New Roman" w:eastAsia="Noto Serif CJK SC"/>
        </w:rPr>
        <w:t xml:space="preserve"> 配置（validation 划分 7,405 问，含句级 </w:t>
      </w:r>
      <w:r>
        <w:rPr>
          <w:rFonts w:ascii="DejaVu Sans Mono" w:hAnsi="DejaVu Sans Mono"/>
        </w:rPr>
        <w:t>supporting_facts</w:t>
      </w:r>
      <w:r>
        <w:rPr>
          <w:rFonts w:ascii="Times New Roman" w:hAnsi="Times New Roman" w:eastAsia="Noto Serif CJK SC"/>
        </w:rPr>
        <w:t xml:space="preserve"> 与 8 篇干扰段落）。HotpotQA 的句级支撑标注使"移除或替换证据句"这一退化算子的施加与真值推导都可自动化，是挑战集构造的直接依据。加载时固定数据集 </w:t>
      </w:r>
      <w:r>
        <w:rPr>
          <w:rFonts w:ascii="DejaVu Sans Mono" w:hAnsi="DejaVu Sans Mono"/>
        </w:rPr>
        <w:t>revision</w:t>
      </w:r>
      <w:r>
        <w:rPr>
          <w:rFonts w:ascii="Times New Roman" w:hAnsi="Times New Roman" w:eastAsia="Noto Serif CJK SC"/>
        </w:rPr>
        <w:t xml:space="preserve"> 并记入实验记录，保证样本不随上游更新而漂移。</w:t>
      </w:r>
    </w:p>
    <w:p>
      <w:r>
        <w:rPr>
          <w:rFonts w:ascii="Times New Roman" w:hAnsi="Times New Roman" w:eastAsia="Noto Serif CJK SC"/>
          <w:b/>
        </w:rPr>
        <w:t>自构造方案（本课题核心贡献之一）</w:t>
      </w:r>
      <w:r>
        <w:rPr>
          <w:rFonts w:ascii="Times New Roman" w:hAnsi="Times New Roman" w:eastAsia="Noto Serif CJK SC"/>
        </w:rPr>
        <w:t>。在公开数据之上构造挑战子集，构造参数与随机种子全部入库：</w:t>
      </w:r>
    </w:p>
    <w:tbl>
      <w:tblPr>
        <w:tblStyle w:val="TableGrid"/>
        <w:tblW w:type="auto" w:w="0"/>
        <w:tblLook w:firstColumn="1" w:firstRow="1" w:lastColumn="0" w:lastRow="0" w:noHBand="0" w:noVBand="1" w:val="04A0"/>
      </w:tblPr>
      <w:tblGrid>
        <w:gridCol w:w="2239"/>
        <w:gridCol w:w="2239"/>
        <w:gridCol w:w="2239"/>
        <w:gridCol w:w="2239"/>
      </w:tblGrid>
      <w:tr>
        <w:tc>
          <w:tcPr>
            <w:tcW w:type="dxa" w:w="2239"/>
          </w:tcPr>
          <w:p>
            <w:pPr>
              <w:spacing w:after="0"/>
            </w:pPr>
            <w:r>
              <w:rPr>
                <w:rFonts w:ascii="Times New Roman" w:hAnsi="Times New Roman" w:eastAsia="Noto Serif CJK SC"/>
                <w:b/>
                <w:sz w:val="18"/>
              </w:rPr>
              <w:t>算子</w:t>
            </w:r>
          </w:p>
        </w:tc>
        <w:tc>
          <w:tcPr>
            <w:tcW w:type="dxa" w:w="2239"/>
          </w:tcPr>
          <w:p>
            <w:pPr>
              <w:spacing w:after="0"/>
            </w:pPr>
            <w:r>
              <w:rPr>
                <w:rFonts w:ascii="Times New Roman" w:hAnsi="Times New Roman" w:eastAsia="Noto Serif CJK SC"/>
                <w:b/>
                <w:sz w:val="18"/>
              </w:rPr>
              <w:t>关键参数</w:t>
            </w:r>
          </w:p>
        </w:tc>
        <w:tc>
          <w:tcPr>
            <w:tcW w:type="dxa" w:w="2239"/>
          </w:tcPr>
          <w:p>
            <w:pPr>
              <w:spacing w:after="0"/>
            </w:pPr>
            <w:r>
              <w:rPr>
                <w:rFonts w:ascii="Times New Roman" w:hAnsi="Times New Roman" w:eastAsia="Noto Serif CJK SC"/>
                <w:b/>
                <w:sz w:val="18"/>
              </w:rPr>
              <w:t>构造种子</w:t>
            </w:r>
          </w:p>
        </w:tc>
        <w:tc>
          <w:tcPr>
            <w:tcW w:type="dxa" w:w="2239"/>
          </w:tcPr>
          <w:p>
            <w:pPr>
              <w:spacing w:after="0"/>
            </w:pPr>
            <w:r>
              <w:rPr>
                <w:rFonts w:ascii="Times New Roman" w:hAnsi="Times New Roman" w:eastAsia="Noto Serif CJK SC"/>
                <w:b/>
                <w:sz w:val="18"/>
              </w:rPr>
              <w:t>标签判定规则</w:t>
            </w:r>
          </w:p>
        </w:tc>
      </w:tr>
      <w:tr>
        <w:tc>
          <w:tcPr>
            <w:tcW w:type="dxa" w:w="2239"/>
          </w:tcPr>
          <w:p>
            <w:pPr>
              <w:spacing w:after="0"/>
            </w:pPr>
            <w:r>
              <w:rPr>
                <w:rFonts w:ascii="Times New Roman" w:hAnsi="Times New Roman" w:eastAsia="Noto Serif CJK SC"/>
                <w:sz w:val="18"/>
              </w:rPr>
              <w:t>检索失败</w:t>
            </w:r>
          </w:p>
        </w:tc>
        <w:tc>
          <w:tcPr>
            <w:tcW w:type="dxa" w:w="2239"/>
          </w:tcPr>
          <w:p>
            <w:pPr>
              <w:spacing w:after="0"/>
            </w:pPr>
            <w:r>
              <w:rPr>
                <w:rFonts w:ascii="Times New Roman" w:hAnsi="Times New Roman" w:eastAsia="Noto Serif CJK SC"/>
                <w:sz w:val="18"/>
              </w:rPr>
              <w:t>替换句数（默认 2）、干扰来源、词面重叠下限（0.2）</w:t>
            </w:r>
          </w:p>
        </w:tc>
        <w:tc>
          <w:tcPr>
            <w:tcW w:type="dxa" w:w="2239"/>
          </w:tcPr>
          <w:p>
            <w:pPr>
              <w:spacing w:after="0"/>
            </w:pPr>
            <w:r>
              <w:rPr>
                <w:rFonts w:ascii="DejaVu Sans Mono" w:hAnsi="DejaVu Sans Mono"/>
                <w:sz w:val="18"/>
              </w:rPr>
              <w:t>1000+i</w:t>
            </w:r>
          </w:p>
        </w:tc>
        <w:tc>
          <w:tcPr>
            <w:tcW w:type="dxa" w:w="2239"/>
          </w:tcPr>
          <w:p>
            <w:pPr>
              <w:spacing w:after="0"/>
            </w:pPr>
            <w:r>
              <w:rPr>
                <w:rFonts w:ascii="Times New Roman" w:hAnsi="Times New Roman" w:eastAsia="Noto Serif CJK SC"/>
                <w:sz w:val="18"/>
              </w:rPr>
              <w:t>拒答 → 有据；给出任何具体答案 → 无据</w:t>
            </w:r>
          </w:p>
        </w:tc>
      </w:tr>
      <w:tr>
        <w:tc>
          <w:tcPr>
            <w:tcW w:type="dxa" w:w="2239"/>
          </w:tcPr>
          <w:p>
            <w:pPr>
              <w:spacing w:after="0"/>
            </w:pPr>
            <w:r>
              <w:rPr>
                <w:rFonts w:ascii="Times New Roman" w:hAnsi="Times New Roman" w:eastAsia="Noto Serif CJK SC"/>
                <w:sz w:val="18"/>
              </w:rPr>
              <w:t>证据冲突</w:t>
            </w:r>
          </w:p>
        </w:tc>
        <w:tc>
          <w:tcPr>
            <w:tcW w:type="dxa" w:w="2239"/>
          </w:tcPr>
          <w:p>
            <w:pPr>
              <w:spacing w:after="0"/>
            </w:pPr>
            <w:r>
              <w:rPr>
                <w:rFonts w:ascii="Times New Roman" w:hAnsi="Times New Roman" w:eastAsia="Noto Serif CJK SC"/>
                <w:sz w:val="18"/>
              </w:rPr>
              <w:t>槽位类型（人/日期/数量/地点）、注入数（1）、注入位置（中部）</w:t>
            </w:r>
          </w:p>
        </w:tc>
        <w:tc>
          <w:tcPr>
            <w:tcW w:type="dxa" w:w="2239"/>
          </w:tcPr>
          <w:p>
            <w:pPr>
              <w:spacing w:after="0"/>
            </w:pPr>
            <w:r>
              <w:rPr>
                <w:rFonts w:ascii="DejaVu Sans Mono" w:hAnsi="DejaVu Sans Mono"/>
                <w:sz w:val="18"/>
              </w:rPr>
              <w:t>1000+i</w:t>
            </w:r>
          </w:p>
        </w:tc>
        <w:tc>
          <w:tcPr>
            <w:tcW w:type="dxa" w:w="2239"/>
          </w:tcPr>
          <w:p>
            <w:pPr>
              <w:spacing w:after="0"/>
            </w:pPr>
            <w:r>
              <w:rPr>
                <w:rFonts w:ascii="Times New Roman" w:hAnsi="Times New Roman" w:eastAsia="Noto Serif CJK SC"/>
                <w:sz w:val="18"/>
              </w:rPr>
              <w:t>匹配真值 → 有据；匹配注入值 → 无据</w:t>
            </w:r>
          </w:p>
        </w:tc>
      </w:tr>
      <w:tr>
        <w:tc>
          <w:tcPr>
            <w:tcW w:type="dxa" w:w="2239"/>
          </w:tcPr>
          <w:p>
            <w:pPr>
              <w:spacing w:after="0"/>
            </w:pPr>
            <w:r>
              <w:rPr>
                <w:rFonts w:ascii="Times New Roman" w:hAnsi="Times New Roman" w:eastAsia="Noto Serif CJK SC"/>
                <w:sz w:val="18"/>
              </w:rPr>
              <w:t>答案过时</w:t>
            </w:r>
          </w:p>
        </w:tc>
        <w:tc>
          <w:tcPr>
            <w:tcW w:type="dxa" w:w="2239"/>
          </w:tcPr>
          <w:p>
            <w:pPr>
              <w:spacing w:after="0"/>
            </w:pPr>
            <w:r>
              <w:rPr>
                <w:rFonts w:ascii="Times New Roman" w:hAnsi="Times New Roman" w:eastAsia="Noto Serif CJK SC"/>
                <w:sz w:val="18"/>
              </w:rPr>
              <w:t>过期幅度（≥2 年）、当前版本真值</w:t>
            </w:r>
          </w:p>
        </w:tc>
        <w:tc>
          <w:tcPr>
            <w:tcW w:type="dxa" w:w="2239"/>
          </w:tcPr>
          <w:p>
            <w:pPr>
              <w:spacing w:after="0"/>
            </w:pPr>
            <w:r>
              <w:rPr>
                <w:rFonts w:ascii="DejaVu Sans Mono" w:hAnsi="DejaVu Sans Mono"/>
                <w:sz w:val="18"/>
              </w:rPr>
              <w:t>1000+i</w:t>
            </w:r>
          </w:p>
        </w:tc>
        <w:tc>
          <w:tcPr>
            <w:tcW w:type="dxa" w:w="2239"/>
          </w:tcPr>
          <w:p>
            <w:pPr>
              <w:spacing w:after="0"/>
            </w:pPr>
            <w:r>
              <w:rPr>
                <w:rFonts w:ascii="Times New Roman" w:hAnsi="Times New Roman" w:eastAsia="Noto Serif CJK SC"/>
                <w:sz w:val="18"/>
              </w:rPr>
              <w:t>匹配当前版本 → 有据；匹配过期版本 → 无据</w:t>
            </w:r>
          </w:p>
        </w:tc>
      </w:tr>
    </w:tbl>
    <w:p/>
    <w:p>
      <w:r>
        <w:rPr>
          <w:rFonts w:ascii="Times New Roman" w:hAnsi="Times New Roman" w:eastAsia="Noto Serif CJK SC"/>
          <w:b/>
        </w:rPr>
        <w:t>随机种子管理</w:t>
      </w:r>
      <w:r>
        <w:rPr>
          <w:rFonts w:ascii="Times New Roman" w:hAnsi="Times New Roman" w:eastAsia="Noto Serif CJK SC"/>
        </w:rPr>
        <w:t xml:space="preserve">：模型/训练种子固定为 </w:t>
      </w:r>
      <w:r>
        <w:rPr>
          <w:rFonts w:ascii="DejaVu Sans Mono" w:hAnsi="DejaVu Sans Mono"/>
        </w:rPr>
        <w:t>[13, 42, 2024]</w:t>
      </w:r>
      <w:r>
        <w:rPr>
          <w:rFonts w:ascii="Times New Roman" w:hAnsi="Times New Roman" w:eastAsia="Noto Serif CJK SC"/>
        </w:rPr>
        <w:t>；</w:t>
      </w:r>
      <w:r>
        <w:rPr>
          <w:rFonts w:ascii="Times New Roman" w:hAnsi="Times New Roman" w:eastAsia="Noto Serif CJK SC"/>
          <w:b/>
        </w:rPr>
        <w:t>数据构造种子独立于模型种子</w:t>
      </w:r>
      <w:r>
        <w:rPr>
          <w:rFonts w:ascii="Times New Roman" w:hAnsi="Times New Roman" w:eastAsia="Noto Serif CJK SC"/>
        </w:rPr>
        <w:t>（</w:t>
      </w:r>
      <w:r>
        <w:rPr>
          <w:rFonts w:ascii="DejaVu Sans Mono" w:hAnsi="DejaVu Sans Mono"/>
        </w:rPr>
        <w:t>data_seed = 1000 + 索引</w:t>
      </w:r>
      <w:r>
        <w:rPr>
          <w:rFonts w:ascii="Times New Roman" w:hAnsi="Times New Roman" w:eastAsia="Noto Serif CJK SC"/>
        </w:rPr>
        <w:t>），从而保证"更换模型种子时挑战集逐字节不变"——否则消融实验比较的将是不同数据集，而非不同方法配置。</w:t>
      </w:r>
    </w:p>
    <w:p>
      <w:r>
        <w:rPr>
          <w:rFonts w:ascii="Times New Roman" w:hAnsi="Times New Roman" w:eastAsia="Noto Serif CJK SC"/>
          <w:b/>
        </w:rPr>
        <w:t>模型与合规</w:t>
      </w:r>
      <w:r>
        <w:rPr>
          <w:rFonts w:ascii="Times New Roman" w:hAnsi="Times New Roman" w:eastAsia="Noto Serif CJK SC"/>
        </w:rPr>
        <w:t>：生成模型与 NLI 模型均使用公开开源权重（Qwen2.5-0.5B-Instruct，Apache-2.0；</w:t>
      </w:r>
      <w:r>
        <w:rPr>
          <w:rFonts w:ascii="DejaVu Sans Mono" w:hAnsi="DejaVu Sans Mono"/>
        </w:rPr>
        <w:t>cross-encoder/nli-deberta-v3-xsmall</w:t>
      </w:r>
      <w:r>
        <w:rPr>
          <w:rFonts w:ascii="Times New Roman" w:hAnsi="Times New Roman" w:eastAsia="Noto Serif CJK SC"/>
        </w:rPr>
        <w:t>，MIT），遵守各许可协议；数据集仅用于学术研究，不再分发。</w:t>
      </w:r>
      <w:r>
        <w:rPr>
          <w:rFonts w:ascii="Times New Roman" w:hAnsi="Times New Roman" w:eastAsia="Noto Serif CJK SC"/>
          <w:b/>
        </w:rPr>
        <w:t>数据使用边界</w:t>
      </w:r>
      <w:r>
        <w:rPr>
          <w:rFonts w:ascii="Times New Roman" w:hAnsi="Times New Roman" w:eastAsia="Noto Serif CJK SC"/>
        </w:rPr>
        <w:t>：只用 dev/validation 划分，不使用训练集，以降低生成模型预训练语料记忆导致的"参数记忆被误判为证据利用"的风险；该风险仍在结论的可信度边界中如实声明。</w:t>
      </w:r>
    </w:p>
    <w:p>
      <w:pPr>
        <w:pStyle w:val="Heading1"/>
      </w:pPr>
      <w:r>
        <w:t>八、实验分析</w:t>
      </w:r>
    </w:p>
    <w:p>
      <w:r>
        <w:rPr>
          <w:rFonts w:ascii="Times New Roman" w:hAnsi="Times New Roman" w:eastAsia="Noto Serif CJK SC"/>
          <w:b/>
        </w:rPr>
        <w:t>指标体系（≥3 项）</w:t>
      </w:r>
      <w:r>
        <w:rPr>
          <w:rFonts w:ascii="Times New Roman" w:hAnsi="Times New Roman" w:eastAsia="Noto Serif CJK SC"/>
        </w:rPr>
        <w:t xml:space="preserve">：① 幻觉判别 </w:t>
      </w:r>
      <w:r>
        <w:rPr>
          <w:rFonts w:ascii="Times New Roman" w:hAnsi="Times New Roman" w:eastAsia="Noto Serif CJK SC"/>
          <w:b/>
        </w:rPr>
        <w:t>AUC</w:t>
      </w:r>
      <w:r>
        <w:rPr>
          <w:rFonts w:ascii="Times New Roman" w:hAnsi="Times New Roman" w:eastAsia="Noto Serif CJK SC"/>
        </w:rPr>
        <w:t xml:space="preserve">（主指标，正类为幻觉）；② </w:t>
      </w:r>
      <w:r>
        <w:rPr>
          <w:rFonts w:ascii="Times New Roman" w:hAnsi="Times New Roman" w:eastAsia="Noto Serif CJK SC"/>
          <w:b/>
        </w:rPr>
        <w:t>PR-AUC</w:t>
      </w:r>
      <w:r>
        <w:rPr>
          <w:rFonts w:ascii="Times New Roman" w:hAnsi="Times New Roman" w:eastAsia="Noto Serif CJK SC"/>
        </w:rPr>
        <w:t>（类别不平衡下的补充视角）；③ 固定阈值下的</w:t>
      </w:r>
      <w:r>
        <w:rPr>
          <w:rFonts w:ascii="Times New Roman" w:hAnsi="Times New Roman" w:eastAsia="Noto Serif CJK SC"/>
          <w:b/>
        </w:rPr>
        <w:t>查准/查全/F1</w:t>
      </w:r>
      <w:r>
        <w:rPr>
          <w:rFonts w:ascii="Times New Roman" w:hAnsi="Times New Roman" w:eastAsia="Noto Serif CJK SC"/>
        </w:rPr>
        <w:t>（含宏/微 F1）与</w:t>
      </w:r>
      <w:r>
        <w:rPr>
          <w:rFonts w:ascii="Times New Roman" w:hAnsi="Times New Roman" w:eastAsia="Noto Serif CJK SC"/>
          <w:b/>
        </w:rPr>
        <w:t>混淆矩阵</w:t>
      </w:r>
      <w:r>
        <w:rPr>
          <w:rFonts w:ascii="Times New Roman" w:hAnsi="Times New Roman" w:eastAsia="Noto Serif CJK SC"/>
        </w:rPr>
        <w:t>；④ 效率指标：单样本端到端延迟。</w:t>
      </w:r>
    </w:p>
    <w:p>
      <w:r>
        <w:rPr>
          <w:rFonts w:ascii="Times New Roman" w:hAnsi="Times New Roman" w:eastAsia="Noto Serif CJK SC"/>
          <w:b/>
        </w:rPr>
        <w:t>对照设置</w:t>
      </w:r>
      <w:r>
        <w:rPr>
          <w:rFonts w:ascii="Times New Roman" w:hAnsi="Times New Roman" w:eastAsia="Noto Serif CJK SC"/>
        </w:rPr>
        <w:t>：B0 随机打分（下界参照，用于验证评估代码正确性）；</w:t>
      </w:r>
      <w:r>
        <w:rPr>
          <w:rFonts w:ascii="Times New Roman" w:hAnsi="Times New Roman" w:eastAsia="Noto Serif CJK SC"/>
          <w:b/>
        </w:rPr>
        <w:t>B1 自评置信度基线</w:t>
      </w:r>
      <w:r>
        <w:rPr>
          <w:rFonts w:ascii="Times New Roman" w:hAnsi="Times New Roman" w:eastAsia="Noto Serif CJK SC"/>
        </w:rPr>
        <w:t>（课题设定的比较对象，方法来源为模型自评/内部校准一类工作[10,11]）；B2 仅词面重叠特征（检验语义特征是否真的强于浅层重叠）；M 本方法（一致性特征 + 判别器）。需要说明的是：B1 的</w:t>
      </w:r>
      <w:r>
        <w:rPr>
          <w:rFonts w:ascii="Times New Roman" w:hAnsi="Times New Roman" w:eastAsia="Noto Serif CJK SC"/>
          <w:b/>
        </w:rPr>
        <w:t>方法</w:t>
      </w:r>
      <w:r>
        <w:rPr>
          <w:rFonts w:ascii="Times New Roman" w:hAnsi="Times New Roman" w:eastAsia="Noto Serif CJK SC"/>
        </w:rPr>
        <w:t>可复现，但已发表工作报告的是校准误差与选择性预测类指标，并未给出与本任务可比的 AUC，因此本课题的"复现"是方法复现，不声称复现某个具体 AUC 数值；报告将明确写出这一边界，并给出 B0 应接近 0.5 的自检。</w:t>
      </w:r>
    </w:p>
    <w:p>
      <w:r>
        <w:rPr>
          <w:rFonts w:ascii="Times New Roman" w:hAnsi="Times New Roman" w:eastAsia="Noto Serif CJK SC"/>
          <w:b/>
        </w:rPr>
        <w:t>消融设计（≥3 组）</w:t>
      </w:r>
      <w:r>
        <w:rPr>
          <w:rFonts w:ascii="Times New Roman" w:hAnsi="Times New Roman" w:eastAsia="Noto Serif CJK SC"/>
        </w:rPr>
        <w:t>：Abl-1 三类退化算子分别评估（等价于逐个去掉某类失败，含常规集对照），定位难度来源；Abl-2 特征组 leave-one-group-out（去 NLI 蕴含 / 去重叠 / 去冲突计数），定位贡献来源；Abl-3 判别器替换（LogReg ↔ GBDT ↔ MLP）与概率校准前后对比。</w:t>
      </w:r>
    </w:p>
    <w:p>
      <w:r>
        <w:rPr>
          <w:rFonts w:ascii="Times New Roman" w:hAnsi="Times New Roman" w:eastAsia="Noto Serif CJK SC"/>
          <w:b/>
        </w:rPr>
        <w:t>重复实验与统计检验</w:t>
      </w:r>
      <w:r>
        <w:rPr>
          <w:rFonts w:ascii="Times New Roman" w:hAnsi="Times New Roman" w:eastAsia="Noto Serif CJK SC"/>
        </w:rPr>
        <w:t>：核心结论基于 3 个随机种子，报告均值±标准差；对同一样本上 M 与 B1 的逐样本分数差做</w:t>
      </w:r>
      <w:r>
        <w:rPr>
          <w:rFonts w:ascii="Times New Roman" w:hAnsi="Times New Roman" w:eastAsia="Noto Serif CJK SC"/>
          <w:b/>
        </w:rPr>
        <w:t>配对 t 检验</w:t>
      </w:r>
      <w:r>
        <w:rPr>
          <w:rFonts w:ascii="Times New Roman" w:hAnsi="Times New Roman" w:eastAsia="Noto Serif CJK SC"/>
        </w:rPr>
        <w:t xml:space="preserve">与 </w:t>
      </w:r>
      <w:r>
        <w:rPr>
          <w:rFonts w:ascii="Times New Roman" w:hAnsi="Times New Roman" w:eastAsia="Noto Serif CJK SC"/>
          <w:b/>
        </w:rPr>
        <w:t>Wilcoxon 符号秩检验</w:t>
      </w:r>
      <w:r>
        <w:rPr>
          <w:rFonts w:ascii="Times New Roman" w:hAnsi="Times New Roman" w:eastAsia="Noto Serif CJK SC"/>
        </w:rPr>
        <w:t>（α = 0.05，两者都报以规避正态性假设）。分组评估涉及多次比较，报告比较次数并说明是否需要多重比较校正。</w:t>
      </w:r>
    </w:p>
    <w:p>
      <w:r>
        <w:rPr>
          <w:rFonts w:ascii="Times New Roman" w:hAnsi="Times New Roman" w:eastAsia="Noto Serif CJK SC"/>
          <w:b/>
        </w:rPr>
        <w:t>人工核验</w:t>
      </w:r>
      <w:r>
        <w:rPr>
          <w:rFonts w:ascii="Times New Roman" w:hAnsi="Times New Roman" w:eastAsia="Noto Serif CJK SC"/>
        </w:rPr>
        <w:t>：从测试划分随机抽检 100 例（三类按比例），由非作者成员判定"该回答是否为幻觉"，与自动判别比较并报告一致率与 Cohen's κ；κ &lt; 0.6 时优先回查标签规则而非直接归因于方法。</w:t>
      </w:r>
    </w:p>
    <w:p>
      <w:r>
        <w:rPr>
          <w:rFonts w:ascii="Times New Roman" w:hAnsi="Times New Roman" w:eastAsia="Noto Serif CJK SC"/>
          <w:b/>
        </w:rPr>
        <w:t>负结果分析</w:t>
      </w:r>
      <w:r>
        <w:rPr>
          <w:rFonts w:ascii="Times New Roman" w:hAnsi="Times New Roman" w:eastAsia="Noto Serif CJK SC"/>
        </w:rPr>
        <w:t>：预设"答案过时"类为失败方向——该类样本的证据本身自洽，仅时序错误，纯一致性特征在原理上无法识别，预期其 AUC 明显低于另两类。该组将主动实施并按"现象 → 原因假设 → 验证 → 结论"四段式如实报告。</w:t>
      </w:r>
    </w:p>
    <w:p>
      <w:pPr>
        <w:pStyle w:val="Heading1"/>
      </w:pPr>
      <w:r>
        <w:t>九、结论</w:t>
      </w:r>
    </w:p>
    <w:p>
      <w:r>
        <w:rPr>
          <w:rFonts w:ascii="Times New Roman" w:hAnsi="Times New Roman" w:eastAsia="Noto Serif CJK SC"/>
          <w:b/>
        </w:rPr>
        <w:t>预期成果形式</w:t>
      </w:r>
      <w:r>
        <w:rPr>
          <w:rFonts w:ascii="Times New Roman" w:hAnsi="Times New Roman" w:eastAsia="Noto Serif CJK SC"/>
        </w:rPr>
        <w:t>：① 一套离线可复现的开放域问答 RAG 管道；② 一个覆盖三类失败、真伪可自动判定的挑战数据集（≥300 例）与构造脚本；③ 一组证据一致性特征及其判别器，附校准参数与阈值；④ 完整的实验产物（每种子结果、消融、分组指标、图表）；⑤ 技术报告与演示程序。</w:t>
      </w:r>
    </w:p>
    <w:p>
      <w:r>
        <w:rPr>
          <w:rFonts w:ascii="Times New Roman" w:hAnsi="Times New Roman" w:eastAsia="Noto Serif CJK SC"/>
          <w:b/>
        </w:rPr>
        <w:t>预期结论</w:t>
      </w:r>
      <w:r>
        <w:rPr>
          <w:rFonts w:ascii="Times New Roman" w:hAnsi="Times New Roman" w:eastAsia="Noto Serif CJK SC"/>
        </w:rPr>
        <w:t>：给出"一致性特征对哪类幻觉敏感、对哪类失效"的量化答案，并给出相对自评置信度基线的增益区间（目标 ≥0.10 AUC）。</w:t>
      </w:r>
    </w:p>
    <w:p>
      <w:r>
        <w:rPr>
          <w:rFonts w:ascii="Times New Roman" w:hAnsi="Times New Roman" w:eastAsia="Noto Serif CJK SC"/>
          <w:b/>
        </w:rPr>
        <w:t>结论的可信度边界</w:t>
      </w:r>
      <w:r>
        <w:rPr>
          <w:rFonts w:ascii="Times New Roman" w:hAnsi="Times New Roman" w:eastAsia="Noto Serif CJK SC"/>
        </w:rPr>
        <w:t>（将写入报告）：</w:t>
      </w:r>
    </w:p>
    <w:p>
      <w:pPr>
        <w:pStyle w:val="ListNumber"/>
      </w:pPr>
      <w:r>
        <w:rPr>
          <w:rFonts w:ascii="Times New Roman" w:hAnsi="Times New Roman" w:eastAsia="Noto Serif CJK SC"/>
          <w:b/>
        </w:rPr>
        <w:t>模型规模边界</w:t>
      </w:r>
      <w:r>
        <w:rPr>
          <w:rFonts w:ascii="Times New Roman" w:hAnsi="Times New Roman" w:eastAsia="Noto Serif CJK SC"/>
        </w:rPr>
        <w:t>：受 4 GB 级显存约束，生成模型为小参数模型，其幻觉模式与大模型不完全一致，结论</w:t>
      </w:r>
      <w:r>
        <w:rPr>
          <w:rFonts w:ascii="Times New Roman" w:hAnsi="Times New Roman" w:eastAsia="Noto Serif CJK SC"/>
          <w:b/>
        </w:rPr>
        <w:t>不能直接外推到大规模模型</w:t>
      </w:r>
      <w:r>
        <w:rPr>
          <w:rFonts w:ascii="Times New Roman" w:hAnsi="Times New Roman" w:eastAsia="Noto Serif CJK SC"/>
        </w:rPr>
        <w:t>；</w:t>
      </w:r>
    </w:p>
    <w:p>
      <w:pPr>
        <w:pStyle w:val="ListNumber"/>
      </w:pPr>
      <w:r>
        <w:rPr>
          <w:rFonts w:ascii="Times New Roman" w:hAnsi="Times New Roman" w:eastAsia="Noto Serif CJK SC"/>
          <w:b/>
        </w:rPr>
        <w:t>语言与领域边界</w:t>
      </w:r>
      <w:r>
        <w:rPr>
          <w:rFonts w:ascii="Times New Roman" w:hAnsi="Times New Roman" w:eastAsia="Noto Serif CJK SC"/>
        </w:rPr>
        <w:t>：仅使用英文抽取式／多跳问答数据（SQuAD v2、HotpotQA），未验证中文与其他领域；</w:t>
      </w:r>
    </w:p>
    <w:p>
      <w:pPr>
        <w:pStyle w:val="ListNumber"/>
      </w:pPr>
      <w:r>
        <w:rPr>
          <w:rFonts w:ascii="Times New Roman" w:hAnsi="Times New Roman" w:eastAsia="Noto Serif CJK SC"/>
          <w:b/>
        </w:rPr>
        <w:t>构造边界</w:t>
      </w:r>
      <w:r>
        <w:rPr>
          <w:rFonts w:ascii="Times New Roman" w:hAnsi="Times New Roman" w:eastAsia="Noto Serif CJK SC"/>
        </w:rPr>
        <w:t>：三类算子为参数化构造，其难度受构造参数控制，结论的"绝对难度"依赖于本课题的构造设置，可比较的是</w:t>
      </w:r>
      <w:r>
        <w:rPr>
          <w:rFonts w:ascii="Times New Roman" w:hAnsi="Times New Roman" w:eastAsia="Noto Serif CJK SC"/>
          <w:b/>
        </w:rPr>
        <w:t>类型间的相对敏感性</w:t>
      </w:r>
      <w:r>
        <w:rPr>
          <w:rFonts w:ascii="Times New Roman" w:hAnsi="Times New Roman" w:eastAsia="Noto Serif CJK SC"/>
        </w:rPr>
        <w:t>；</w:t>
      </w:r>
    </w:p>
    <w:p>
      <w:pPr>
        <w:pStyle w:val="ListNumber"/>
      </w:pPr>
      <w:r>
        <w:rPr>
          <w:rFonts w:ascii="Times New Roman" w:hAnsi="Times New Roman" w:eastAsia="Noto Serif CJK SC"/>
          <w:b/>
        </w:rPr>
        <w:t>标签边界</w:t>
      </w:r>
      <w:r>
        <w:rPr>
          <w:rFonts w:ascii="Times New Roman" w:hAnsi="Times New Roman" w:eastAsia="Noto Serif CJK SC"/>
        </w:rPr>
        <w:t xml:space="preserve">：标签由规则化程序判定，虽避免了与特征同源，但在答案表述自由（非模板化）时可能产生 </w:t>
      </w:r>
      <w:r>
        <w:rPr>
          <w:rFonts w:ascii="DejaVu Sans Mono" w:hAnsi="DejaVu Sans Mono"/>
        </w:rPr>
        <w:t>undetermined</w:t>
      </w:r>
      <w:r>
        <w:rPr>
          <w:rFonts w:ascii="Times New Roman" w:hAnsi="Times New Roman" w:eastAsia="Noto Serif CJK SC"/>
        </w:rPr>
        <w:t xml:space="preserve"> 样本，排除比例将如实报告；</w:t>
      </w:r>
    </w:p>
    <w:p>
      <w:pPr>
        <w:pStyle w:val="ListNumber"/>
      </w:pPr>
      <w:r>
        <w:rPr>
          <w:rFonts w:ascii="Times New Roman" w:hAnsi="Times New Roman" w:eastAsia="Noto Serif CJK SC"/>
          <w:b/>
        </w:rPr>
        <w:t>记忆污染边界</w:t>
      </w:r>
      <w:r>
        <w:rPr>
          <w:rFonts w:ascii="Times New Roman" w:hAnsi="Times New Roman" w:eastAsia="Noto Serif CJK SC"/>
        </w:rPr>
        <w:t>：生成模型预训练语料可能包含所用数据集，存在参数记忆干扰，仅用 dev/validation 划分可降低但不能完全消除该风险。</w:t>
      </w:r>
    </w:p>
    <w:p>
      <w:pPr>
        <w:pStyle w:val="Heading1"/>
      </w:pPr>
      <w:r>
        <w:t>十、进度安排</w:t>
      </w:r>
    </w:p>
    <w:tbl>
      <w:tblPr>
        <w:tblStyle w:val="TableGrid"/>
        <w:tblW w:type="auto" w:w="0"/>
        <w:tblLook w:firstColumn="1" w:firstRow="1" w:lastColumn="0" w:lastRow="0" w:noHBand="0" w:noVBand="1" w:val="04A0"/>
      </w:tblPr>
      <w:tblGrid>
        <w:gridCol w:w="2239"/>
        <w:gridCol w:w="2239"/>
        <w:gridCol w:w="2239"/>
        <w:gridCol w:w="2239"/>
      </w:tblGrid>
      <w:tr>
        <w:tc>
          <w:tcPr>
            <w:tcW w:type="dxa" w:w="2239"/>
          </w:tcPr>
          <w:p>
            <w:pPr>
              <w:spacing w:after="0"/>
            </w:pPr>
            <w:r>
              <w:rPr>
                <w:rFonts w:ascii="Times New Roman" w:hAnsi="Times New Roman" w:eastAsia="Noto Serif CJK SC"/>
                <w:b/>
                <w:sz w:val="18"/>
              </w:rPr>
              <w:t>阶段</w:t>
            </w:r>
          </w:p>
        </w:tc>
        <w:tc>
          <w:tcPr>
            <w:tcW w:type="dxa" w:w="2239"/>
          </w:tcPr>
          <w:p>
            <w:pPr>
              <w:spacing w:after="0"/>
            </w:pPr>
            <w:r>
              <w:rPr>
                <w:rFonts w:ascii="Times New Roman" w:hAnsi="Times New Roman" w:eastAsia="Noto Serif CJK SC"/>
                <w:b/>
                <w:sz w:val="18"/>
              </w:rPr>
              <w:t>周次</w:t>
            </w:r>
          </w:p>
        </w:tc>
        <w:tc>
          <w:tcPr>
            <w:tcW w:type="dxa" w:w="2239"/>
          </w:tcPr>
          <w:p>
            <w:pPr>
              <w:spacing w:after="0"/>
            </w:pPr>
            <w:r>
              <w:rPr>
                <w:rFonts w:ascii="Times New Roman" w:hAnsi="Times New Roman" w:eastAsia="Noto Serif CJK SC"/>
                <w:b/>
                <w:sz w:val="18"/>
              </w:rPr>
              <w:t>主要工作</w:t>
            </w:r>
          </w:p>
        </w:tc>
        <w:tc>
          <w:tcPr>
            <w:tcW w:type="dxa" w:w="2239"/>
          </w:tcPr>
          <w:p>
            <w:pPr>
              <w:spacing w:after="0"/>
            </w:pPr>
            <w:r>
              <w:rPr>
                <w:rFonts w:ascii="Times New Roman" w:hAnsi="Times New Roman" w:eastAsia="Noto Serif CJK SC"/>
                <w:b/>
                <w:sz w:val="18"/>
              </w:rPr>
              <w:t>交付</w:t>
            </w:r>
          </w:p>
        </w:tc>
      </w:tr>
      <w:tr>
        <w:tc>
          <w:tcPr>
            <w:tcW w:type="dxa" w:w="2239"/>
          </w:tcPr>
          <w:p>
            <w:pPr>
              <w:spacing w:after="0"/>
            </w:pPr>
            <w:r>
              <w:rPr>
                <w:rFonts w:ascii="Times New Roman" w:hAnsi="Times New Roman" w:eastAsia="Noto Serif CJK SC"/>
                <w:sz w:val="18"/>
              </w:rPr>
              <w:t>开题</w:t>
            </w:r>
          </w:p>
        </w:tc>
        <w:tc>
          <w:tcPr>
            <w:tcW w:type="dxa" w:w="2239"/>
          </w:tcPr>
          <w:p>
            <w:pPr>
              <w:spacing w:after="0"/>
            </w:pPr>
            <w:r>
              <w:rPr>
                <w:rFonts w:ascii="Times New Roman" w:hAnsi="Times New Roman" w:eastAsia="Noto Serif CJK SC"/>
                <w:sz w:val="18"/>
              </w:rPr>
              <w:t>第 4–5 周</w:t>
            </w:r>
          </w:p>
        </w:tc>
        <w:tc>
          <w:tcPr>
            <w:tcW w:type="dxa" w:w="2239"/>
          </w:tcPr>
          <w:p>
            <w:pPr>
              <w:spacing w:after="0"/>
            </w:pPr>
            <w:r>
              <w:rPr>
                <w:rFonts w:ascii="Times New Roman" w:hAnsi="Times New Roman" w:eastAsia="Noto Serif CJK SC"/>
                <w:sz w:val="18"/>
              </w:rPr>
              <w:t>完成本开题报告并通过评审</w:t>
            </w:r>
          </w:p>
        </w:tc>
        <w:tc>
          <w:tcPr>
            <w:tcW w:type="dxa" w:w="2239"/>
          </w:tcPr>
          <w:p>
            <w:pPr>
              <w:spacing w:after="0"/>
            </w:pPr>
            <w:r>
              <w:rPr>
                <w:rFonts w:ascii="Times New Roman" w:hAnsi="Times New Roman" w:eastAsia="Noto Serif CJK SC"/>
                <w:sz w:val="18"/>
              </w:rPr>
              <w:t>开题报告（PDF/docx + 源文件）</w:t>
            </w:r>
          </w:p>
        </w:tc>
      </w:tr>
      <w:tr>
        <w:tc>
          <w:tcPr>
            <w:tcW w:type="dxa" w:w="2239"/>
          </w:tcPr>
          <w:p>
            <w:pPr>
              <w:spacing w:after="0"/>
            </w:pPr>
            <w:r>
              <w:rPr>
                <w:rFonts w:ascii="Times New Roman" w:hAnsi="Times New Roman" w:eastAsia="Noto Serif CJK SC"/>
                <w:sz w:val="18"/>
              </w:rPr>
              <w:t>实验攻关</w:t>
            </w:r>
          </w:p>
        </w:tc>
        <w:tc>
          <w:tcPr>
            <w:tcW w:type="dxa" w:w="2239"/>
          </w:tcPr>
          <w:p>
            <w:pPr>
              <w:spacing w:after="0"/>
            </w:pPr>
            <w:r>
              <w:rPr>
                <w:rFonts w:ascii="Times New Roman" w:hAnsi="Times New Roman" w:eastAsia="Noto Serif CJK SC"/>
                <w:sz w:val="18"/>
              </w:rPr>
              <w:t>第 6–11 周</w:t>
            </w:r>
          </w:p>
        </w:tc>
        <w:tc>
          <w:tcPr>
            <w:tcW w:type="dxa" w:w="2239"/>
          </w:tcPr>
          <w:p>
            <w:pPr>
              <w:spacing w:after="0"/>
            </w:pPr>
            <w:r>
              <w:rPr>
                <w:rFonts w:ascii="Times New Roman" w:hAnsi="Times New Roman" w:eastAsia="Noto Serif CJK SC"/>
                <w:sz w:val="18"/>
              </w:rPr>
              <w:t>管道搭建 → 常规集基线 → 挑战集构造 → 特征与判别器 → 分组评估与消融（含第 8 周中期检查）</w:t>
            </w:r>
          </w:p>
        </w:tc>
        <w:tc>
          <w:tcPr>
            <w:tcW w:type="dxa" w:w="2239"/>
          </w:tcPr>
          <w:p>
            <w:pPr>
              <w:spacing w:after="0"/>
            </w:pPr>
            <w:r>
              <w:rPr>
                <w:rFonts w:ascii="Times New Roman" w:hAnsi="Times New Roman" w:eastAsia="Noto Serif CJK SC"/>
                <w:sz w:val="18"/>
              </w:rPr>
              <w:t>代码仓库、实验记录、挑战集</w:t>
            </w:r>
          </w:p>
        </w:tc>
      </w:tr>
      <w:tr>
        <w:tc>
          <w:tcPr>
            <w:tcW w:type="dxa" w:w="2239"/>
          </w:tcPr>
          <w:p>
            <w:pPr>
              <w:spacing w:after="0"/>
            </w:pPr>
            <w:r>
              <w:rPr>
                <w:rFonts w:ascii="Times New Roman" w:hAnsi="Times New Roman" w:eastAsia="Noto Serif CJK SC"/>
                <w:sz w:val="18"/>
              </w:rPr>
              <w:t>报告撰写</w:t>
            </w:r>
          </w:p>
        </w:tc>
        <w:tc>
          <w:tcPr>
            <w:tcW w:type="dxa" w:w="2239"/>
          </w:tcPr>
          <w:p>
            <w:pPr>
              <w:spacing w:after="0"/>
            </w:pPr>
            <w:r>
              <w:rPr>
                <w:rFonts w:ascii="Times New Roman" w:hAnsi="Times New Roman" w:eastAsia="Noto Serif CJK SC"/>
                <w:sz w:val="18"/>
              </w:rPr>
              <w:t>第 12–13 周</w:t>
            </w:r>
          </w:p>
        </w:tc>
        <w:tc>
          <w:tcPr>
            <w:tcW w:type="dxa" w:w="2239"/>
          </w:tcPr>
          <w:p>
            <w:pPr>
              <w:spacing w:after="0"/>
            </w:pPr>
            <w:r>
              <w:rPr>
                <w:rFonts w:ascii="Times New Roman" w:hAnsi="Times New Roman" w:eastAsia="Noto Serif CJK SC"/>
                <w:sz w:val="18"/>
              </w:rPr>
              <w:t>技术报告撰写与组内互审</w:t>
            </w:r>
          </w:p>
        </w:tc>
        <w:tc>
          <w:tcPr>
            <w:tcW w:type="dxa" w:w="2239"/>
          </w:tcPr>
          <w:p>
            <w:pPr>
              <w:spacing w:after="0"/>
            </w:pPr>
            <w:r>
              <w:rPr>
                <w:rFonts w:ascii="Times New Roman" w:hAnsi="Times New Roman" w:eastAsia="Noto Serif CJK SC"/>
                <w:sz w:val="18"/>
              </w:rPr>
              <w:t>技术报告（5000–8000 字）</w:t>
            </w:r>
          </w:p>
        </w:tc>
      </w:tr>
      <w:tr>
        <w:tc>
          <w:tcPr>
            <w:tcW w:type="dxa" w:w="2239"/>
          </w:tcPr>
          <w:p>
            <w:pPr>
              <w:spacing w:after="0"/>
            </w:pPr>
            <w:r>
              <w:rPr>
                <w:rFonts w:ascii="Times New Roman" w:hAnsi="Times New Roman" w:eastAsia="Noto Serif CJK SC"/>
                <w:sz w:val="18"/>
              </w:rPr>
              <w:t>答辩</w:t>
            </w:r>
          </w:p>
        </w:tc>
        <w:tc>
          <w:tcPr>
            <w:tcW w:type="dxa" w:w="2239"/>
          </w:tcPr>
          <w:p>
            <w:pPr>
              <w:spacing w:after="0"/>
            </w:pPr>
            <w:r>
              <w:rPr>
                <w:rFonts w:ascii="Times New Roman" w:hAnsi="Times New Roman" w:eastAsia="Noto Serif CJK SC"/>
                <w:sz w:val="18"/>
              </w:rPr>
              <w:t>第 14–15 周</w:t>
            </w:r>
          </w:p>
        </w:tc>
        <w:tc>
          <w:tcPr>
            <w:tcW w:type="dxa" w:w="2239"/>
          </w:tcPr>
          <w:p>
            <w:pPr>
              <w:spacing w:after="0"/>
            </w:pPr>
            <w:r>
              <w:rPr>
                <w:rFonts w:ascii="Times New Roman" w:hAnsi="Times New Roman" w:eastAsia="Noto Serif CJK SC"/>
                <w:sz w:val="18"/>
              </w:rPr>
              <w:t>10 分钟汇报 + 5 分钟问答 + 演示</w:t>
            </w:r>
          </w:p>
        </w:tc>
        <w:tc>
          <w:tcPr>
            <w:tcW w:type="dxa" w:w="2239"/>
          </w:tcPr>
          <w:p>
            <w:pPr>
              <w:spacing w:after="0"/>
            </w:pPr>
            <w:r>
              <w:rPr>
                <w:rFonts w:ascii="Times New Roman" w:hAnsi="Times New Roman" w:eastAsia="Noto Serif CJK SC"/>
                <w:sz w:val="18"/>
              </w:rPr>
              <w:t>PPT 与演示视频</w:t>
            </w:r>
          </w:p>
        </w:tc>
      </w:tr>
    </w:tbl>
    <w:p/>
    <w:p>
      <w:pPr>
        <w:pStyle w:val="Heading1"/>
      </w:pPr>
      <w:r>
        <w:t>十一、参考文献</w:t>
      </w:r>
    </w:p>
    <w:p>
      <w:pPr>
        <w:spacing w:after="60"/>
        <w:ind w:left="482" w:hanging="482"/>
      </w:pPr>
      <w:r>
        <w:rPr>
          <w:rFonts w:ascii="Times New Roman" w:hAnsi="Times New Roman" w:eastAsia="Noto Serif CJK SC"/>
        </w:rPr>
        <w:t>[1] LEWIS P, PEREZ E, PIKTUS A, et al. Retrieval-augmented generation for knowledge-intensive NLP tasks[EB/OL]. (2020-05-22)[2026-09-22]. https://arxiv.org/abs/2005.11401.</w:t>
      </w:r>
    </w:p>
    <w:p>
      <w:pPr>
        <w:spacing w:after="60"/>
        <w:ind w:left="482" w:hanging="482"/>
      </w:pPr>
      <w:r>
        <w:rPr>
          <w:rFonts w:ascii="Times New Roman" w:hAnsi="Times New Roman" w:eastAsia="Noto Serif CJK SC"/>
        </w:rPr>
        <w:t>[2] GAO Y, XIONG Y, GAO X, et al. Retrieval-augmented generation for large language models: a survey[EB/OL]. (2023-12-18)[2026-09-22]. https://arxiv.org/abs/2312.10997.</w:t>
      </w:r>
    </w:p>
    <w:p>
      <w:pPr>
        <w:spacing w:after="60"/>
        <w:ind w:left="482" w:hanging="482"/>
      </w:pPr>
      <w:r>
        <w:rPr>
          <w:rFonts w:ascii="Times New Roman" w:hAnsi="Times New Roman" w:eastAsia="Noto Serif CJK SC"/>
        </w:rPr>
        <w:t>[3] SHI F, CHEN X, MISRA K, et al. Large language models can be easily distracted by irrelevant context[EB/OL]. (2023-02-01)[2026-09-22]. https://arxiv.org/abs/2302.00093.</w:t>
      </w:r>
    </w:p>
    <w:p>
      <w:pPr>
        <w:spacing w:after="60"/>
        <w:ind w:left="482" w:hanging="482"/>
      </w:pPr>
      <w:r>
        <w:rPr>
          <w:rFonts w:ascii="Times New Roman" w:hAnsi="Times New Roman" w:eastAsia="Noto Serif CJK SC"/>
        </w:rPr>
        <w:t>[4] LIU N F, LIN K, HEWITT J, et al. Lost in the middle: how language models use long contexts[J]. Transactions of the Association for Computational Linguistics, 2024, 12: 157-173. DOI: 10.1162/tacl_a_00638.</w:t>
      </w:r>
    </w:p>
    <w:p>
      <w:pPr>
        <w:spacing w:after="60"/>
        <w:ind w:left="482" w:hanging="482"/>
      </w:pPr>
      <w:r>
        <w:rPr>
          <w:rFonts w:ascii="Times New Roman" w:hAnsi="Times New Roman" w:eastAsia="Noto Serif CJK SC"/>
        </w:rPr>
        <w:t>[5] TRIVEDI H, BALASUBRAMANIAN N, KHOT T, et al. Interleaving retrieval with chain-of-thought reasoning for knowledge-intensive multi-step questions[C]//Proceedings of the 61st Annual Meeting of the Association for Computational Linguistics (Volume 1: Long Papers). Toronto, Canada: Association for Computational Linguistics, 2023: 10014-10037. DOI: 10.18653/v1/2023.acl-long.557.</w:t>
      </w:r>
    </w:p>
    <w:p>
      <w:pPr>
        <w:spacing w:after="60"/>
        <w:ind w:left="482" w:hanging="482"/>
      </w:pPr>
      <w:r>
        <w:rPr>
          <w:rFonts w:ascii="Times New Roman" w:hAnsi="Times New Roman" w:eastAsia="Noto Serif CJK SC"/>
        </w:rPr>
        <w:t>[6] CHEN J, LIN H, HAN X, et al. Benchmarking large language models in retrieval-augmented generation[J]. Proceedings of the AAAI Conference on Artificial Intelligence, 2024, 38(16): 17754-17762. DOI: 10.1609/aaai.v38i16.29728.</w:t>
      </w:r>
    </w:p>
    <w:p>
      <w:pPr>
        <w:spacing w:after="60"/>
        <w:ind w:left="482" w:hanging="482"/>
      </w:pPr>
      <w:r>
        <w:rPr>
          <w:rFonts w:ascii="Times New Roman" w:hAnsi="Times New Roman" w:eastAsia="Noto Serif CJK SC"/>
        </w:rPr>
        <w:t>[7] NIU C, WU Y, ZHU J, et al. RAGTruth: a hallucination corpus for developing trustworthy retrieval-augmented language models[C]//Proceedings of the 62nd Annual Meeting of the Association for Computational Linguistics (Volume 1: Long Papers). Bangkok, Thailand: Association for Computational Linguistics, 2024: 10862-10878. DOI: 10.18653/v1/2024.acl-long.585.</w:t>
      </w:r>
    </w:p>
    <w:p>
      <w:pPr>
        <w:spacing w:after="60"/>
        <w:ind w:left="482" w:hanging="482"/>
      </w:pPr>
      <w:r>
        <w:rPr>
          <w:rFonts w:ascii="Times New Roman" w:hAnsi="Times New Roman" w:eastAsia="Noto Serif CJK SC"/>
        </w:rPr>
        <w:t>[8] RAJPURKAR P, ZHANG J, LOPYREV K, et al. SQuAD: 100,000+ questions for machine comprehension of text[C]//Proceedings of the 2016 Conference on Empirical Methods in Natural Language Processing. Austin, Texas: Association for Computational Linguistics, 2016: 2383-2392. DOI: 10.18653/v1/D16-1264.</w:t>
      </w:r>
    </w:p>
    <w:p>
      <w:pPr>
        <w:spacing w:after="60"/>
        <w:ind w:left="482" w:hanging="482"/>
      </w:pPr>
      <w:r>
        <w:rPr>
          <w:rFonts w:ascii="Times New Roman" w:hAnsi="Times New Roman" w:eastAsia="Noto Serif CJK SC"/>
        </w:rPr>
        <w:t>[9] YANG Z, QI P, ZHANG S, et al. HotpotQA: a dataset for diverse, explainable multi-hop question answering[C]//Proceedings of the 2018 Conference on Empirical Methods in Natural Language Processing. Brussels, Belgium: Association for Computational Linguistics, 2018: 2369-2380. DOI: 10.18653/v1/D18-1259.</w:t>
      </w:r>
    </w:p>
    <w:p>
      <w:pPr>
        <w:spacing w:after="60"/>
        <w:ind w:left="482" w:hanging="482"/>
      </w:pPr>
      <w:r>
        <w:rPr>
          <w:rFonts w:ascii="Times New Roman" w:hAnsi="Times New Roman" w:eastAsia="Noto Serif CJK SC"/>
        </w:rPr>
        <w:t>[10] KADAVATH S, CONERLY T, ASKELL A, et al. Language models (mostly) know what they know[EB/OL]. (2022-07-11)[2026-09-22]. https://arxiv.org/abs/2207.05221.</w:t>
      </w:r>
    </w:p>
    <w:p>
      <w:pPr>
        <w:spacing w:after="60"/>
        <w:ind w:left="482" w:hanging="482"/>
      </w:pPr>
      <w:r>
        <w:rPr>
          <w:rFonts w:ascii="Times New Roman" w:hAnsi="Times New Roman" w:eastAsia="Noto Serif CJK SC"/>
        </w:rPr>
        <w:t>[11] AZARIA A, MITCHELL T. The internal state of an LLM knows when it's lying[C]//Findings of the Association for Computational Linguistics: EMNLP 2023. Singapore: Association for Computational Linguistics, 2023: 967-976. DOI: 10.18653/v1/2023.findings-emnlp.68.</w:t>
      </w:r>
    </w:p>
    <w:p>
      <w:pPr>
        <w:spacing w:after="60"/>
        <w:ind w:left="482" w:hanging="482"/>
      </w:pPr>
      <w:r>
        <w:rPr>
          <w:rFonts w:ascii="Times New Roman" w:hAnsi="Times New Roman" w:eastAsia="Noto Serif CJK SC"/>
        </w:rPr>
        <w:t>[12] JI Z, LEE N, FRIESKE R, et al. Survey of hallucination in natural language generation[J]. ACM Computing Surveys, 2023, 55(12): 1-38. DOI: 10.1145/3571730.</w:t>
      </w:r>
    </w:p>
    <w:p>
      <w:pPr>
        <w:spacing w:after="60"/>
        <w:ind w:left="482" w:hanging="482"/>
      </w:pPr>
      <w:r>
        <w:rPr>
          <w:rFonts w:ascii="Times New Roman" w:hAnsi="Times New Roman" w:eastAsia="Noto Serif CJK SC"/>
        </w:rPr>
        <w:t>[13] MAYNEZ J, NARAYAN S, BOHNET B, et al. On faithfulness and factuality in abstractive summarization[C]//Proceedings of the 58th Annual Meeting of the Association for Computational Linguistics. Online: Association for Computational Linguistics, 2020: 1906-1919. DOI: 10.18653/v1/2020.acl-main.173.</w:t>
      </w:r>
    </w:p>
    <w:p>
      <w:pPr>
        <w:spacing w:after="60"/>
        <w:ind w:left="482" w:hanging="482"/>
      </w:pPr>
      <w:r>
        <w:rPr>
          <w:rFonts w:ascii="Times New Roman" w:hAnsi="Times New Roman" w:eastAsia="Noto Serif CJK SC"/>
        </w:rPr>
        <w:t>[14] HONOVICH O, AHARONI R, HERZIG J, et al. TRUE: re-evaluating factual consistency evaluation[C]//Proceedings of the 2022 Conference of the North American Chapter of the Association for Computational Linguistics: Human Language Technologies. Seattle, United States: Association for Computational Linguistics, 2022: 3905-3920. DOI: 10.18653/v1/2022.naacl-main.287.</w:t>
      </w:r>
    </w:p>
    <w:p>
      <w:pPr>
        <w:spacing w:after="60"/>
        <w:ind w:left="482" w:hanging="482"/>
      </w:pPr>
      <w:r>
        <w:rPr>
          <w:rFonts w:ascii="Times New Roman" w:hAnsi="Times New Roman" w:eastAsia="Noto Serif CJK SC"/>
        </w:rPr>
        <w:t>[15] MANAKUL P, LIUSIE A, GALES M. SelfCheckGPT: zero-resource black-box hallucination detection for generative large language models[C]//Proceedings of the 2023 Conference on Empirical Methods in Natural Language Processing. Singapore: Association for Computational Linguistics, 2023: 9004-9017. DOI: 10.18653/v1/2023.emnlp-main.557.</w:t>
      </w:r>
    </w:p>
    <w:p>
      <w:pPr>
        <w:spacing w:after="60"/>
        <w:ind w:left="482" w:hanging="482"/>
      </w:pPr>
      <w:r>
        <w:rPr>
          <w:rFonts w:ascii="Times New Roman" w:hAnsi="Times New Roman" w:eastAsia="Noto Serif CJK SC"/>
        </w:rPr>
        <w:t>[16] MIN S, KRISHNA K, LYU X, et al. FActScore: fine-grained atomic evaluation of factual precision in long form text generation[C]//Proceedings of the 2023 Conference on Empirical Methods in Natural Language Processing. Singapore: Association for Computational Linguistics, 2023: 12076-12100. DOI: 10.18653/v1/2023.emnlp-main.741.</w:t>
      </w:r>
    </w:p>
    <w:p>
      <w:pPr>
        <w:spacing w:after="60"/>
        <w:ind w:left="482" w:hanging="482"/>
      </w:pPr>
      <w:r>
        <w:rPr>
          <w:rFonts w:ascii="Times New Roman" w:hAnsi="Times New Roman" w:eastAsia="Noto Serif CJK SC"/>
        </w:rPr>
        <w:t>[17] ES S, JAMES J, ESPINOSA ANKE L, et al. Ragas: automated evaluation of retrieval augmented generation[C]//Proceedings of the 18th Conference of the European Chapter of the Association for Computational Linguistics: System Demonstrations. St. Julians, Malta: Association for Computational Linguistics, 2024: 150-158. DOI: 10.18653/v1/2024.eacl-demo.16.</w:t>
      </w:r>
    </w:p>
    <w:p>
      <w:pPr>
        <w:spacing w:after="60"/>
        <w:ind w:left="482" w:hanging="482"/>
      </w:pPr>
      <w:r>
        <w:rPr>
          <w:rFonts w:ascii="Times New Roman" w:hAnsi="Times New Roman" w:eastAsia="Noto Serif CJK SC"/>
        </w:rPr>
        <w:t>[18] RASHKIN H, NIKOLAEV V, LAMM M, et al. Measuring attribution in natural language generation models[J]. Computational Linguistics, 2023, 49(4): 777-840. DOI: 10.1162/coli_a_00486.</w:t>
      </w:r>
    </w:p>
    <w:p>
      <w:pPr>
        <w:spacing w:after="60"/>
        <w:ind w:left="482" w:hanging="482"/>
      </w:pPr>
      <w:r>
        <w:rPr>
          <w:rFonts w:ascii="Times New Roman" w:hAnsi="Times New Roman" w:eastAsia="Noto Serif CJK SC"/>
        </w:rPr>
        <w:t>[19] LIN S, HILTON J, EVANS O. TruthfulQA: measuring how models mimic human falsehoods[C]//Proceedings of the 60th Annual Meeting of the Association for Computational Linguistics (Volume 1: Long Papers). Dublin, Ireland: Association for Computational Linguistics, 2022: 3214-3252. DOI: 10.18653/v1/2022.acl-long.229.</w:t>
      </w:r>
    </w:p>
    <w:p>
      <w:pPr>
        <w:spacing w:after="60"/>
        <w:ind w:left="482" w:hanging="482"/>
      </w:pPr>
      <w:r>
        <w:rPr>
          <w:rFonts w:ascii="Times New Roman" w:hAnsi="Times New Roman" w:eastAsia="Noto Serif CJK SC"/>
        </w:rPr>
        <w:t>[20] LI J, CHENG X, ZHAO X, et al. HaluEval: a large-scale hallucination evaluation benchmark for large language models[C]//Proceedings of the 2023 Conference on Empirical Methods in Natural Language Processing. Singapore: Association for Computational Linguistics, 2023: 6449-6464. DOI: 10.18653/v1/2023.emnlp-main.397.</w:t>
      </w:r>
    </w:p>
    <w:p>
      <w:pPr>
        <w:spacing w:after="60"/>
        <w:ind w:left="482" w:hanging="482"/>
      </w:pPr>
      <w:r>
        <w:rPr>
          <w:rFonts w:ascii="Times New Roman" w:hAnsi="Times New Roman" w:eastAsia="Noto Serif CJK SC"/>
        </w:rPr>
        <w:t>[21] ZHANG M, PRESS O, MERRILL W, et al. How language model hallucinations can snowball[EB/OL]. (2023-05-23)[2026-09-22]. https://arxiv.org/abs/2305.13534.</w:t>
      </w:r>
    </w:p>
    <w:p>
      <w:pPr>
        <w:spacing w:after="60"/>
        <w:ind w:left="482" w:hanging="482"/>
      </w:pPr>
      <w:r>
        <w:rPr>
          <w:rFonts w:ascii="Times New Roman" w:hAnsi="Times New Roman" w:eastAsia="Noto Serif CJK SC"/>
        </w:rPr>
        <w:t>[22] DHULIAWALA S, KOMEILI M, XU J, et al. Chain-of-verification reduces hallucination in large language models[C]//Findings of the Association for Computational Linguistics: ACL 2024. Bangkok, Thailand: Association for Computational Linguistics, 2024: 3563-3578. DOI: 10.18653/v1/2024.findings-acl.212.</w:t>
      </w:r>
    </w:p>
    <w:p>
      <w:pPr>
        <w:spacing w:after="60"/>
        <w:ind w:left="482" w:hanging="482"/>
      </w:pPr>
      <w:r>
        <w:rPr>
          <w:rFonts w:ascii="Times New Roman" w:hAnsi="Times New Roman" w:eastAsia="Noto Serif CJK SC"/>
        </w:rPr>
        <w:t>[23] ASAI A, WU Z, WANG Y, et al. Self-RAG: learning to retrieve, generate, and critique through self-reflection[EB/OL]. (2023-10-17)[2026-09-22]. https://arxiv.org/abs/2310.11511.</w:t>
      </w:r>
    </w:p>
    <w:p>
      <w:pPr>
        <w:spacing w:after="60"/>
        <w:ind w:left="482" w:hanging="482"/>
      </w:pPr>
      <w:r>
        <w:rPr>
          <w:rFonts w:ascii="Times New Roman" w:hAnsi="Times New Roman" w:eastAsia="Noto Serif CJK SC"/>
        </w:rPr>
        <w:t>[24] THORNE J, VLACHOS A, CHRISTODOULOPOULOS C, et al. FEVER: a large-scale dataset for fact extraction and verification[C]//Proceedings of the 2018 Conference of the North American Chapter of the Association for Computational Linguistics: Human Language Technologies, Volume 1 (Long Papers). New Orleans, Louisiana: Association for Computational Linguistics, 2018: 809-819. DOI: 10.18653/v1/N18-1074.</w:t>
      </w:r>
    </w:p>
    <w:p>
      <w:pPr>
        <w:spacing w:after="60"/>
        <w:ind w:left="482" w:hanging="482"/>
      </w:pPr>
      <w:r>
        <w:rPr>
          <w:rFonts w:ascii="Times New Roman" w:hAnsi="Times New Roman" w:eastAsia="Noto Serif CJK SC"/>
        </w:rPr>
        <w:t>[25] BOWMAN S R, ANGELI G, POTTS C, et al. A large annotated corpus for learning natural language inference[C]//Proceedings of the 2015 Conference on Empirical Methods in Natural Language Processing. Lisbon, Portugal: Association for Computational Linguistics, 2015: 632-642. DOI: 10.18653/v1/D15-1075.</w:t>
      </w:r>
    </w:p>
    <w:p>
      <w:pPr>
        <w:spacing w:after="60"/>
        <w:ind w:left="482" w:hanging="482"/>
      </w:pPr>
      <w:r>
        <w:rPr>
          <w:rFonts w:ascii="Times New Roman" w:hAnsi="Times New Roman" w:eastAsia="Noto Serif CJK SC"/>
        </w:rPr>
        <w:t>[26] WILLIAMS A, NANGIA N, BOWMAN S R. A broad-coverage challenge corpus for sentence understanding through inference[C]//Proceedings of the 2018 Conference of the North American Chapter of the Association for Computational Linguistics: Human Language Technologies, Volume 1 (Long Papers). New Orleans, Louisiana: Association for Computational Linguistics, 2018: 1112-1122. DOI: 10.18653/v1/N18-1101.</w:t>
      </w:r>
    </w:p>
    <w:sectPr w:rsidR="00FC693F" w:rsidRPr="0006063C" w:rsidSect="00034616">
      <w:footerReference w:type="default" r:id="rId11"/>
      <w:pgSz w:w="11906" w:h="16838"/>
      <w:pgMar w:top="1417" w:right="1474" w:bottom="141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CJK SC"/>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Noto Sans CJK SC"/>
      <w:b/>
      <w:bCs/>
      <w:color w:val="1C2B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Noto Sans CJK SC"/>
      <w:b/>
      <w:bCs/>
      <w:color w:val="1C2B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Noto Sans CJK SC"/>
      <w:b/>
      <w:bCs/>
      <w:color w:val="1C2B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Noto Sans CJK SC"/>
      <w:color w:val="1C2B3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