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0D1D8" w14:textId="77777777" w:rsidR="00985D1B" w:rsidRDefault="00000000">
      <w:pPr>
        <w:jc w:val="center"/>
      </w:pPr>
      <w:r>
        <w:rPr>
          <w:rFonts w:ascii="Calibri" w:hAnsi="Calibri"/>
          <w:b/>
          <w:color w:val="0B4C5C"/>
          <w:sz w:val="32"/>
        </w:rPr>
        <w:t>APORTE PERSONAL — PC2 CC451</w:t>
      </w:r>
    </w:p>
    <w:p w14:paraId="1A5EFC8D" w14:textId="77777777" w:rsidR="00985D1B" w:rsidRDefault="00000000">
      <w:pPr>
        <w:jc w:val="center"/>
      </w:pPr>
      <w:r>
        <w:rPr>
          <w:rFonts w:ascii="Calibri" w:hAnsi="Calibri"/>
          <w:i/>
          <w:color w:val="505050"/>
          <w:sz w:val="21"/>
        </w:rPr>
        <w:t>Interacción Humano-Computador · Universidad Nacional de Ingeniería · Ciclo 2026-II</w:t>
      </w:r>
    </w:p>
    <w:p w14:paraId="490B5FB9" w14:textId="77777777" w:rsidR="00985D1B" w:rsidRDefault="00000000">
      <w:pPr>
        <w:spacing w:before="160" w:after="240"/>
      </w:pPr>
      <w:r>
        <w:rPr>
          <w:b/>
          <w:sz w:val="20"/>
        </w:rPr>
        <w:t>Grupo 10 — Integrantes oficiales:</w:t>
      </w:r>
      <w:r>
        <w:rPr>
          <w:b/>
          <w:sz w:val="20"/>
        </w:rPr>
        <w:br/>
      </w:r>
      <w:r>
        <w:rPr>
          <w:sz w:val="20"/>
        </w:rPr>
        <w:t>• Santa Cruz Basilio, Jesus Diego — 20235005G</w:t>
      </w:r>
      <w:r>
        <w:rPr>
          <w:sz w:val="20"/>
        </w:rPr>
        <w:br/>
        <w:t>• López Arteaga, César Omar — 20215508C</w:t>
      </w:r>
      <w:r>
        <w:rPr>
          <w:sz w:val="20"/>
        </w:rPr>
        <w:br/>
        <w:t>• Pumayauli Evangelista, Bryan José — 20212209E</w:t>
      </w:r>
      <w:r>
        <w:rPr>
          <w:sz w:val="20"/>
        </w:rPr>
        <w:br/>
      </w:r>
    </w:p>
    <w:p w14:paraId="54642661" w14:textId="77777777" w:rsidR="00985D1B" w:rsidRDefault="00000000">
      <w:r>
        <w:rPr>
          <w:b/>
          <w:sz w:val="21"/>
        </w:rPr>
        <w:t xml:space="preserve">Aporte personal registrado: </w:t>
      </w:r>
      <w:r>
        <w:rPr>
          <w:b/>
          <w:color w:val="006C83"/>
          <w:sz w:val="21"/>
        </w:rPr>
        <w:t>Pumayauli Evangelista, Bryan José — 20212209E.</w:t>
      </w:r>
      <w:r>
        <w:rPr>
          <w:b/>
          <w:color w:val="006C83"/>
          <w:sz w:val="21"/>
        </w:rPr>
        <w:br/>
      </w:r>
      <w:r>
        <w:rPr>
          <w:i/>
          <w:sz w:val="20"/>
        </w:rPr>
        <w:t>Proyecto: TriageVoz Rural — Pre-triaje asistido por voz y silueta corporal interactiva (PWA)</w:t>
      </w:r>
    </w:p>
    <w:p w14:paraId="21213FD7" w14:textId="77777777" w:rsidR="00985D1B" w:rsidRDefault="00000000">
      <w:r>
        <w:rPr>
          <w:color w:val="C8D7DC"/>
          <w:sz w:val="16"/>
        </w:rPr>
        <w:t>_________________________________________________________________________________</w:t>
      </w:r>
    </w:p>
    <w:p w14:paraId="139AE477" w14:textId="77777777" w:rsidR="00985D1B" w:rsidRDefault="00000000">
      <w:pPr>
        <w:spacing w:before="240" w:after="80"/>
      </w:pPr>
      <w:r>
        <w:rPr>
          <w:rFonts w:ascii="Calibri" w:hAnsi="Calibri"/>
          <w:b/>
          <w:color w:val="0B4C5C"/>
          <w:sz w:val="25"/>
        </w:rPr>
        <w:t>1. Dominio y Requerimientos Asignados</w:t>
      </w:r>
    </w:p>
    <w:p w14:paraId="383B560A" w14:textId="77777777" w:rsidR="00985D1B" w:rsidRDefault="00000000">
      <w:pPr>
        <w:spacing w:after="120"/>
      </w:pPr>
      <w:r>
        <w:rPr>
          <w:sz w:val="20"/>
        </w:rPr>
        <w:t>En esta iteración del proyecto TriageVoz Rural, mi trabajo individual se enfocó en dos componentes de alto impacto en la experiencia de usuario y en la rúbrica oficial de la PC2:</w:t>
      </w:r>
    </w:p>
    <w:p w14:paraId="576088EF" w14:textId="77777777" w:rsidR="00985D1B" w:rsidRDefault="00000000">
      <w:pPr>
        <w:pStyle w:val="Listaconvietas"/>
        <w:spacing w:after="60"/>
      </w:pPr>
      <w:r>
        <w:rPr>
          <w:b/>
          <w:sz w:val="20"/>
        </w:rPr>
        <w:t xml:space="preserve">Silueta Anatómica Bidireccional Frente y Espalda (Mapeo Natural de Don Norman): </w:t>
      </w:r>
      <w:r>
        <w:rPr>
          <w:sz w:val="20"/>
        </w:rPr>
        <w:t>La interfaz inicial contaba únicamente con una silueta frontal, limitando severamente a pacientes rurales con dolencias frecuentes de espalda baja (lumbalgia por faena agrícola), nuca o glúteos. Diseñé e implementé la vista dual Frente/Espalda con selector accesible de pestañas y conmutación semántica automática al dictar o escribir términos dorsales.</w:t>
      </w:r>
    </w:p>
    <w:p w14:paraId="2D7227B8" w14:textId="77777777" w:rsidR="00985D1B" w:rsidRDefault="00000000">
      <w:pPr>
        <w:pStyle w:val="Listaconvietas"/>
        <w:spacing w:after="60"/>
      </w:pPr>
      <w:r>
        <w:rPr>
          <w:b/>
          <w:sz w:val="20"/>
        </w:rPr>
        <w:t xml:space="preserve">Multiusuario con Salas de Teleconsulta Rural (RF-19 y CSCW): </w:t>
      </w:r>
      <w:r>
        <w:rPr>
          <w:sz w:val="20"/>
        </w:rPr>
        <w:t>Sustitución de los códigos hexadecimales aislados de 12 caracteres por la metáfora de Salas de Teleconsulta Compartidas. Se resolvió el problema del 'pantallazo vacío' del médico implementando una bandeja interactiva de salas activas en espera con selección directa a 1 solo clic, reduciendo el costo de interacción y la sobrecarga de memoria de trabajo (Ley de Miller).</w:t>
      </w:r>
    </w:p>
    <w:p w14:paraId="0F6A9118" w14:textId="77777777" w:rsidR="00985D1B" w:rsidRDefault="00000000">
      <w:pPr>
        <w:pStyle w:val="Listaconvietas"/>
        <w:spacing w:after="60"/>
      </w:pPr>
      <w:r>
        <w:rPr>
          <w:b/>
          <w:sz w:val="20"/>
        </w:rPr>
        <w:t xml:space="preserve">Conciencia Situacional y Datos Clínicos Completos: </w:t>
      </w:r>
      <w:r>
        <w:rPr>
          <w:sz w:val="20"/>
        </w:rPr>
        <w:t>Implementación de retroalimentación bidireccional (Workspace Awareness) que actualiza la vista del paciente cuando el médico remoto acusa recibo y emite indicaciones. Enriquecimiento del catálogo de datos simulados en 6 postas rurales con los 6 atributos clínicos completos (Zona, Relato, Inicio, Intensidad, Adicionales y Resumen).</w:t>
      </w:r>
    </w:p>
    <w:p w14:paraId="064CF1A1" w14:textId="77777777" w:rsidR="00985D1B" w:rsidRDefault="00000000">
      <w:pPr>
        <w:spacing w:before="240" w:after="80"/>
      </w:pPr>
      <w:r>
        <w:rPr>
          <w:rFonts w:ascii="Calibri" w:hAnsi="Calibri"/>
          <w:b/>
          <w:color w:val="0B4C5C"/>
          <w:sz w:val="25"/>
        </w:rPr>
        <w:t>2. Aporte Técnico y de Diseño en el Repositorio</w:t>
      </w:r>
    </w:p>
    <w:p w14:paraId="50DE71E6" w14:textId="77777777" w:rsidR="00985D1B" w:rsidRDefault="00000000">
      <w:pPr>
        <w:pStyle w:val="Listaconvietas"/>
        <w:spacing w:after="60"/>
      </w:pPr>
      <w:r>
        <w:rPr>
          <w:b/>
          <w:sz w:val="20"/>
        </w:rPr>
        <w:t xml:space="preserve">Silueta Anatómica Bidireccional (Frontend IHC - public/index.html, public/app.js y public/styles.css): </w:t>
      </w:r>
      <w:r>
        <w:rPr>
          <w:sz w:val="20"/>
        </w:rPr>
        <w:t>Diseño e integración de los dos modelos vectoriales SVG (#frontView y #backView) con pestañas (.bodymap-tabs) con soporte táctil amplio (Ley de Fitts) y atributos ARIA. Implementación de la función switchView() con detección reactiva de palabras clave (espalda, lumbar, nuca, glúteo, tórax, pecho) que rota la silueta automáticamente a la vista correspondiente sin intervención manual del paciente. Compatibilidad visual con estados hover, focus-visible y modo de Alto Contraste (body.high).</w:t>
      </w:r>
    </w:p>
    <w:p w14:paraId="00C4582E" w14:textId="77777777" w:rsidR="00985D1B" w:rsidRDefault="00000000">
      <w:pPr>
        <w:pStyle w:val="Listaconvietas"/>
        <w:spacing w:after="60"/>
      </w:pPr>
      <w:r>
        <w:rPr>
          <w:b/>
          <w:sz w:val="20"/>
        </w:rPr>
        <w:t xml:space="preserve">Bandeja de Salas Activas en Espera (public/index.html, public/app.js): </w:t>
      </w:r>
      <w:r>
        <w:rPr>
          <w:sz w:val="20"/>
        </w:rPr>
        <w:t>Creación del panel interactivo (#roomList) en la vista médica, estructurado en cuadrícula adaptativa (.room-grid) con badges de estado (🟡 En espera de médico vs. 🟢 Atendido / Recibido). Desarrollo de la función loadRooms() con interacción a 1 clic, eliminando la necesidad de transcribir códigos alfanuméricos.</w:t>
      </w:r>
    </w:p>
    <w:p w14:paraId="0777851A" w14:textId="77777777" w:rsidR="00985D1B" w:rsidRDefault="00000000">
      <w:pPr>
        <w:pStyle w:val="Listaconvietas"/>
        <w:spacing w:after="60"/>
      </w:pPr>
      <w:r>
        <w:rPr>
          <w:b/>
          <w:sz w:val="20"/>
        </w:rPr>
        <w:lastRenderedPageBreak/>
        <w:t xml:space="preserve">Backend de salas colaborativas y API REST (server.mjs): </w:t>
      </w:r>
      <w:r>
        <w:rPr>
          <w:sz w:val="20"/>
        </w:rPr>
        <w:t>Endpoint GET /api/rooms para entrega de salas activas ordenadas cronológicamente con estados clínicos. Algoritmo tolerante al prefijo SALA-... en byCode y auto-siembra resiliente de 6 postas rurales.</w:t>
      </w:r>
    </w:p>
    <w:p w14:paraId="0F39E641" w14:textId="77777777" w:rsidR="00985D1B" w:rsidRDefault="00000000">
      <w:pPr>
        <w:pStyle w:val="Listaconvietas"/>
        <w:spacing w:after="60"/>
      </w:pPr>
      <w:r>
        <w:rPr>
          <w:b/>
          <w:sz w:val="20"/>
        </w:rPr>
        <w:t xml:space="preserve">Catálogo completo de datos clínicos ficticios (data/): </w:t>
      </w:r>
      <w:r>
        <w:rPr>
          <w:sz w:val="20"/>
        </w:rPr>
        <w:t>Poblamiento exhaustivo de data/casos-ficticios.json y data/runtime.json con 6 postas rurales peruanas (Huancavelica, Cajatambo, Andahuaylas, Paucartambo, Yauyos, Chumbivilcas) cubriendo todas las regiones corporales con datos completos.</w:t>
      </w:r>
    </w:p>
    <w:p w14:paraId="3B43063F" w14:textId="77777777" w:rsidR="00985D1B" w:rsidRDefault="00000000">
      <w:pPr>
        <w:pStyle w:val="Listaconvietas"/>
        <w:spacing w:after="60"/>
      </w:pPr>
      <w:r>
        <w:rPr>
          <w:b/>
          <w:sz w:val="20"/>
        </w:rPr>
        <w:t xml:space="preserve">Pruebas automatizadas y calidad (tests/app.test.mjs): </w:t>
      </w:r>
      <w:r>
        <w:rPr>
          <w:sz w:val="20"/>
        </w:rPr>
        <w:t>Implementación de tests unitarios para la silueta bidireccional (test 5) y las salas colaborativas (test 7). Suite de 12 pruebas pasando al 100% (12 pass, 0 fail) y validada en GitHub Actions con check verde (✓ 1/1).</w:t>
      </w:r>
    </w:p>
    <w:p w14:paraId="15536AAE" w14:textId="77777777" w:rsidR="00985D1B" w:rsidRDefault="00000000">
      <w:pPr>
        <w:spacing w:before="240" w:after="80"/>
      </w:pPr>
      <w:r>
        <w:rPr>
          <w:rFonts w:ascii="Calibri" w:hAnsi="Calibri"/>
          <w:b/>
          <w:color w:val="0B4C5C"/>
          <w:sz w:val="25"/>
        </w:rPr>
        <w:t>3. Evidencias Verificables en el Repositorio</w:t>
      </w:r>
    </w:p>
    <w:tbl>
      <w:tblPr>
        <w:tblW w:w="0" w:type="auto"/>
        <w:jc w:val="center"/>
        <w:tblLayout w:type="fixed"/>
        <w:tblLook w:val="04A0" w:firstRow="1" w:lastRow="0" w:firstColumn="1" w:lastColumn="0" w:noHBand="0" w:noVBand="1"/>
      </w:tblPr>
      <w:tblGrid>
        <w:gridCol w:w="2592"/>
        <w:gridCol w:w="2016"/>
        <w:gridCol w:w="4752"/>
      </w:tblGrid>
      <w:tr w:rsidR="00985D1B" w14:paraId="66D8CEC2" w14:textId="77777777">
        <w:trPr>
          <w:jc w:val="center"/>
        </w:trPr>
        <w:tc>
          <w:tcPr>
            <w:tcW w:w="2592" w:type="dxa"/>
            <w:shd w:val="clear" w:color="auto" w:fill="006C83"/>
          </w:tcPr>
          <w:p w14:paraId="3C305174" w14:textId="77777777" w:rsidR="00985D1B" w:rsidRDefault="00000000">
            <w:pPr>
              <w:spacing w:before="80" w:after="80"/>
            </w:pPr>
            <w:r>
              <w:rPr>
                <w:b/>
                <w:color w:val="FFFFFF"/>
                <w:sz w:val="19"/>
              </w:rPr>
              <w:t>Artefacto / Archivo</w:t>
            </w:r>
          </w:p>
        </w:tc>
        <w:tc>
          <w:tcPr>
            <w:tcW w:w="2016" w:type="dxa"/>
            <w:shd w:val="clear" w:color="auto" w:fill="006C83"/>
          </w:tcPr>
          <w:p w14:paraId="24B1AA7B" w14:textId="77777777" w:rsidR="00985D1B" w:rsidRDefault="00000000">
            <w:pPr>
              <w:spacing w:before="80" w:after="80"/>
            </w:pPr>
            <w:r>
              <w:rPr>
                <w:b/>
                <w:color w:val="FFFFFF"/>
                <w:sz w:val="19"/>
              </w:rPr>
              <w:t>Módulo / Tipo</w:t>
            </w:r>
          </w:p>
        </w:tc>
        <w:tc>
          <w:tcPr>
            <w:tcW w:w="4752" w:type="dxa"/>
            <w:shd w:val="clear" w:color="auto" w:fill="006C83"/>
          </w:tcPr>
          <w:p w14:paraId="4EE5F445" w14:textId="77777777" w:rsidR="00985D1B" w:rsidRDefault="00000000">
            <w:pPr>
              <w:spacing w:before="80" w:after="80"/>
            </w:pPr>
            <w:r>
              <w:rPr>
                <w:b/>
                <w:color w:val="FFFFFF"/>
                <w:sz w:val="19"/>
              </w:rPr>
              <w:t>Aporte Específico Verificable</w:t>
            </w:r>
          </w:p>
        </w:tc>
      </w:tr>
      <w:tr w:rsidR="00985D1B" w14:paraId="067E7BDA" w14:textId="77777777">
        <w:trPr>
          <w:jc w:val="center"/>
        </w:trPr>
        <w:tc>
          <w:tcPr>
            <w:tcW w:w="2592" w:type="dxa"/>
            <w:shd w:val="clear" w:color="auto" w:fill="FFFFFF"/>
          </w:tcPr>
          <w:p w14:paraId="2680E48F" w14:textId="77777777" w:rsidR="00985D1B" w:rsidRDefault="00000000">
            <w:pPr>
              <w:spacing w:before="60" w:after="60"/>
            </w:pPr>
            <w:r>
              <w:rPr>
                <w:b/>
                <w:sz w:val="17"/>
              </w:rPr>
              <w:t>public/index.html</w:t>
            </w:r>
          </w:p>
        </w:tc>
        <w:tc>
          <w:tcPr>
            <w:tcW w:w="2016" w:type="dxa"/>
            <w:shd w:val="clear" w:color="auto" w:fill="FFFFFF"/>
          </w:tcPr>
          <w:p w14:paraId="39CD13FF" w14:textId="77777777" w:rsidR="00985D1B" w:rsidRDefault="00000000">
            <w:pPr>
              <w:spacing w:before="60" w:after="60"/>
            </w:pPr>
            <w:r>
              <w:rPr>
                <w:sz w:val="17"/>
              </w:rPr>
              <w:t>Frontend / UI</w:t>
            </w:r>
          </w:p>
        </w:tc>
        <w:tc>
          <w:tcPr>
            <w:tcW w:w="4752" w:type="dxa"/>
            <w:shd w:val="clear" w:color="auto" w:fill="FFFFFF"/>
          </w:tcPr>
          <w:p w14:paraId="0B84F382" w14:textId="77777777" w:rsidR="00985D1B" w:rsidRDefault="00000000">
            <w:pPr>
              <w:spacing w:before="60" w:after="60"/>
            </w:pPr>
            <w:r>
              <w:rPr>
                <w:sz w:val="17"/>
              </w:rPr>
              <w:t>Silueta dual (#frontView y #backView), pestañas Frente/Espalda (#tabFront, #tabBack) y bandeja de salas (#roomList).</w:t>
            </w:r>
          </w:p>
        </w:tc>
      </w:tr>
      <w:tr w:rsidR="00985D1B" w14:paraId="5EF2CF0F" w14:textId="77777777">
        <w:trPr>
          <w:jc w:val="center"/>
        </w:trPr>
        <w:tc>
          <w:tcPr>
            <w:tcW w:w="2592" w:type="dxa"/>
            <w:shd w:val="clear" w:color="auto" w:fill="F5FAFB"/>
          </w:tcPr>
          <w:p w14:paraId="3D620175" w14:textId="77777777" w:rsidR="00985D1B" w:rsidRDefault="00000000">
            <w:pPr>
              <w:spacing w:before="60" w:after="60"/>
            </w:pPr>
            <w:r>
              <w:rPr>
                <w:b/>
                <w:sz w:val="17"/>
              </w:rPr>
              <w:t>public/app.js</w:t>
            </w:r>
          </w:p>
        </w:tc>
        <w:tc>
          <w:tcPr>
            <w:tcW w:w="2016" w:type="dxa"/>
            <w:shd w:val="clear" w:color="auto" w:fill="F5FAFB"/>
          </w:tcPr>
          <w:p w14:paraId="73DEC63C" w14:textId="77777777" w:rsidR="00985D1B" w:rsidRDefault="00000000">
            <w:pPr>
              <w:spacing w:before="60" w:after="60"/>
            </w:pPr>
            <w:r>
              <w:rPr>
                <w:sz w:val="17"/>
              </w:rPr>
              <w:t>Lógica IHC</w:t>
            </w:r>
          </w:p>
        </w:tc>
        <w:tc>
          <w:tcPr>
            <w:tcW w:w="4752" w:type="dxa"/>
            <w:shd w:val="clear" w:color="auto" w:fill="F5FAFB"/>
          </w:tcPr>
          <w:p w14:paraId="4467D8BE" w14:textId="77777777" w:rsidR="00985D1B" w:rsidRDefault="00000000">
            <w:pPr>
              <w:spacing w:before="60" w:after="60"/>
            </w:pPr>
            <w:r>
              <w:rPr>
                <w:sz w:val="17"/>
              </w:rPr>
              <w:t>Función switchView(), conmutación semántica por palabras clave, función loadRooms() y selección a 1 solo clic.</w:t>
            </w:r>
          </w:p>
        </w:tc>
      </w:tr>
      <w:tr w:rsidR="00985D1B" w14:paraId="4979F4C9" w14:textId="77777777">
        <w:trPr>
          <w:jc w:val="center"/>
        </w:trPr>
        <w:tc>
          <w:tcPr>
            <w:tcW w:w="2592" w:type="dxa"/>
            <w:shd w:val="clear" w:color="auto" w:fill="FFFFFF"/>
          </w:tcPr>
          <w:p w14:paraId="23FE4AB7" w14:textId="77777777" w:rsidR="00985D1B" w:rsidRDefault="00000000">
            <w:pPr>
              <w:spacing w:before="60" w:after="60"/>
            </w:pPr>
            <w:r>
              <w:rPr>
                <w:b/>
                <w:sz w:val="17"/>
              </w:rPr>
              <w:t>public/styles.css</w:t>
            </w:r>
          </w:p>
        </w:tc>
        <w:tc>
          <w:tcPr>
            <w:tcW w:w="2016" w:type="dxa"/>
            <w:shd w:val="clear" w:color="auto" w:fill="FFFFFF"/>
          </w:tcPr>
          <w:p w14:paraId="6D852745" w14:textId="77777777" w:rsidR="00985D1B" w:rsidRDefault="00000000">
            <w:pPr>
              <w:spacing w:before="60" w:after="60"/>
            </w:pPr>
            <w:r>
              <w:rPr>
                <w:sz w:val="17"/>
              </w:rPr>
              <w:t>Diseño / CSS</w:t>
            </w:r>
          </w:p>
        </w:tc>
        <w:tc>
          <w:tcPr>
            <w:tcW w:w="4752" w:type="dxa"/>
            <w:shd w:val="clear" w:color="auto" w:fill="FFFFFF"/>
          </w:tcPr>
          <w:p w14:paraId="28406546" w14:textId="77777777" w:rsidR="00985D1B" w:rsidRDefault="00000000">
            <w:pPr>
              <w:spacing w:before="60" w:after="60"/>
            </w:pPr>
            <w:r>
              <w:rPr>
                <w:sz w:val="17"/>
              </w:rPr>
              <w:t>Estilos para pestañas corporales (.bodymap-tabs), silueta dorsal, cuadrícula de salas (.room-grid) y body.high.</w:t>
            </w:r>
          </w:p>
        </w:tc>
      </w:tr>
      <w:tr w:rsidR="00985D1B" w14:paraId="1E0E1618" w14:textId="77777777">
        <w:trPr>
          <w:jc w:val="center"/>
        </w:trPr>
        <w:tc>
          <w:tcPr>
            <w:tcW w:w="2592" w:type="dxa"/>
            <w:shd w:val="clear" w:color="auto" w:fill="F5FAFB"/>
          </w:tcPr>
          <w:p w14:paraId="66B0B25C" w14:textId="77777777" w:rsidR="00985D1B" w:rsidRDefault="00000000">
            <w:pPr>
              <w:spacing w:before="60" w:after="60"/>
            </w:pPr>
            <w:r>
              <w:rPr>
                <w:b/>
                <w:sz w:val="17"/>
              </w:rPr>
              <w:t>server.mjs</w:t>
            </w:r>
          </w:p>
        </w:tc>
        <w:tc>
          <w:tcPr>
            <w:tcW w:w="2016" w:type="dxa"/>
            <w:shd w:val="clear" w:color="auto" w:fill="F5FAFB"/>
          </w:tcPr>
          <w:p w14:paraId="23B7707B" w14:textId="77777777" w:rsidR="00985D1B" w:rsidRDefault="00000000">
            <w:pPr>
              <w:spacing w:before="60" w:after="60"/>
            </w:pPr>
            <w:r>
              <w:rPr>
                <w:sz w:val="17"/>
              </w:rPr>
              <w:t>Backend / API</w:t>
            </w:r>
          </w:p>
        </w:tc>
        <w:tc>
          <w:tcPr>
            <w:tcW w:w="4752" w:type="dxa"/>
            <w:shd w:val="clear" w:color="auto" w:fill="F5FAFB"/>
          </w:tcPr>
          <w:p w14:paraId="4F62D83A" w14:textId="77777777" w:rsidR="00985D1B" w:rsidRDefault="00000000">
            <w:pPr>
              <w:spacing w:before="60" w:after="60"/>
            </w:pPr>
            <w:r>
              <w:rPr>
                <w:sz w:val="17"/>
              </w:rPr>
              <w:t>Endpoint GET /api/rooms, búsqueda tolerante a prefijo SALA- y auto-siembra de 6 postas rurales.</w:t>
            </w:r>
          </w:p>
        </w:tc>
      </w:tr>
      <w:tr w:rsidR="00985D1B" w14:paraId="1767CC63" w14:textId="77777777">
        <w:trPr>
          <w:jc w:val="center"/>
        </w:trPr>
        <w:tc>
          <w:tcPr>
            <w:tcW w:w="2592" w:type="dxa"/>
            <w:shd w:val="clear" w:color="auto" w:fill="FFFFFF"/>
          </w:tcPr>
          <w:p w14:paraId="1D725536" w14:textId="77777777" w:rsidR="00985D1B" w:rsidRDefault="00000000">
            <w:pPr>
              <w:spacing w:before="60" w:after="60"/>
            </w:pPr>
            <w:r>
              <w:rPr>
                <w:b/>
                <w:sz w:val="17"/>
              </w:rPr>
              <w:t>data/casos-ficticios.json</w:t>
            </w:r>
          </w:p>
        </w:tc>
        <w:tc>
          <w:tcPr>
            <w:tcW w:w="2016" w:type="dxa"/>
            <w:shd w:val="clear" w:color="auto" w:fill="FFFFFF"/>
          </w:tcPr>
          <w:p w14:paraId="463BBED3" w14:textId="77777777" w:rsidR="00985D1B" w:rsidRDefault="00000000">
            <w:pPr>
              <w:spacing w:before="60" w:after="60"/>
            </w:pPr>
            <w:r>
              <w:rPr>
                <w:sz w:val="17"/>
              </w:rPr>
              <w:t>Datos simulados</w:t>
            </w:r>
          </w:p>
        </w:tc>
        <w:tc>
          <w:tcPr>
            <w:tcW w:w="4752" w:type="dxa"/>
            <w:shd w:val="clear" w:color="auto" w:fill="FFFFFF"/>
          </w:tcPr>
          <w:p w14:paraId="7D14860E" w14:textId="77777777" w:rsidR="00985D1B" w:rsidRDefault="00000000">
            <w:pPr>
              <w:spacing w:before="60" w:after="60"/>
            </w:pPr>
            <w:r>
              <w:rPr>
                <w:sz w:val="17"/>
              </w:rPr>
              <w:t>Catálogo de 6 postas rurales con datos clínicos 100% completos en todas las regiones corporales.</w:t>
            </w:r>
          </w:p>
        </w:tc>
      </w:tr>
      <w:tr w:rsidR="00985D1B" w14:paraId="41824D68" w14:textId="77777777">
        <w:trPr>
          <w:jc w:val="center"/>
        </w:trPr>
        <w:tc>
          <w:tcPr>
            <w:tcW w:w="2592" w:type="dxa"/>
            <w:shd w:val="clear" w:color="auto" w:fill="F5FAFB"/>
          </w:tcPr>
          <w:p w14:paraId="0418AAD7" w14:textId="77777777" w:rsidR="00985D1B" w:rsidRDefault="00000000">
            <w:pPr>
              <w:spacing w:before="60" w:after="60"/>
            </w:pPr>
            <w:r>
              <w:rPr>
                <w:b/>
                <w:sz w:val="17"/>
              </w:rPr>
              <w:t>data/runtime.json</w:t>
            </w:r>
          </w:p>
        </w:tc>
        <w:tc>
          <w:tcPr>
            <w:tcW w:w="2016" w:type="dxa"/>
            <w:shd w:val="clear" w:color="auto" w:fill="F5FAFB"/>
          </w:tcPr>
          <w:p w14:paraId="415EA869" w14:textId="77777777" w:rsidR="00985D1B" w:rsidRDefault="00000000">
            <w:pPr>
              <w:spacing w:before="60" w:after="60"/>
            </w:pPr>
            <w:r>
              <w:rPr>
                <w:sz w:val="17"/>
              </w:rPr>
              <w:t>Persistencia</w:t>
            </w:r>
          </w:p>
        </w:tc>
        <w:tc>
          <w:tcPr>
            <w:tcW w:w="4752" w:type="dxa"/>
            <w:shd w:val="clear" w:color="auto" w:fill="F5FAFB"/>
          </w:tcPr>
          <w:p w14:paraId="676FA7B9" w14:textId="77777777" w:rsidR="00985D1B" w:rsidRDefault="00000000">
            <w:pPr>
              <w:spacing w:before="60" w:after="60"/>
            </w:pPr>
            <w:r>
              <w:rPr>
                <w:sz w:val="17"/>
              </w:rPr>
              <w:t>Salas activas y atendidas con respuestas médicas simuladas, sin campos vacíos.</w:t>
            </w:r>
          </w:p>
        </w:tc>
      </w:tr>
      <w:tr w:rsidR="00985D1B" w14:paraId="38EC4124" w14:textId="77777777">
        <w:trPr>
          <w:jc w:val="center"/>
        </w:trPr>
        <w:tc>
          <w:tcPr>
            <w:tcW w:w="2592" w:type="dxa"/>
            <w:shd w:val="clear" w:color="auto" w:fill="FFFFFF"/>
          </w:tcPr>
          <w:p w14:paraId="3EE06985" w14:textId="77777777" w:rsidR="00985D1B" w:rsidRDefault="00000000">
            <w:pPr>
              <w:spacing w:before="60" w:after="60"/>
            </w:pPr>
            <w:r>
              <w:rPr>
                <w:b/>
                <w:sz w:val="17"/>
              </w:rPr>
              <w:t>tests/app.test.mjs</w:t>
            </w:r>
          </w:p>
        </w:tc>
        <w:tc>
          <w:tcPr>
            <w:tcW w:w="2016" w:type="dxa"/>
            <w:shd w:val="clear" w:color="auto" w:fill="FFFFFF"/>
          </w:tcPr>
          <w:p w14:paraId="423CEBE2" w14:textId="77777777" w:rsidR="00985D1B" w:rsidRDefault="00000000">
            <w:pPr>
              <w:spacing w:before="60" w:after="60"/>
            </w:pPr>
            <w:r>
              <w:rPr>
                <w:sz w:val="17"/>
              </w:rPr>
              <w:t>Pruebas</w:t>
            </w:r>
          </w:p>
        </w:tc>
        <w:tc>
          <w:tcPr>
            <w:tcW w:w="4752" w:type="dxa"/>
            <w:shd w:val="clear" w:color="auto" w:fill="FFFFFF"/>
          </w:tcPr>
          <w:p w14:paraId="36320B67" w14:textId="77777777" w:rsidR="00985D1B" w:rsidRDefault="00000000">
            <w:pPr>
              <w:spacing w:before="60" w:after="60"/>
            </w:pPr>
            <w:r>
              <w:rPr>
                <w:sz w:val="17"/>
              </w:rPr>
              <w:t>Tests para silueta anterior/posterior y salas colaborativas; 12/12 pruebas automáticas en verde.</w:t>
            </w:r>
          </w:p>
        </w:tc>
      </w:tr>
      <w:tr w:rsidR="00985D1B" w14:paraId="0DDDEE88" w14:textId="77777777">
        <w:trPr>
          <w:jc w:val="center"/>
        </w:trPr>
        <w:tc>
          <w:tcPr>
            <w:tcW w:w="2592" w:type="dxa"/>
            <w:shd w:val="clear" w:color="auto" w:fill="F5FAFB"/>
          </w:tcPr>
          <w:p w14:paraId="5A8BC9EF" w14:textId="77777777" w:rsidR="00985D1B" w:rsidRDefault="00000000">
            <w:pPr>
              <w:spacing w:before="60" w:after="60"/>
            </w:pPr>
            <w:r>
              <w:rPr>
                <w:b/>
                <w:sz w:val="17"/>
              </w:rPr>
              <w:t>docs/05-trazabilidad.csv</w:t>
            </w:r>
          </w:p>
        </w:tc>
        <w:tc>
          <w:tcPr>
            <w:tcW w:w="2016" w:type="dxa"/>
            <w:shd w:val="clear" w:color="auto" w:fill="F5FAFB"/>
          </w:tcPr>
          <w:p w14:paraId="3FCEB715" w14:textId="77777777" w:rsidR="00985D1B" w:rsidRDefault="00000000">
            <w:pPr>
              <w:spacing w:before="60" w:after="60"/>
            </w:pPr>
            <w:r>
              <w:rPr>
                <w:sz w:val="17"/>
              </w:rPr>
              <w:t>Trazabilidad</w:t>
            </w:r>
          </w:p>
        </w:tc>
        <w:tc>
          <w:tcPr>
            <w:tcW w:w="4752" w:type="dxa"/>
            <w:shd w:val="clear" w:color="auto" w:fill="F5FAFB"/>
          </w:tcPr>
          <w:p w14:paraId="785271A0" w14:textId="77777777" w:rsidR="00985D1B" w:rsidRDefault="00000000">
            <w:pPr>
              <w:spacing w:before="60" w:after="60"/>
            </w:pPr>
            <w:r>
              <w:rPr>
                <w:sz w:val="17"/>
              </w:rPr>
              <w:t>Actualización de trazabilidad para RF-04 (Silueta táctil) y RF-19 (Salas colaborativas).</w:t>
            </w:r>
          </w:p>
        </w:tc>
      </w:tr>
      <w:tr w:rsidR="00985D1B" w14:paraId="2A149F24" w14:textId="77777777">
        <w:trPr>
          <w:jc w:val="center"/>
        </w:trPr>
        <w:tc>
          <w:tcPr>
            <w:tcW w:w="2592" w:type="dxa"/>
            <w:shd w:val="clear" w:color="auto" w:fill="FFFFFF"/>
          </w:tcPr>
          <w:p w14:paraId="16147DFF" w14:textId="77777777" w:rsidR="00985D1B" w:rsidRDefault="00000000">
            <w:pPr>
              <w:spacing w:before="60" w:after="60"/>
            </w:pPr>
            <w:r>
              <w:rPr>
                <w:b/>
                <w:sz w:val="17"/>
              </w:rPr>
              <w:t>docs/10-checklist-PC2.md</w:t>
            </w:r>
          </w:p>
        </w:tc>
        <w:tc>
          <w:tcPr>
            <w:tcW w:w="2016" w:type="dxa"/>
            <w:shd w:val="clear" w:color="auto" w:fill="FFFFFF"/>
          </w:tcPr>
          <w:p w14:paraId="2B326805" w14:textId="77777777" w:rsidR="00985D1B" w:rsidRDefault="00000000">
            <w:pPr>
              <w:spacing w:before="60" w:after="60"/>
            </w:pPr>
            <w:r>
              <w:rPr>
                <w:sz w:val="17"/>
              </w:rPr>
              <w:t>Checklist PC2</w:t>
            </w:r>
          </w:p>
        </w:tc>
        <w:tc>
          <w:tcPr>
            <w:tcW w:w="4752" w:type="dxa"/>
            <w:shd w:val="clear" w:color="auto" w:fill="FFFFFF"/>
          </w:tcPr>
          <w:p w14:paraId="47CD4D20" w14:textId="77777777" w:rsidR="00985D1B" w:rsidRDefault="00000000">
            <w:pPr>
              <w:spacing w:before="60" w:after="60"/>
            </w:pPr>
            <w:r>
              <w:rPr>
                <w:sz w:val="17"/>
              </w:rPr>
              <w:t>Declaración formal de silueta corporal integrada y colaboración multiusuario implementada.</w:t>
            </w:r>
          </w:p>
        </w:tc>
      </w:tr>
      <w:tr w:rsidR="00985D1B" w14:paraId="34F8E0EA" w14:textId="77777777">
        <w:trPr>
          <w:jc w:val="center"/>
        </w:trPr>
        <w:tc>
          <w:tcPr>
            <w:tcW w:w="2592" w:type="dxa"/>
            <w:shd w:val="clear" w:color="auto" w:fill="F5FAFB"/>
          </w:tcPr>
          <w:p w14:paraId="7429EBBC" w14:textId="77777777" w:rsidR="00985D1B" w:rsidRDefault="00000000">
            <w:pPr>
              <w:spacing w:before="60" w:after="60"/>
            </w:pPr>
            <w:r>
              <w:rPr>
                <w:b/>
                <w:sz w:val="17"/>
              </w:rPr>
              <w:t>GitHub Commits</w:t>
            </w:r>
          </w:p>
        </w:tc>
        <w:tc>
          <w:tcPr>
            <w:tcW w:w="2016" w:type="dxa"/>
            <w:shd w:val="clear" w:color="auto" w:fill="F5FAFB"/>
          </w:tcPr>
          <w:p w14:paraId="07458C54" w14:textId="77777777" w:rsidR="00985D1B" w:rsidRDefault="00000000">
            <w:pPr>
              <w:spacing w:before="60" w:after="60"/>
            </w:pPr>
            <w:r>
              <w:rPr>
                <w:sz w:val="17"/>
              </w:rPr>
              <w:t>CI/CD Git</w:t>
            </w:r>
          </w:p>
        </w:tc>
        <w:tc>
          <w:tcPr>
            <w:tcW w:w="4752" w:type="dxa"/>
            <w:shd w:val="clear" w:color="auto" w:fill="F5FAFB"/>
          </w:tcPr>
          <w:p w14:paraId="12251DE7" w14:textId="77777777" w:rsidR="00985D1B" w:rsidRDefault="00000000">
            <w:pPr>
              <w:spacing w:before="60" w:after="60"/>
            </w:pPr>
            <w:r>
              <w:rPr>
                <w:sz w:val="17"/>
              </w:rPr>
              <w:t>Commits firmados por pumayauli con validación de integración continua aprobada (✓ 1/1).</w:t>
            </w:r>
          </w:p>
        </w:tc>
      </w:tr>
    </w:tbl>
    <w:p w14:paraId="5018B98C" w14:textId="32D0BCE8" w:rsidR="00985D1B" w:rsidRDefault="00985D1B" w:rsidP="006773E6">
      <w:pPr>
        <w:pStyle w:val="Listaconvietas"/>
        <w:numPr>
          <w:ilvl w:val="0"/>
          <w:numId w:val="0"/>
        </w:numPr>
        <w:spacing w:after="60"/>
        <w:ind w:left="360"/>
      </w:pPr>
    </w:p>
    <w:sectPr w:rsidR="00985D1B" w:rsidSect="00034616">
      <w:footerReference w:type="default" r:id="rId8"/>
      <w:head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2EA3" w14:textId="77777777" w:rsidR="00012368" w:rsidRDefault="00012368">
      <w:pPr>
        <w:spacing w:after="0" w:line="240" w:lineRule="auto"/>
      </w:pPr>
      <w:r>
        <w:separator/>
      </w:r>
    </w:p>
  </w:endnote>
  <w:endnote w:type="continuationSeparator" w:id="0">
    <w:p w14:paraId="739CB0A7" w14:textId="77777777" w:rsidR="00012368" w:rsidRDefault="00012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6F55" w14:textId="77777777" w:rsidR="00985D1B" w:rsidRDefault="00000000">
    <w:pPr>
      <w:pStyle w:val="Piedepgina"/>
      <w:jc w:val="right"/>
    </w:pPr>
    <w:r>
      <w:rPr>
        <w:rFonts w:ascii="Calibri" w:hAnsi="Calibri"/>
        <w:color w:val="787878"/>
        <w:sz w:val="17"/>
      </w:rPr>
      <w:t>CC451 IHC · PC2 2026-II · Grupo 10: Pumayauli Evangelista, Bryan José (20212209E)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2C1D3" w14:textId="77777777" w:rsidR="00012368" w:rsidRDefault="00012368">
      <w:pPr>
        <w:spacing w:after="0" w:line="240" w:lineRule="auto"/>
      </w:pPr>
      <w:r>
        <w:separator/>
      </w:r>
    </w:p>
  </w:footnote>
  <w:footnote w:type="continuationSeparator" w:id="0">
    <w:p w14:paraId="00D486CC" w14:textId="77777777" w:rsidR="00012368" w:rsidRDefault="0001236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49320918">
    <w:abstractNumId w:val="8"/>
  </w:num>
  <w:num w:numId="2" w16cid:durableId="882256184">
    <w:abstractNumId w:val="6"/>
  </w:num>
  <w:num w:numId="3" w16cid:durableId="149366048">
    <w:abstractNumId w:val="5"/>
  </w:num>
  <w:num w:numId="4" w16cid:durableId="1296330370">
    <w:abstractNumId w:val="4"/>
  </w:num>
  <w:num w:numId="5" w16cid:durableId="1692949743">
    <w:abstractNumId w:val="7"/>
  </w:num>
  <w:num w:numId="6" w16cid:durableId="780338912">
    <w:abstractNumId w:val="3"/>
  </w:num>
  <w:num w:numId="7" w16cid:durableId="1414426539">
    <w:abstractNumId w:val="2"/>
  </w:num>
  <w:num w:numId="8" w16cid:durableId="2086292977">
    <w:abstractNumId w:val="1"/>
  </w:num>
  <w:num w:numId="9" w16cid:durableId="560025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368"/>
    <w:rsid w:val="00034616"/>
    <w:rsid w:val="0006063C"/>
    <w:rsid w:val="0015074B"/>
    <w:rsid w:val="0029639D"/>
    <w:rsid w:val="00326F90"/>
    <w:rsid w:val="006773E6"/>
    <w:rsid w:val="008261E9"/>
    <w:rsid w:val="00985D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0B154"/>
  <w14:defaultImageDpi w14:val="300"/>
  <w15:docId w15:val="{B3E800DF-266A-453F-B959-BC3557C3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808</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Aporte Personal PC2 CC451 — Bryan Pumayauli — Grupo 10</dc:title>
  <dc:subject/>
  <dc:creator>Pumayauli Evangelista, Bryan José (20212209E)</dc:creator>
  <cp:keywords/>
  <dc:description>generated by python-docx</dc:description>
  <cp:lastModifiedBy>bryan jose pumayauli evangelista</cp:lastModifiedBy>
  <cp:revision>2</cp:revision>
  <dcterms:created xsi:type="dcterms:W3CDTF">2013-12-23T23:15:00Z</dcterms:created>
  <dcterms:modified xsi:type="dcterms:W3CDTF">2026-10-14T18:02:00Z</dcterms:modified>
  <cp:category/>
</cp:coreProperties>
</file>