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D2525" w14:textId="02C7FE1F"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2CB06147" w14:textId="0B8BDA2E" w:rsidR="00F762C0" w:rsidRDefault="00F762C0">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Analyzing Crude Oil Price Influence on Refined Fuel Markets</w:t>
      </w:r>
    </w:p>
    <w:p w14:paraId="7C27C749" w14:textId="03569C21" w:rsidR="00F762C0" w:rsidRDefault="00F762C0">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Trent Cooper II, A</w:t>
      </w:r>
    </w:p>
    <w:p w14:paraId="7AAD2532" w14:textId="0F3EED71"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pPr>
        <w:rPr>
          <w:rStyle w:val="Hyperlink"/>
          <w:noProof/>
        </w:rPr>
      </w:pPr>
      <w:r>
        <w:rPr>
          <w:rStyle w:val="Hyperlink"/>
          <w:b/>
          <w:bCs/>
          <w:noProof/>
        </w:rPr>
        <w:lastRenderedPageBreak/>
        <w:br w:type="page"/>
      </w:r>
    </w:p>
    <w:sdt>
      <w:sdtPr>
        <w:rPr>
          <w:rFonts w:ascii="Times New Roman" w:eastAsia="Times New Roman" w:hAnsi="Times New Roman" w:cs="Times New Roman"/>
          <w:b w:val="0"/>
          <w:bCs w:val="0"/>
          <w:color w:val="auto"/>
          <w:sz w:val="22"/>
          <w:szCs w:val="22"/>
          <w:lang w:eastAsia="en-US"/>
        </w:rPr>
        <w:id w:val="2037253373"/>
        <w:docPartObj>
          <w:docPartGallery w:val="Table of Contents"/>
          <w:docPartUnique/>
        </w:docPartObj>
      </w:sdtPr>
      <w:sdtContent>
        <w:p w14:paraId="03C83DA7" w14:textId="2F46286E" w:rsidR="0086098F" w:rsidRDefault="0086098F" w:rsidP="00193B44">
          <w:pPr>
            <w:pStyle w:val="TOCHeading"/>
          </w:pPr>
          <w:r>
            <w:t>Table of Contents</w:t>
          </w:r>
        </w:p>
        <w:p w14:paraId="49619C00" w14:textId="76541974" w:rsidR="00733832" w:rsidRDefault="00DC5957">
          <w:pPr>
            <w:pStyle w:val="TOC1"/>
            <w:rPr>
              <w:rFonts w:asciiTheme="minorHAnsi" w:eastAsiaTheme="minorEastAsia" w:hAnsiTheme="minorHAnsi" w:cstheme="minorBidi"/>
              <w:noProof/>
              <w:kern w:val="2"/>
              <w:sz w:val="24"/>
              <w:szCs w:val="24"/>
              <w14:ligatures w14:val="standardContextual"/>
            </w:rPr>
          </w:pPr>
          <w:r>
            <w:fldChar w:fldCharType="begin"/>
          </w:r>
          <w:r w:rsidR="00567DDE">
            <w:instrText>TOC \o "1-3" \h \z \u</w:instrText>
          </w:r>
          <w:r>
            <w:fldChar w:fldCharType="separate"/>
          </w:r>
          <w:hyperlink w:anchor="_Toc204396383" w:history="1">
            <w:r w:rsidR="00733832" w:rsidRPr="009F2EC3">
              <w:rPr>
                <w:rStyle w:val="Hyperlink"/>
                <w:noProof/>
              </w:rPr>
              <w:t>A. Project Highlights</w:t>
            </w:r>
            <w:r w:rsidR="00733832">
              <w:rPr>
                <w:noProof/>
                <w:webHidden/>
              </w:rPr>
              <w:tab/>
            </w:r>
            <w:r w:rsidR="00733832">
              <w:rPr>
                <w:noProof/>
                <w:webHidden/>
              </w:rPr>
              <w:fldChar w:fldCharType="begin"/>
            </w:r>
            <w:r w:rsidR="00733832">
              <w:rPr>
                <w:noProof/>
                <w:webHidden/>
              </w:rPr>
              <w:instrText xml:space="preserve"> PAGEREF _Toc204396383 \h </w:instrText>
            </w:r>
            <w:r w:rsidR="00733832">
              <w:rPr>
                <w:noProof/>
                <w:webHidden/>
              </w:rPr>
            </w:r>
            <w:r w:rsidR="00733832">
              <w:rPr>
                <w:noProof/>
                <w:webHidden/>
              </w:rPr>
              <w:fldChar w:fldCharType="separate"/>
            </w:r>
            <w:r w:rsidR="00733832">
              <w:rPr>
                <w:noProof/>
                <w:webHidden/>
              </w:rPr>
              <w:t>4</w:t>
            </w:r>
            <w:r w:rsidR="00733832">
              <w:rPr>
                <w:noProof/>
                <w:webHidden/>
              </w:rPr>
              <w:fldChar w:fldCharType="end"/>
            </w:r>
          </w:hyperlink>
        </w:p>
        <w:p w14:paraId="40AA8E62" w14:textId="1974DE87" w:rsidR="00733832" w:rsidRDefault="00733832">
          <w:pPr>
            <w:pStyle w:val="TOC1"/>
            <w:rPr>
              <w:rFonts w:asciiTheme="minorHAnsi" w:eastAsiaTheme="minorEastAsia" w:hAnsiTheme="minorHAnsi" w:cstheme="minorBidi"/>
              <w:noProof/>
              <w:kern w:val="2"/>
              <w:sz w:val="24"/>
              <w:szCs w:val="24"/>
              <w14:ligatures w14:val="standardContextual"/>
            </w:rPr>
          </w:pPr>
          <w:hyperlink w:anchor="_Toc204396384" w:history="1">
            <w:r w:rsidRPr="009F2EC3">
              <w:rPr>
                <w:rStyle w:val="Hyperlink"/>
                <w:noProof/>
              </w:rPr>
              <w:t>B. Project Execution</w:t>
            </w:r>
            <w:r>
              <w:rPr>
                <w:noProof/>
                <w:webHidden/>
              </w:rPr>
              <w:tab/>
            </w:r>
            <w:r>
              <w:rPr>
                <w:noProof/>
                <w:webHidden/>
              </w:rPr>
              <w:fldChar w:fldCharType="begin"/>
            </w:r>
            <w:r>
              <w:rPr>
                <w:noProof/>
                <w:webHidden/>
              </w:rPr>
              <w:instrText xml:space="preserve"> PAGEREF _Toc204396384 \h </w:instrText>
            </w:r>
            <w:r>
              <w:rPr>
                <w:noProof/>
                <w:webHidden/>
              </w:rPr>
            </w:r>
            <w:r>
              <w:rPr>
                <w:noProof/>
                <w:webHidden/>
              </w:rPr>
              <w:fldChar w:fldCharType="separate"/>
            </w:r>
            <w:r>
              <w:rPr>
                <w:noProof/>
                <w:webHidden/>
              </w:rPr>
              <w:t>4</w:t>
            </w:r>
            <w:r>
              <w:rPr>
                <w:noProof/>
                <w:webHidden/>
              </w:rPr>
              <w:fldChar w:fldCharType="end"/>
            </w:r>
          </w:hyperlink>
        </w:p>
        <w:p w14:paraId="6A250C08" w14:textId="42E50387" w:rsidR="00733832" w:rsidRDefault="00733832">
          <w:pPr>
            <w:pStyle w:val="TOC1"/>
            <w:rPr>
              <w:rFonts w:asciiTheme="minorHAnsi" w:eastAsiaTheme="minorEastAsia" w:hAnsiTheme="minorHAnsi" w:cstheme="minorBidi"/>
              <w:noProof/>
              <w:kern w:val="2"/>
              <w:sz w:val="24"/>
              <w:szCs w:val="24"/>
              <w14:ligatures w14:val="standardContextual"/>
            </w:rPr>
          </w:pPr>
          <w:hyperlink w:anchor="_Toc204396385" w:history="1">
            <w:r w:rsidRPr="009F2EC3">
              <w:rPr>
                <w:rStyle w:val="Hyperlink"/>
                <w:noProof/>
              </w:rPr>
              <w:t>C. Data Collection Process</w:t>
            </w:r>
            <w:r>
              <w:rPr>
                <w:noProof/>
                <w:webHidden/>
              </w:rPr>
              <w:tab/>
            </w:r>
            <w:r>
              <w:rPr>
                <w:noProof/>
                <w:webHidden/>
              </w:rPr>
              <w:fldChar w:fldCharType="begin"/>
            </w:r>
            <w:r>
              <w:rPr>
                <w:noProof/>
                <w:webHidden/>
              </w:rPr>
              <w:instrText xml:space="preserve"> PAGEREF _Toc204396385 \h </w:instrText>
            </w:r>
            <w:r>
              <w:rPr>
                <w:noProof/>
                <w:webHidden/>
              </w:rPr>
            </w:r>
            <w:r>
              <w:rPr>
                <w:noProof/>
                <w:webHidden/>
              </w:rPr>
              <w:fldChar w:fldCharType="separate"/>
            </w:r>
            <w:r>
              <w:rPr>
                <w:noProof/>
                <w:webHidden/>
              </w:rPr>
              <w:t>5</w:t>
            </w:r>
            <w:r>
              <w:rPr>
                <w:noProof/>
                <w:webHidden/>
              </w:rPr>
              <w:fldChar w:fldCharType="end"/>
            </w:r>
          </w:hyperlink>
        </w:p>
        <w:p w14:paraId="2A4B8538" w14:textId="3556AD18" w:rsidR="00733832" w:rsidRDefault="0073383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396386" w:history="1">
            <w:r w:rsidRPr="009F2EC3">
              <w:rPr>
                <w:rStyle w:val="Hyperlink"/>
                <w:noProof/>
              </w:rPr>
              <w:t>C.1 Advantages and Limitations of Data Set</w:t>
            </w:r>
            <w:r>
              <w:rPr>
                <w:noProof/>
                <w:webHidden/>
              </w:rPr>
              <w:tab/>
            </w:r>
            <w:r>
              <w:rPr>
                <w:noProof/>
                <w:webHidden/>
              </w:rPr>
              <w:fldChar w:fldCharType="begin"/>
            </w:r>
            <w:r>
              <w:rPr>
                <w:noProof/>
                <w:webHidden/>
              </w:rPr>
              <w:instrText xml:space="preserve"> PAGEREF _Toc204396386 \h </w:instrText>
            </w:r>
            <w:r>
              <w:rPr>
                <w:noProof/>
                <w:webHidden/>
              </w:rPr>
            </w:r>
            <w:r>
              <w:rPr>
                <w:noProof/>
                <w:webHidden/>
              </w:rPr>
              <w:fldChar w:fldCharType="separate"/>
            </w:r>
            <w:r>
              <w:rPr>
                <w:noProof/>
                <w:webHidden/>
              </w:rPr>
              <w:t>6</w:t>
            </w:r>
            <w:r>
              <w:rPr>
                <w:noProof/>
                <w:webHidden/>
              </w:rPr>
              <w:fldChar w:fldCharType="end"/>
            </w:r>
          </w:hyperlink>
        </w:p>
        <w:p w14:paraId="2E4287EB" w14:textId="5075B9A6" w:rsidR="00733832" w:rsidRDefault="00733832">
          <w:pPr>
            <w:pStyle w:val="TOC1"/>
            <w:rPr>
              <w:rFonts w:asciiTheme="minorHAnsi" w:eastAsiaTheme="minorEastAsia" w:hAnsiTheme="minorHAnsi" w:cstheme="minorBidi"/>
              <w:noProof/>
              <w:kern w:val="2"/>
              <w:sz w:val="24"/>
              <w:szCs w:val="24"/>
              <w14:ligatures w14:val="standardContextual"/>
            </w:rPr>
          </w:pPr>
          <w:hyperlink w:anchor="_Toc204396387" w:history="1">
            <w:r w:rsidRPr="009F2EC3">
              <w:rPr>
                <w:rStyle w:val="Hyperlink"/>
                <w:noProof/>
              </w:rPr>
              <w:t>D. Data Extraction and Preparation</w:t>
            </w:r>
            <w:r>
              <w:rPr>
                <w:noProof/>
                <w:webHidden/>
              </w:rPr>
              <w:tab/>
            </w:r>
            <w:r>
              <w:rPr>
                <w:noProof/>
                <w:webHidden/>
              </w:rPr>
              <w:fldChar w:fldCharType="begin"/>
            </w:r>
            <w:r>
              <w:rPr>
                <w:noProof/>
                <w:webHidden/>
              </w:rPr>
              <w:instrText xml:space="preserve"> PAGEREF _Toc204396387 \h </w:instrText>
            </w:r>
            <w:r>
              <w:rPr>
                <w:noProof/>
                <w:webHidden/>
              </w:rPr>
            </w:r>
            <w:r>
              <w:rPr>
                <w:noProof/>
                <w:webHidden/>
              </w:rPr>
              <w:fldChar w:fldCharType="separate"/>
            </w:r>
            <w:r>
              <w:rPr>
                <w:noProof/>
                <w:webHidden/>
              </w:rPr>
              <w:t>7</w:t>
            </w:r>
            <w:r>
              <w:rPr>
                <w:noProof/>
                <w:webHidden/>
              </w:rPr>
              <w:fldChar w:fldCharType="end"/>
            </w:r>
          </w:hyperlink>
        </w:p>
        <w:p w14:paraId="4964FC4A" w14:textId="30ECF304" w:rsidR="00733832" w:rsidRDefault="00733832">
          <w:pPr>
            <w:pStyle w:val="TOC1"/>
            <w:rPr>
              <w:rFonts w:asciiTheme="minorHAnsi" w:eastAsiaTheme="minorEastAsia" w:hAnsiTheme="minorHAnsi" w:cstheme="minorBidi"/>
              <w:noProof/>
              <w:kern w:val="2"/>
              <w:sz w:val="24"/>
              <w:szCs w:val="24"/>
              <w14:ligatures w14:val="standardContextual"/>
            </w:rPr>
          </w:pPr>
          <w:hyperlink w:anchor="_Toc204396388" w:history="1">
            <w:r w:rsidRPr="009F2EC3">
              <w:rPr>
                <w:rStyle w:val="Hyperlink"/>
                <w:noProof/>
              </w:rPr>
              <w:t>E. Data Analysis Process</w:t>
            </w:r>
            <w:r>
              <w:rPr>
                <w:noProof/>
                <w:webHidden/>
              </w:rPr>
              <w:tab/>
            </w:r>
            <w:r>
              <w:rPr>
                <w:noProof/>
                <w:webHidden/>
              </w:rPr>
              <w:fldChar w:fldCharType="begin"/>
            </w:r>
            <w:r>
              <w:rPr>
                <w:noProof/>
                <w:webHidden/>
              </w:rPr>
              <w:instrText xml:space="preserve"> PAGEREF _Toc204396388 \h </w:instrText>
            </w:r>
            <w:r>
              <w:rPr>
                <w:noProof/>
                <w:webHidden/>
              </w:rPr>
            </w:r>
            <w:r>
              <w:rPr>
                <w:noProof/>
                <w:webHidden/>
              </w:rPr>
              <w:fldChar w:fldCharType="separate"/>
            </w:r>
            <w:r>
              <w:rPr>
                <w:noProof/>
                <w:webHidden/>
              </w:rPr>
              <w:t>7</w:t>
            </w:r>
            <w:r>
              <w:rPr>
                <w:noProof/>
                <w:webHidden/>
              </w:rPr>
              <w:fldChar w:fldCharType="end"/>
            </w:r>
          </w:hyperlink>
        </w:p>
        <w:p w14:paraId="422F8C62" w14:textId="13734CF3" w:rsidR="00733832" w:rsidRDefault="0073383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396389" w:history="1">
            <w:r w:rsidRPr="009F2EC3">
              <w:rPr>
                <w:rStyle w:val="Hyperlink"/>
                <w:noProof/>
              </w:rPr>
              <w:t>E.1 Data Analysis Methods</w:t>
            </w:r>
            <w:r>
              <w:rPr>
                <w:noProof/>
                <w:webHidden/>
              </w:rPr>
              <w:tab/>
            </w:r>
            <w:r>
              <w:rPr>
                <w:noProof/>
                <w:webHidden/>
              </w:rPr>
              <w:fldChar w:fldCharType="begin"/>
            </w:r>
            <w:r>
              <w:rPr>
                <w:noProof/>
                <w:webHidden/>
              </w:rPr>
              <w:instrText xml:space="preserve"> PAGEREF _Toc204396389 \h </w:instrText>
            </w:r>
            <w:r>
              <w:rPr>
                <w:noProof/>
                <w:webHidden/>
              </w:rPr>
            </w:r>
            <w:r>
              <w:rPr>
                <w:noProof/>
                <w:webHidden/>
              </w:rPr>
              <w:fldChar w:fldCharType="separate"/>
            </w:r>
            <w:r>
              <w:rPr>
                <w:noProof/>
                <w:webHidden/>
              </w:rPr>
              <w:t>7</w:t>
            </w:r>
            <w:r>
              <w:rPr>
                <w:noProof/>
                <w:webHidden/>
              </w:rPr>
              <w:fldChar w:fldCharType="end"/>
            </w:r>
          </w:hyperlink>
        </w:p>
        <w:p w14:paraId="35295BDA" w14:textId="5ED25435" w:rsidR="00733832" w:rsidRDefault="0073383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396390" w:history="1">
            <w:r w:rsidRPr="009F2EC3">
              <w:rPr>
                <w:rStyle w:val="Hyperlink"/>
                <w:noProof/>
              </w:rPr>
              <w:t>E.2 Advantages and Limitations of Tools and Techniques</w:t>
            </w:r>
            <w:r>
              <w:rPr>
                <w:noProof/>
                <w:webHidden/>
              </w:rPr>
              <w:tab/>
            </w:r>
            <w:r>
              <w:rPr>
                <w:noProof/>
                <w:webHidden/>
              </w:rPr>
              <w:fldChar w:fldCharType="begin"/>
            </w:r>
            <w:r>
              <w:rPr>
                <w:noProof/>
                <w:webHidden/>
              </w:rPr>
              <w:instrText xml:space="preserve"> PAGEREF _Toc204396390 \h </w:instrText>
            </w:r>
            <w:r>
              <w:rPr>
                <w:noProof/>
                <w:webHidden/>
              </w:rPr>
            </w:r>
            <w:r>
              <w:rPr>
                <w:noProof/>
                <w:webHidden/>
              </w:rPr>
              <w:fldChar w:fldCharType="separate"/>
            </w:r>
            <w:r>
              <w:rPr>
                <w:noProof/>
                <w:webHidden/>
              </w:rPr>
              <w:t>8</w:t>
            </w:r>
            <w:r>
              <w:rPr>
                <w:noProof/>
                <w:webHidden/>
              </w:rPr>
              <w:fldChar w:fldCharType="end"/>
            </w:r>
          </w:hyperlink>
        </w:p>
        <w:p w14:paraId="0EB58248" w14:textId="6FE23223" w:rsidR="00733832" w:rsidRDefault="0073383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396391" w:history="1">
            <w:r w:rsidRPr="009F2EC3">
              <w:rPr>
                <w:rStyle w:val="Hyperlink"/>
                <w:noProof/>
              </w:rPr>
              <w:t>E.3 Application of Analytical Methods</w:t>
            </w:r>
            <w:r>
              <w:rPr>
                <w:noProof/>
                <w:webHidden/>
              </w:rPr>
              <w:tab/>
            </w:r>
            <w:r>
              <w:rPr>
                <w:noProof/>
                <w:webHidden/>
              </w:rPr>
              <w:fldChar w:fldCharType="begin"/>
            </w:r>
            <w:r>
              <w:rPr>
                <w:noProof/>
                <w:webHidden/>
              </w:rPr>
              <w:instrText xml:space="preserve"> PAGEREF _Toc204396391 \h </w:instrText>
            </w:r>
            <w:r>
              <w:rPr>
                <w:noProof/>
                <w:webHidden/>
              </w:rPr>
            </w:r>
            <w:r>
              <w:rPr>
                <w:noProof/>
                <w:webHidden/>
              </w:rPr>
              <w:fldChar w:fldCharType="separate"/>
            </w:r>
            <w:r>
              <w:rPr>
                <w:noProof/>
                <w:webHidden/>
              </w:rPr>
              <w:t>8</w:t>
            </w:r>
            <w:r>
              <w:rPr>
                <w:noProof/>
                <w:webHidden/>
              </w:rPr>
              <w:fldChar w:fldCharType="end"/>
            </w:r>
          </w:hyperlink>
        </w:p>
        <w:p w14:paraId="6453AD97" w14:textId="4979C8B6" w:rsidR="00733832" w:rsidRDefault="00733832">
          <w:pPr>
            <w:pStyle w:val="TOC1"/>
            <w:rPr>
              <w:rFonts w:asciiTheme="minorHAnsi" w:eastAsiaTheme="minorEastAsia" w:hAnsiTheme="minorHAnsi" w:cstheme="minorBidi"/>
              <w:noProof/>
              <w:kern w:val="2"/>
              <w:sz w:val="24"/>
              <w:szCs w:val="24"/>
              <w14:ligatures w14:val="standardContextual"/>
            </w:rPr>
          </w:pPr>
          <w:hyperlink w:anchor="_Toc204396392" w:history="1">
            <w:r w:rsidRPr="009F2EC3">
              <w:rPr>
                <w:rStyle w:val="Hyperlink"/>
                <w:noProof/>
              </w:rPr>
              <w:t>F Data Analysis Results</w:t>
            </w:r>
            <w:r>
              <w:rPr>
                <w:noProof/>
                <w:webHidden/>
              </w:rPr>
              <w:tab/>
            </w:r>
            <w:r>
              <w:rPr>
                <w:noProof/>
                <w:webHidden/>
              </w:rPr>
              <w:fldChar w:fldCharType="begin"/>
            </w:r>
            <w:r>
              <w:rPr>
                <w:noProof/>
                <w:webHidden/>
              </w:rPr>
              <w:instrText xml:space="preserve"> PAGEREF _Toc204396392 \h </w:instrText>
            </w:r>
            <w:r>
              <w:rPr>
                <w:noProof/>
                <w:webHidden/>
              </w:rPr>
            </w:r>
            <w:r>
              <w:rPr>
                <w:noProof/>
                <w:webHidden/>
              </w:rPr>
              <w:fldChar w:fldCharType="separate"/>
            </w:r>
            <w:r>
              <w:rPr>
                <w:noProof/>
                <w:webHidden/>
              </w:rPr>
              <w:t>9</w:t>
            </w:r>
            <w:r>
              <w:rPr>
                <w:noProof/>
                <w:webHidden/>
              </w:rPr>
              <w:fldChar w:fldCharType="end"/>
            </w:r>
          </w:hyperlink>
        </w:p>
        <w:p w14:paraId="793764DA" w14:textId="3C9C8B16" w:rsidR="00733832" w:rsidRDefault="0073383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396393" w:history="1">
            <w:r w:rsidRPr="009F2EC3">
              <w:rPr>
                <w:rStyle w:val="Hyperlink"/>
                <w:noProof/>
              </w:rPr>
              <w:t>F.1 Statistical Significance</w:t>
            </w:r>
            <w:r>
              <w:rPr>
                <w:noProof/>
                <w:webHidden/>
              </w:rPr>
              <w:tab/>
            </w:r>
            <w:r>
              <w:rPr>
                <w:noProof/>
                <w:webHidden/>
              </w:rPr>
              <w:fldChar w:fldCharType="begin"/>
            </w:r>
            <w:r>
              <w:rPr>
                <w:noProof/>
                <w:webHidden/>
              </w:rPr>
              <w:instrText xml:space="preserve"> PAGEREF _Toc204396393 \h </w:instrText>
            </w:r>
            <w:r>
              <w:rPr>
                <w:noProof/>
                <w:webHidden/>
              </w:rPr>
            </w:r>
            <w:r>
              <w:rPr>
                <w:noProof/>
                <w:webHidden/>
              </w:rPr>
              <w:fldChar w:fldCharType="separate"/>
            </w:r>
            <w:r>
              <w:rPr>
                <w:noProof/>
                <w:webHidden/>
              </w:rPr>
              <w:t>9</w:t>
            </w:r>
            <w:r>
              <w:rPr>
                <w:noProof/>
                <w:webHidden/>
              </w:rPr>
              <w:fldChar w:fldCharType="end"/>
            </w:r>
          </w:hyperlink>
        </w:p>
        <w:p w14:paraId="5D24E7B8" w14:textId="30CBD6B0" w:rsidR="00733832" w:rsidRDefault="0073383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396394" w:history="1">
            <w:r w:rsidRPr="009F2EC3">
              <w:rPr>
                <w:rStyle w:val="Hyperlink"/>
                <w:noProof/>
              </w:rPr>
              <w:t>F.2 Practical Significance</w:t>
            </w:r>
            <w:r>
              <w:rPr>
                <w:noProof/>
                <w:webHidden/>
              </w:rPr>
              <w:tab/>
            </w:r>
            <w:r>
              <w:rPr>
                <w:noProof/>
                <w:webHidden/>
              </w:rPr>
              <w:fldChar w:fldCharType="begin"/>
            </w:r>
            <w:r>
              <w:rPr>
                <w:noProof/>
                <w:webHidden/>
              </w:rPr>
              <w:instrText xml:space="preserve"> PAGEREF _Toc204396394 \h </w:instrText>
            </w:r>
            <w:r>
              <w:rPr>
                <w:noProof/>
                <w:webHidden/>
              </w:rPr>
            </w:r>
            <w:r>
              <w:rPr>
                <w:noProof/>
                <w:webHidden/>
              </w:rPr>
              <w:fldChar w:fldCharType="separate"/>
            </w:r>
            <w:r>
              <w:rPr>
                <w:noProof/>
                <w:webHidden/>
              </w:rPr>
              <w:t>11</w:t>
            </w:r>
            <w:r>
              <w:rPr>
                <w:noProof/>
                <w:webHidden/>
              </w:rPr>
              <w:fldChar w:fldCharType="end"/>
            </w:r>
          </w:hyperlink>
        </w:p>
        <w:p w14:paraId="6BDA66AB" w14:textId="3D96B0C1" w:rsidR="00733832" w:rsidRDefault="0073383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396395" w:history="1">
            <w:r w:rsidRPr="009F2EC3">
              <w:rPr>
                <w:rStyle w:val="Hyperlink"/>
                <w:noProof/>
              </w:rPr>
              <w:t>F.3 Overall Success</w:t>
            </w:r>
            <w:r>
              <w:rPr>
                <w:noProof/>
                <w:webHidden/>
              </w:rPr>
              <w:tab/>
            </w:r>
            <w:r>
              <w:rPr>
                <w:noProof/>
                <w:webHidden/>
              </w:rPr>
              <w:fldChar w:fldCharType="begin"/>
            </w:r>
            <w:r>
              <w:rPr>
                <w:noProof/>
                <w:webHidden/>
              </w:rPr>
              <w:instrText xml:space="preserve"> PAGEREF _Toc204396395 \h </w:instrText>
            </w:r>
            <w:r>
              <w:rPr>
                <w:noProof/>
                <w:webHidden/>
              </w:rPr>
            </w:r>
            <w:r>
              <w:rPr>
                <w:noProof/>
                <w:webHidden/>
              </w:rPr>
              <w:fldChar w:fldCharType="separate"/>
            </w:r>
            <w:r>
              <w:rPr>
                <w:noProof/>
                <w:webHidden/>
              </w:rPr>
              <w:t>11</w:t>
            </w:r>
            <w:r>
              <w:rPr>
                <w:noProof/>
                <w:webHidden/>
              </w:rPr>
              <w:fldChar w:fldCharType="end"/>
            </w:r>
          </w:hyperlink>
        </w:p>
        <w:p w14:paraId="34A18C62" w14:textId="19D8EC6D" w:rsidR="00733832" w:rsidRDefault="00733832">
          <w:pPr>
            <w:pStyle w:val="TOC1"/>
            <w:rPr>
              <w:rFonts w:asciiTheme="minorHAnsi" w:eastAsiaTheme="minorEastAsia" w:hAnsiTheme="minorHAnsi" w:cstheme="minorBidi"/>
              <w:noProof/>
              <w:kern w:val="2"/>
              <w:sz w:val="24"/>
              <w:szCs w:val="24"/>
              <w14:ligatures w14:val="standardContextual"/>
            </w:rPr>
          </w:pPr>
          <w:hyperlink w:anchor="_Toc204396396" w:history="1">
            <w:r w:rsidRPr="009F2EC3">
              <w:rPr>
                <w:rStyle w:val="Hyperlink"/>
                <w:noProof/>
              </w:rPr>
              <w:t>G. Conclusion</w:t>
            </w:r>
            <w:r>
              <w:rPr>
                <w:noProof/>
                <w:webHidden/>
              </w:rPr>
              <w:tab/>
            </w:r>
            <w:r>
              <w:rPr>
                <w:noProof/>
                <w:webHidden/>
              </w:rPr>
              <w:fldChar w:fldCharType="begin"/>
            </w:r>
            <w:r>
              <w:rPr>
                <w:noProof/>
                <w:webHidden/>
              </w:rPr>
              <w:instrText xml:space="preserve"> PAGEREF _Toc204396396 \h </w:instrText>
            </w:r>
            <w:r>
              <w:rPr>
                <w:noProof/>
                <w:webHidden/>
              </w:rPr>
            </w:r>
            <w:r>
              <w:rPr>
                <w:noProof/>
                <w:webHidden/>
              </w:rPr>
              <w:fldChar w:fldCharType="separate"/>
            </w:r>
            <w:r>
              <w:rPr>
                <w:noProof/>
                <w:webHidden/>
              </w:rPr>
              <w:t>12</w:t>
            </w:r>
            <w:r>
              <w:rPr>
                <w:noProof/>
                <w:webHidden/>
              </w:rPr>
              <w:fldChar w:fldCharType="end"/>
            </w:r>
          </w:hyperlink>
        </w:p>
        <w:p w14:paraId="3493528F" w14:textId="4959DD41" w:rsidR="00733832" w:rsidRDefault="0073383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396397" w:history="1">
            <w:r w:rsidRPr="009F2EC3">
              <w:rPr>
                <w:rStyle w:val="Hyperlink"/>
                <w:noProof/>
              </w:rPr>
              <w:t>G.1 Summary of Conclusions</w:t>
            </w:r>
            <w:r>
              <w:rPr>
                <w:noProof/>
                <w:webHidden/>
              </w:rPr>
              <w:tab/>
            </w:r>
            <w:r>
              <w:rPr>
                <w:noProof/>
                <w:webHidden/>
              </w:rPr>
              <w:fldChar w:fldCharType="begin"/>
            </w:r>
            <w:r>
              <w:rPr>
                <w:noProof/>
                <w:webHidden/>
              </w:rPr>
              <w:instrText xml:space="preserve"> PAGEREF _Toc204396397 \h </w:instrText>
            </w:r>
            <w:r>
              <w:rPr>
                <w:noProof/>
                <w:webHidden/>
              </w:rPr>
            </w:r>
            <w:r>
              <w:rPr>
                <w:noProof/>
                <w:webHidden/>
              </w:rPr>
              <w:fldChar w:fldCharType="separate"/>
            </w:r>
            <w:r>
              <w:rPr>
                <w:noProof/>
                <w:webHidden/>
              </w:rPr>
              <w:t>12</w:t>
            </w:r>
            <w:r>
              <w:rPr>
                <w:noProof/>
                <w:webHidden/>
              </w:rPr>
              <w:fldChar w:fldCharType="end"/>
            </w:r>
          </w:hyperlink>
        </w:p>
        <w:p w14:paraId="12D31251" w14:textId="21AADA56" w:rsidR="00733832" w:rsidRDefault="0073383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396398" w:history="1">
            <w:r w:rsidRPr="009F2EC3">
              <w:rPr>
                <w:rStyle w:val="Hyperlink"/>
                <w:noProof/>
              </w:rPr>
              <w:t>G.2 Effective Storytelling</w:t>
            </w:r>
            <w:r>
              <w:rPr>
                <w:noProof/>
                <w:webHidden/>
              </w:rPr>
              <w:tab/>
            </w:r>
            <w:r>
              <w:rPr>
                <w:noProof/>
                <w:webHidden/>
              </w:rPr>
              <w:fldChar w:fldCharType="begin"/>
            </w:r>
            <w:r>
              <w:rPr>
                <w:noProof/>
                <w:webHidden/>
              </w:rPr>
              <w:instrText xml:space="preserve"> PAGEREF _Toc204396398 \h </w:instrText>
            </w:r>
            <w:r>
              <w:rPr>
                <w:noProof/>
                <w:webHidden/>
              </w:rPr>
            </w:r>
            <w:r>
              <w:rPr>
                <w:noProof/>
                <w:webHidden/>
              </w:rPr>
              <w:fldChar w:fldCharType="separate"/>
            </w:r>
            <w:r>
              <w:rPr>
                <w:noProof/>
                <w:webHidden/>
              </w:rPr>
              <w:t>12</w:t>
            </w:r>
            <w:r>
              <w:rPr>
                <w:noProof/>
                <w:webHidden/>
              </w:rPr>
              <w:fldChar w:fldCharType="end"/>
            </w:r>
          </w:hyperlink>
        </w:p>
        <w:p w14:paraId="46726326" w14:textId="7C8EF5CF" w:rsidR="00733832" w:rsidRDefault="0073383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396399" w:history="1">
            <w:r w:rsidRPr="009F2EC3">
              <w:rPr>
                <w:rStyle w:val="Hyperlink"/>
                <w:noProof/>
              </w:rPr>
              <w:t>G.3 Recommended Courses of Action</w:t>
            </w:r>
            <w:r>
              <w:rPr>
                <w:noProof/>
                <w:webHidden/>
              </w:rPr>
              <w:tab/>
            </w:r>
            <w:r>
              <w:rPr>
                <w:noProof/>
                <w:webHidden/>
              </w:rPr>
              <w:fldChar w:fldCharType="begin"/>
            </w:r>
            <w:r>
              <w:rPr>
                <w:noProof/>
                <w:webHidden/>
              </w:rPr>
              <w:instrText xml:space="preserve"> PAGEREF _Toc204396399 \h </w:instrText>
            </w:r>
            <w:r>
              <w:rPr>
                <w:noProof/>
                <w:webHidden/>
              </w:rPr>
            </w:r>
            <w:r>
              <w:rPr>
                <w:noProof/>
                <w:webHidden/>
              </w:rPr>
              <w:fldChar w:fldCharType="separate"/>
            </w:r>
            <w:r>
              <w:rPr>
                <w:noProof/>
                <w:webHidden/>
              </w:rPr>
              <w:t>13</w:t>
            </w:r>
            <w:r>
              <w:rPr>
                <w:noProof/>
                <w:webHidden/>
              </w:rPr>
              <w:fldChar w:fldCharType="end"/>
            </w:r>
          </w:hyperlink>
        </w:p>
        <w:p w14:paraId="2D528BB6" w14:textId="225F6CF7" w:rsidR="00733832" w:rsidRDefault="00733832">
          <w:pPr>
            <w:pStyle w:val="TOC1"/>
            <w:rPr>
              <w:rFonts w:asciiTheme="minorHAnsi" w:eastAsiaTheme="minorEastAsia" w:hAnsiTheme="minorHAnsi" w:cstheme="minorBidi"/>
              <w:noProof/>
              <w:kern w:val="2"/>
              <w:sz w:val="24"/>
              <w:szCs w:val="24"/>
              <w14:ligatures w14:val="standardContextual"/>
            </w:rPr>
          </w:pPr>
          <w:hyperlink w:anchor="_Toc204396400" w:history="1">
            <w:r w:rsidRPr="009F2EC3">
              <w:rPr>
                <w:rStyle w:val="Hyperlink"/>
                <w:noProof/>
              </w:rPr>
              <w:t>References</w:t>
            </w:r>
            <w:r>
              <w:rPr>
                <w:noProof/>
                <w:webHidden/>
              </w:rPr>
              <w:tab/>
            </w:r>
            <w:r>
              <w:rPr>
                <w:noProof/>
                <w:webHidden/>
              </w:rPr>
              <w:fldChar w:fldCharType="begin"/>
            </w:r>
            <w:r>
              <w:rPr>
                <w:noProof/>
                <w:webHidden/>
              </w:rPr>
              <w:instrText xml:space="preserve"> PAGEREF _Toc204396400 \h </w:instrText>
            </w:r>
            <w:r>
              <w:rPr>
                <w:noProof/>
                <w:webHidden/>
              </w:rPr>
            </w:r>
            <w:r>
              <w:rPr>
                <w:noProof/>
                <w:webHidden/>
              </w:rPr>
              <w:fldChar w:fldCharType="separate"/>
            </w:r>
            <w:r>
              <w:rPr>
                <w:noProof/>
                <w:webHidden/>
              </w:rPr>
              <w:t>14</w:t>
            </w:r>
            <w:r>
              <w:rPr>
                <w:noProof/>
                <w:webHidden/>
              </w:rPr>
              <w:fldChar w:fldCharType="end"/>
            </w:r>
          </w:hyperlink>
        </w:p>
        <w:p w14:paraId="471CBE87" w14:textId="52C695F7" w:rsidR="00D26B02" w:rsidRDefault="00DC5957" w:rsidP="6B6DF2BE">
          <w:pPr>
            <w:pStyle w:val="TOC1"/>
            <w:tabs>
              <w:tab w:val="clear" w:pos="9350"/>
              <w:tab w:val="right" w:leader="dot" w:pos="9360"/>
            </w:tabs>
            <w:rPr>
              <w:rStyle w:val="Hyperlink"/>
              <w:noProof/>
              <w:kern w:val="2"/>
              <w14:ligatures w14:val="standardContextual"/>
            </w:rPr>
          </w:pPr>
          <w:r>
            <w:fldChar w:fldCharType="end"/>
          </w:r>
        </w:p>
      </w:sdtContent>
    </w:sdt>
    <w:p w14:paraId="33F1EFA8" w14:textId="34C608C0" w:rsidR="0086098F" w:rsidRDefault="0086098F"/>
    <w:p w14:paraId="2B96885E" w14:textId="31E7CBD2" w:rsidR="0086098F" w:rsidRDefault="0086098F">
      <w:pPr>
        <w:rPr>
          <w:rStyle w:val="Hyperlink"/>
          <w:noProof/>
        </w:rPr>
      </w:pPr>
      <w:r w:rsidRPr="6944D8EE">
        <w:rPr>
          <w:rStyle w:val="Hyperlink"/>
          <w:noProof/>
        </w:rPr>
        <w:br w:type="page"/>
      </w:r>
    </w:p>
    <w:p w14:paraId="415784A0" w14:textId="3957AE52" w:rsidR="6944D8EE" w:rsidRDefault="6944D8EE" w:rsidP="6944D8EE">
      <w:pPr>
        <w:rPr>
          <w:rStyle w:val="Hyperlink"/>
          <w:noProof/>
        </w:rPr>
      </w:pPr>
    </w:p>
    <w:p w14:paraId="40A99301" w14:textId="284502F0" w:rsidR="6944D8EE" w:rsidRDefault="6944D8EE" w:rsidP="6944D8EE">
      <w:pPr>
        <w:rPr>
          <w:rStyle w:val="Hyperlink"/>
          <w:noProof/>
        </w:rPr>
      </w:pPr>
    </w:p>
    <w:p w14:paraId="6023CEA3" w14:textId="2B281588" w:rsidR="00E103E8" w:rsidRPr="003539A2" w:rsidRDefault="105FA800" w:rsidP="00193B44">
      <w:pPr>
        <w:pStyle w:val="Heading1"/>
      </w:pPr>
      <w:bookmarkStart w:id="0" w:name="_Toc204396383"/>
      <w:r>
        <w:t xml:space="preserve">A. </w:t>
      </w:r>
      <w:r w:rsidR="69C3BA48">
        <w:t>Project Highlights</w:t>
      </w:r>
      <w:bookmarkEnd w:id="0"/>
    </w:p>
    <w:p w14:paraId="5788CD1C" w14:textId="77777777" w:rsidR="00BF7B0F" w:rsidRDefault="00BF7B0F" w:rsidP="00BF7B0F">
      <w:pPr>
        <w:pStyle w:val="NormalWeb"/>
      </w:pPr>
      <w:r>
        <w:t>This project aimed to explore whether U.S. crude oil prices significantly influence refined fuel prices such as diesel, gasoline, jet fuel, and propane. The analysis involved examining price data from the U.S. Energy Information Administration (EIA), transforming it into a usable format, and visualizing patterns to determine the relationship between crude oil and downstream fuel markets.</w:t>
      </w:r>
    </w:p>
    <w:p w14:paraId="36318F21" w14:textId="6F8FD5DE" w:rsidR="00BF7B0F" w:rsidRDefault="00BF7B0F" w:rsidP="00BF7B0F">
      <w:pPr>
        <w:pStyle w:val="NormalWeb"/>
      </w:pPr>
      <w:r>
        <w:t>The project followed the CRISP-DM framework, progressing through understanding the business problem, analyzing and preparing the dataset, modeling relationships using regression, and visualizing results using Tableau</w:t>
      </w:r>
      <w:r w:rsidR="006B7149">
        <w:t xml:space="preserve">. </w:t>
      </w:r>
    </w:p>
    <w:p w14:paraId="6FE4C5E8" w14:textId="77777777" w:rsidR="006B7149" w:rsidRDefault="006B7149" w:rsidP="006B7149">
      <w:pPr>
        <w:pStyle w:val="NormalWeb"/>
      </w:pPr>
      <w:r w:rsidRPr="006B7149">
        <w:rPr>
          <w:rStyle w:val="Strong"/>
          <w:b w:val="0"/>
          <w:bCs w:val="0"/>
        </w:rPr>
        <w:t>The scope of the project</w:t>
      </w:r>
      <w:r>
        <w:t xml:space="preserve"> is limited to analyzing the historical relationship between U.S. crude oil prices and six refined fuel types: conventional gasoline, RBOB regular gasoline, ultra-low sulfur diesel, No. 2 heating oil, kerosene-type jet fuel, and propane. The dataset spans monthly average prices from January 1986 through 2025, sourced exclusively from the U.S. Energy Information Administration (EIA).</w:t>
      </w:r>
    </w:p>
    <w:p w14:paraId="0A522465" w14:textId="38C459AB" w:rsidR="006B7149" w:rsidRDefault="006B7149" w:rsidP="00BF7B0F">
      <w:pPr>
        <w:pStyle w:val="NormalWeb"/>
      </w:pPr>
      <w:r>
        <w:t>This analysis focuses on U.S. domestic market data and excludes external factors such as global oil benchmarks (e.g., Brent crude), inflation, geopolitical conflict, or economic indicators. The project also does not attempt to forecast future prices but instead relies on regression modeling and lagged correlation techniques to evaluate historical patterns and relationships.</w:t>
      </w:r>
    </w:p>
    <w:p w14:paraId="264CA44E" w14:textId="77777777" w:rsidR="00BF7B0F" w:rsidRDefault="00BF7B0F" w:rsidP="00BF7B0F">
      <w:pPr>
        <w:pStyle w:val="NormalWeb"/>
      </w:pPr>
      <w:r>
        <w:t>Python was used to process the dataset and build a multiple linear regression model. Tableau was used to create several visualizations, including a lagged correlation heatmap and grouped bar chart of regression coefficients. Excel was briefly used to preview the original structure of the dataset.</w:t>
      </w:r>
    </w:p>
    <w:p w14:paraId="65480A78" w14:textId="77777777" w:rsidR="00BF7B0F" w:rsidRDefault="00BF7B0F" w:rsidP="00BF7B0F">
      <w:pPr>
        <w:pStyle w:val="NormalWeb"/>
      </w:pPr>
      <w:r>
        <w:t>The structured approach supported the creation of a final dashboard and report that clearly display the influence of crude oil prices on refined fuel prices and assist with fuel-related decision-making.</w:t>
      </w:r>
    </w:p>
    <w:p w14:paraId="61B7AEF3" w14:textId="6D37F637" w:rsidR="440949C2" w:rsidRDefault="440949C2" w:rsidP="440949C2">
      <w:pPr>
        <w:spacing w:line="480" w:lineRule="auto"/>
        <w:ind w:firstLine="360"/>
        <w:rPr>
          <w:sz w:val="24"/>
          <w:szCs w:val="24"/>
        </w:rPr>
      </w:pPr>
    </w:p>
    <w:p w14:paraId="7AAD255A" w14:textId="26E10F1B" w:rsidR="00D22073" w:rsidRDefault="1183336E" w:rsidP="00193B44">
      <w:pPr>
        <w:pStyle w:val="Heading1"/>
      </w:pPr>
      <w:bookmarkStart w:id="1" w:name="_Toc204396384"/>
      <w:r>
        <w:t xml:space="preserve">B. </w:t>
      </w:r>
      <w:r w:rsidR="00086706">
        <w:t>Project Execution</w:t>
      </w:r>
      <w:bookmarkEnd w:id="1"/>
    </w:p>
    <w:p w14:paraId="2146DC36" w14:textId="77777777" w:rsidR="00BF7B0F" w:rsidRDefault="00BF7B0F" w:rsidP="00BF7B0F">
      <w:pPr>
        <w:pStyle w:val="NormalWeb"/>
      </w:pPr>
      <w:r>
        <w:t>The project was completed using the CRISP-DM methodology as originally planned. Data was collected from the U.S. Energy Information Administration and consisted of monthly prices for crude oil and seven refined fuels, spanning from 1986 to 2025. The data was structured across multiple sheets, which were reviewed in Excel and processed in Python.</w:t>
      </w:r>
    </w:p>
    <w:p w14:paraId="367ACDDF" w14:textId="77777777" w:rsidR="00BF7B0F" w:rsidRDefault="00BF7B0F" w:rsidP="00BF7B0F">
      <w:pPr>
        <w:pStyle w:val="NormalWeb"/>
      </w:pPr>
      <w:r>
        <w:lastRenderedPageBreak/>
        <w:t>The data preparation stage involved reshaping the data to create a unified structure suitable for regression analysis. After preparing the dataset, exploratory analysis was conducted to examine trends and potential relationships. Lagged correlations were calculated to determine how crude oil prices affect refined fuels over time. This analysis helped justify the inclusion of lag variables in the model.</w:t>
      </w:r>
    </w:p>
    <w:p w14:paraId="2038BE14" w14:textId="66FEB6E2" w:rsidR="00BF7B0F" w:rsidRDefault="00BF7B0F" w:rsidP="00BF7B0F">
      <w:pPr>
        <w:pStyle w:val="NormalWeb"/>
      </w:pPr>
      <w:r>
        <w:t>A multiple linear regression model was used to evaluate the statistical impact of crude oil prices on the prices of each refined fuel. Tableau was used to create interactive visualizations, including a heatmap of lagged correlation values and a grouped bar chart showing regression coefficients. The dashboard was published to Tableau Public and used to support the final analysis.</w:t>
      </w:r>
    </w:p>
    <w:p w14:paraId="3BE0C57B" w14:textId="77777777" w:rsidR="00BF7B0F" w:rsidRDefault="00BF7B0F" w:rsidP="00BF7B0F">
      <w:pPr>
        <w:pStyle w:val="NormalWeb"/>
      </w:pPr>
      <w:r>
        <w:t>No major deviations occurred from the original project plan. The modeling, analysis, and deliverables were completed within the expected timeline and aligned with the initial proposal.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3"/>
        <w:gridCol w:w="1194"/>
        <w:gridCol w:w="1185"/>
        <w:gridCol w:w="4518"/>
      </w:tblGrid>
      <w:tr w:rsidR="00BF7B0F" w:rsidRPr="00BF7B0F" w14:paraId="0428F1DF" w14:textId="77777777" w:rsidTr="00BF7B0F">
        <w:trPr>
          <w:tblHeader/>
          <w:tblCellSpacing w:w="15" w:type="dxa"/>
        </w:trPr>
        <w:tc>
          <w:tcPr>
            <w:tcW w:w="0" w:type="auto"/>
            <w:vAlign w:val="center"/>
            <w:hideMark/>
          </w:tcPr>
          <w:p w14:paraId="1C4D3D5A" w14:textId="77777777" w:rsidR="00BF7B0F" w:rsidRPr="00BF7B0F" w:rsidRDefault="00BF7B0F" w:rsidP="00BF7B0F">
            <w:pPr>
              <w:jc w:val="center"/>
              <w:rPr>
                <w:b/>
                <w:bCs/>
                <w:sz w:val="24"/>
                <w:szCs w:val="24"/>
              </w:rPr>
            </w:pPr>
            <w:r w:rsidRPr="00BF7B0F">
              <w:rPr>
                <w:b/>
                <w:bCs/>
                <w:sz w:val="24"/>
                <w:szCs w:val="24"/>
              </w:rPr>
              <w:t>Milestone</w:t>
            </w:r>
          </w:p>
        </w:tc>
        <w:tc>
          <w:tcPr>
            <w:tcW w:w="0" w:type="auto"/>
            <w:vAlign w:val="center"/>
            <w:hideMark/>
          </w:tcPr>
          <w:p w14:paraId="5A3779D7" w14:textId="77777777" w:rsidR="00BF7B0F" w:rsidRPr="00BF7B0F" w:rsidRDefault="00BF7B0F" w:rsidP="00BF7B0F">
            <w:pPr>
              <w:jc w:val="center"/>
              <w:rPr>
                <w:b/>
                <w:bCs/>
                <w:sz w:val="24"/>
                <w:szCs w:val="24"/>
              </w:rPr>
            </w:pPr>
            <w:r w:rsidRPr="00BF7B0F">
              <w:rPr>
                <w:b/>
                <w:bCs/>
                <w:sz w:val="24"/>
                <w:szCs w:val="24"/>
              </w:rPr>
              <w:t>Start Date</w:t>
            </w:r>
          </w:p>
        </w:tc>
        <w:tc>
          <w:tcPr>
            <w:tcW w:w="0" w:type="auto"/>
            <w:vAlign w:val="center"/>
            <w:hideMark/>
          </w:tcPr>
          <w:p w14:paraId="1D4A0646" w14:textId="77777777" w:rsidR="00BF7B0F" w:rsidRPr="00BF7B0F" w:rsidRDefault="00BF7B0F" w:rsidP="00BF7B0F">
            <w:pPr>
              <w:jc w:val="center"/>
              <w:rPr>
                <w:b/>
                <w:bCs/>
                <w:sz w:val="24"/>
                <w:szCs w:val="24"/>
              </w:rPr>
            </w:pPr>
            <w:r w:rsidRPr="00BF7B0F">
              <w:rPr>
                <w:b/>
                <w:bCs/>
                <w:sz w:val="24"/>
                <w:szCs w:val="24"/>
              </w:rPr>
              <w:t>End Date</w:t>
            </w:r>
          </w:p>
        </w:tc>
        <w:tc>
          <w:tcPr>
            <w:tcW w:w="0" w:type="auto"/>
            <w:vAlign w:val="center"/>
            <w:hideMark/>
          </w:tcPr>
          <w:p w14:paraId="3BDF64C0" w14:textId="77777777" w:rsidR="00BF7B0F" w:rsidRPr="00BF7B0F" w:rsidRDefault="00BF7B0F" w:rsidP="00BF7B0F">
            <w:pPr>
              <w:jc w:val="center"/>
              <w:rPr>
                <w:b/>
                <w:bCs/>
                <w:sz w:val="24"/>
                <w:szCs w:val="24"/>
              </w:rPr>
            </w:pPr>
            <w:r w:rsidRPr="00BF7B0F">
              <w:rPr>
                <w:b/>
                <w:bCs/>
                <w:sz w:val="24"/>
                <w:szCs w:val="24"/>
              </w:rPr>
              <w:t>Description</w:t>
            </w:r>
          </w:p>
        </w:tc>
      </w:tr>
      <w:tr w:rsidR="00BF7B0F" w:rsidRPr="00BF7B0F" w14:paraId="309A58F3" w14:textId="77777777" w:rsidTr="00BF7B0F">
        <w:trPr>
          <w:tblCellSpacing w:w="15" w:type="dxa"/>
        </w:trPr>
        <w:tc>
          <w:tcPr>
            <w:tcW w:w="0" w:type="auto"/>
            <w:vAlign w:val="center"/>
            <w:hideMark/>
          </w:tcPr>
          <w:p w14:paraId="31D39C81" w14:textId="77777777" w:rsidR="00BF7B0F" w:rsidRPr="00BF7B0F" w:rsidRDefault="00BF7B0F" w:rsidP="00BF7B0F">
            <w:pPr>
              <w:rPr>
                <w:sz w:val="24"/>
                <w:szCs w:val="24"/>
              </w:rPr>
            </w:pPr>
            <w:r w:rsidRPr="00BF7B0F">
              <w:rPr>
                <w:sz w:val="24"/>
                <w:szCs w:val="24"/>
              </w:rPr>
              <w:t>Data Exploration</w:t>
            </w:r>
          </w:p>
        </w:tc>
        <w:tc>
          <w:tcPr>
            <w:tcW w:w="0" w:type="auto"/>
            <w:vAlign w:val="center"/>
            <w:hideMark/>
          </w:tcPr>
          <w:p w14:paraId="1E27C5F3" w14:textId="77777777" w:rsidR="00BF7B0F" w:rsidRPr="00BF7B0F" w:rsidRDefault="00BF7B0F" w:rsidP="00BF7B0F">
            <w:pPr>
              <w:rPr>
                <w:sz w:val="24"/>
                <w:szCs w:val="24"/>
              </w:rPr>
            </w:pPr>
            <w:r w:rsidRPr="00BF7B0F">
              <w:rPr>
                <w:sz w:val="24"/>
                <w:szCs w:val="24"/>
              </w:rPr>
              <w:t>July 10, 2025</w:t>
            </w:r>
          </w:p>
        </w:tc>
        <w:tc>
          <w:tcPr>
            <w:tcW w:w="0" w:type="auto"/>
            <w:vAlign w:val="center"/>
            <w:hideMark/>
          </w:tcPr>
          <w:p w14:paraId="76E1C0E2" w14:textId="77777777" w:rsidR="00BF7B0F" w:rsidRPr="00BF7B0F" w:rsidRDefault="00BF7B0F" w:rsidP="00BF7B0F">
            <w:pPr>
              <w:rPr>
                <w:sz w:val="24"/>
                <w:szCs w:val="24"/>
              </w:rPr>
            </w:pPr>
            <w:r w:rsidRPr="00BF7B0F">
              <w:rPr>
                <w:sz w:val="24"/>
                <w:szCs w:val="24"/>
              </w:rPr>
              <w:t>July 11, 2025</w:t>
            </w:r>
          </w:p>
        </w:tc>
        <w:tc>
          <w:tcPr>
            <w:tcW w:w="0" w:type="auto"/>
            <w:vAlign w:val="center"/>
            <w:hideMark/>
          </w:tcPr>
          <w:p w14:paraId="4DB1947D" w14:textId="77777777" w:rsidR="00BF7B0F" w:rsidRPr="00BF7B0F" w:rsidRDefault="00BF7B0F" w:rsidP="00BF7B0F">
            <w:pPr>
              <w:rPr>
                <w:sz w:val="24"/>
                <w:szCs w:val="24"/>
              </w:rPr>
            </w:pPr>
            <w:r w:rsidRPr="00BF7B0F">
              <w:rPr>
                <w:sz w:val="24"/>
                <w:szCs w:val="24"/>
              </w:rPr>
              <w:t>Reviewed EIA dataset and confirmed relevant columns</w:t>
            </w:r>
          </w:p>
        </w:tc>
      </w:tr>
      <w:tr w:rsidR="00BF7B0F" w:rsidRPr="00BF7B0F" w14:paraId="7DB289A0" w14:textId="77777777" w:rsidTr="00BF7B0F">
        <w:trPr>
          <w:tblCellSpacing w:w="15" w:type="dxa"/>
        </w:trPr>
        <w:tc>
          <w:tcPr>
            <w:tcW w:w="0" w:type="auto"/>
            <w:vAlign w:val="center"/>
            <w:hideMark/>
          </w:tcPr>
          <w:p w14:paraId="2C533E71" w14:textId="77777777" w:rsidR="00BF7B0F" w:rsidRPr="00BF7B0F" w:rsidRDefault="00BF7B0F" w:rsidP="00BF7B0F">
            <w:pPr>
              <w:rPr>
                <w:sz w:val="24"/>
                <w:szCs w:val="24"/>
              </w:rPr>
            </w:pPr>
            <w:r w:rsidRPr="00BF7B0F">
              <w:rPr>
                <w:sz w:val="24"/>
                <w:szCs w:val="24"/>
              </w:rPr>
              <w:t>Data Preparation</w:t>
            </w:r>
          </w:p>
        </w:tc>
        <w:tc>
          <w:tcPr>
            <w:tcW w:w="0" w:type="auto"/>
            <w:vAlign w:val="center"/>
            <w:hideMark/>
          </w:tcPr>
          <w:p w14:paraId="108F3890" w14:textId="77777777" w:rsidR="00BF7B0F" w:rsidRPr="00BF7B0F" w:rsidRDefault="00BF7B0F" w:rsidP="00BF7B0F">
            <w:pPr>
              <w:rPr>
                <w:sz w:val="24"/>
                <w:szCs w:val="24"/>
              </w:rPr>
            </w:pPr>
            <w:r w:rsidRPr="00BF7B0F">
              <w:rPr>
                <w:sz w:val="24"/>
                <w:szCs w:val="24"/>
              </w:rPr>
              <w:t>July 11, 2025</w:t>
            </w:r>
          </w:p>
        </w:tc>
        <w:tc>
          <w:tcPr>
            <w:tcW w:w="0" w:type="auto"/>
            <w:vAlign w:val="center"/>
            <w:hideMark/>
          </w:tcPr>
          <w:p w14:paraId="6179B90A" w14:textId="77777777" w:rsidR="00BF7B0F" w:rsidRPr="00BF7B0F" w:rsidRDefault="00BF7B0F" w:rsidP="00BF7B0F">
            <w:pPr>
              <w:rPr>
                <w:sz w:val="24"/>
                <w:szCs w:val="24"/>
              </w:rPr>
            </w:pPr>
            <w:r w:rsidRPr="00BF7B0F">
              <w:rPr>
                <w:sz w:val="24"/>
                <w:szCs w:val="24"/>
              </w:rPr>
              <w:t>July 12, 2025</w:t>
            </w:r>
          </w:p>
        </w:tc>
        <w:tc>
          <w:tcPr>
            <w:tcW w:w="0" w:type="auto"/>
            <w:vAlign w:val="center"/>
            <w:hideMark/>
          </w:tcPr>
          <w:p w14:paraId="15BC8E7A" w14:textId="77777777" w:rsidR="00BF7B0F" w:rsidRPr="00BF7B0F" w:rsidRDefault="00BF7B0F" w:rsidP="00BF7B0F">
            <w:pPr>
              <w:rPr>
                <w:sz w:val="24"/>
                <w:szCs w:val="24"/>
              </w:rPr>
            </w:pPr>
            <w:r w:rsidRPr="00BF7B0F">
              <w:rPr>
                <w:sz w:val="24"/>
                <w:szCs w:val="24"/>
              </w:rPr>
              <w:t>Structured dataset for regression and correlation</w:t>
            </w:r>
          </w:p>
        </w:tc>
      </w:tr>
      <w:tr w:rsidR="00BF7B0F" w:rsidRPr="00BF7B0F" w14:paraId="73289243" w14:textId="77777777" w:rsidTr="00BF7B0F">
        <w:trPr>
          <w:tblCellSpacing w:w="15" w:type="dxa"/>
        </w:trPr>
        <w:tc>
          <w:tcPr>
            <w:tcW w:w="0" w:type="auto"/>
            <w:vAlign w:val="center"/>
            <w:hideMark/>
          </w:tcPr>
          <w:p w14:paraId="4556BEE1" w14:textId="77777777" w:rsidR="00BF7B0F" w:rsidRPr="00BF7B0F" w:rsidRDefault="00BF7B0F" w:rsidP="00BF7B0F">
            <w:pPr>
              <w:rPr>
                <w:sz w:val="24"/>
                <w:szCs w:val="24"/>
              </w:rPr>
            </w:pPr>
            <w:r w:rsidRPr="00BF7B0F">
              <w:rPr>
                <w:sz w:val="24"/>
                <w:szCs w:val="24"/>
              </w:rPr>
              <w:t>Modeling and Analysis</w:t>
            </w:r>
          </w:p>
        </w:tc>
        <w:tc>
          <w:tcPr>
            <w:tcW w:w="0" w:type="auto"/>
            <w:vAlign w:val="center"/>
            <w:hideMark/>
          </w:tcPr>
          <w:p w14:paraId="2BE58C0A" w14:textId="77777777" w:rsidR="00BF7B0F" w:rsidRPr="00BF7B0F" w:rsidRDefault="00BF7B0F" w:rsidP="00BF7B0F">
            <w:pPr>
              <w:rPr>
                <w:sz w:val="24"/>
                <w:szCs w:val="24"/>
              </w:rPr>
            </w:pPr>
            <w:r w:rsidRPr="00BF7B0F">
              <w:rPr>
                <w:sz w:val="24"/>
                <w:szCs w:val="24"/>
              </w:rPr>
              <w:t>July 12, 2025</w:t>
            </w:r>
          </w:p>
        </w:tc>
        <w:tc>
          <w:tcPr>
            <w:tcW w:w="0" w:type="auto"/>
            <w:vAlign w:val="center"/>
            <w:hideMark/>
          </w:tcPr>
          <w:p w14:paraId="203A2E5B" w14:textId="77777777" w:rsidR="00BF7B0F" w:rsidRPr="00BF7B0F" w:rsidRDefault="00BF7B0F" w:rsidP="00BF7B0F">
            <w:pPr>
              <w:rPr>
                <w:sz w:val="24"/>
                <w:szCs w:val="24"/>
              </w:rPr>
            </w:pPr>
            <w:r w:rsidRPr="00BF7B0F">
              <w:rPr>
                <w:sz w:val="24"/>
                <w:szCs w:val="24"/>
              </w:rPr>
              <w:t>July 13, 2025</w:t>
            </w:r>
          </w:p>
        </w:tc>
        <w:tc>
          <w:tcPr>
            <w:tcW w:w="0" w:type="auto"/>
            <w:vAlign w:val="center"/>
            <w:hideMark/>
          </w:tcPr>
          <w:p w14:paraId="731120E9" w14:textId="77777777" w:rsidR="00BF7B0F" w:rsidRPr="00BF7B0F" w:rsidRDefault="00BF7B0F" w:rsidP="00BF7B0F">
            <w:pPr>
              <w:rPr>
                <w:sz w:val="24"/>
                <w:szCs w:val="24"/>
              </w:rPr>
            </w:pPr>
            <w:r w:rsidRPr="00BF7B0F">
              <w:rPr>
                <w:sz w:val="24"/>
                <w:szCs w:val="24"/>
              </w:rPr>
              <w:t>Performed lag analysis and regression modeling</w:t>
            </w:r>
          </w:p>
        </w:tc>
      </w:tr>
      <w:tr w:rsidR="00BF7B0F" w:rsidRPr="00BF7B0F" w14:paraId="36BA2479" w14:textId="77777777" w:rsidTr="00BF7B0F">
        <w:trPr>
          <w:tblCellSpacing w:w="15" w:type="dxa"/>
        </w:trPr>
        <w:tc>
          <w:tcPr>
            <w:tcW w:w="0" w:type="auto"/>
            <w:vAlign w:val="center"/>
            <w:hideMark/>
          </w:tcPr>
          <w:p w14:paraId="76800BD9" w14:textId="77777777" w:rsidR="00BF7B0F" w:rsidRPr="00BF7B0F" w:rsidRDefault="00BF7B0F" w:rsidP="00BF7B0F">
            <w:pPr>
              <w:rPr>
                <w:sz w:val="24"/>
                <w:szCs w:val="24"/>
              </w:rPr>
            </w:pPr>
            <w:r w:rsidRPr="00BF7B0F">
              <w:rPr>
                <w:sz w:val="24"/>
                <w:szCs w:val="24"/>
              </w:rPr>
              <w:t>Dashboard Development</w:t>
            </w:r>
          </w:p>
        </w:tc>
        <w:tc>
          <w:tcPr>
            <w:tcW w:w="0" w:type="auto"/>
            <w:vAlign w:val="center"/>
            <w:hideMark/>
          </w:tcPr>
          <w:p w14:paraId="2953793F" w14:textId="77777777" w:rsidR="00BF7B0F" w:rsidRPr="00BF7B0F" w:rsidRDefault="00BF7B0F" w:rsidP="00BF7B0F">
            <w:pPr>
              <w:rPr>
                <w:sz w:val="24"/>
                <w:szCs w:val="24"/>
              </w:rPr>
            </w:pPr>
            <w:r w:rsidRPr="00BF7B0F">
              <w:rPr>
                <w:sz w:val="24"/>
                <w:szCs w:val="24"/>
              </w:rPr>
              <w:t>July 13, 2025</w:t>
            </w:r>
          </w:p>
        </w:tc>
        <w:tc>
          <w:tcPr>
            <w:tcW w:w="0" w:type="auto"/>
            <w:vAlign w:val="center"/>
            <w:hideMark/>
          </w:tcPr>
          <w:p w14:paraId="025F31A5" w14:textId="77777777" w:rsidR="00BF7B0F" w:rsidRPr="00BF7B0F" w:rsidRDefault="00BF7B0F" w:rsidP="00BF7B0F">
            <w:pPr>
              <w:rPr>
                <w:sz w:val="24"/>
                <w:szCs w:val="24"/>
              </w:rPr>
            </w:pPr>
            <w:r w:rsidRPr="00BF7B0F">
              <w:rPr>
                <w:sz w:val="24"/>
                <w:szCs w:val="24"/>
              </w:rPr>
              <w:t>July 14, 2025</w:t>
            </w:r>
          </w:p>
        </w:tc>
        <w:tc>
          <w:tcPr>
            <w:tcW w:w="0" w:type="auto"/>
            <w:vAlign w:val="center"/>
            <w:hideMark/>
          </w:tcPr>
          <w:p w14:paraId="19002C8F" w14:textId="77777777" w:rsidR="00BF7B0F" w:rsidRPr="00BF7B0F" w:rsidRDefault="00BF7B0F" w:rsidP="00BF7B0F">
            <w:pPr>
              <w:rPr>
                <w:sz w:val="24"/>
                <w:szCs w:val="24"/>
              </w:rPr>
            </w:pPr>
            <w:r w:rsidRPr="00BF7B0F">
              <w:rPr>
                <w:sz w:val="24"/>
                <w:szCs w:val="24"/>
              </w:rPr>
              <w:t>Created Tableau visuals and designed dashboard layout</w:t>
            </w:r>
          </w:p>
        </w:tc>
      </w:tr>
      <w:tr w:rsidR="00BF7B0F" w:rsidRPr="00BF7B0F" w14:paraId="6ACA1666" w14:textId="77777777" w:rsidTr="00BF7B0F">
        <w:trPr>
          <w:tblCellSpacing w:w="15" w:type="dxa"/>
        </w:trPr>
        <w:tc>
          <w:tcPr>
            <w:tcW w:w="0" w:type="auto"/>
            <w:vAlign w:val="center"/>
            <w:hideMark/>
          </w:tcPr>
          <w:p w14:paraId="1E15FB1E" w14:textId="77777777" w:rsidR="00BF7B0F" w:rsidRPr="00BF7B0F" w:rsidRDefault="00BF7B0F" w:rsidP="00BF7B0F">
            <w:pPr>
              <w:rPr>
                <w:sz w:val="24"/>
                <w:szCs w:val="24"/>
              </w:rPr>
            </w:pPr>
            <w:r w:rsidRPr="00BF7B0F">
              <w:rPr>
                <w:sz w:val="24"/>
                <w:szCs w:val="24"/>
              </w:rPr>
              <w:t>Final Report and README</w:t>
            </w:r>
          </w:p>
        </w:tc>
        <w:tc>
          <w:tcPr>
            <w:tcW w:w="0" w:type="auto"/>
            <w:vAlign w:val="center"/>
            <w:hideMark/>
          </w:tcPr>
          <w:p w14:paraId="4C4F7A7A" w14:textId="77777777" w:rsidR="00BF7B0F" w:rsidRPr="00BF7B0F" w:rsidRDefault="00BF7B0F" w:rsidP="00BF7B0F">
            <w:pPr>
              <w:rPr>
                <w:sz w:val="24"/>
                <w:szCs w:val="24"/>
              </w:rPr>
            </w:pPr>
            <w:r w:rsidRPr="00BF7B0F">
              <w:rPr>
                <w:sz w:val="24"/>
                <w:szCs w:val="24"/>
              </w:rPr>
              <w:t>July 14, 2025</w:t>
            </w:r>
          </w:p>
        </w:tc>
        <w:tc>
          <w:tcPr>
            <w:tcW w:w="0" w:type="auto"/>
            <w:vAlign w:val="center"/>
            <w:hideMark/>
          </w:tcPr>
          <w:p w14:paraId="201A663A" w14:textId="77777777" w:rsidR="00BF7B0F" w:rsidRPr="00BF7B0F" w:rsidRDefault="00BF7B0F" w:rsidP="00BF7B0F">
            <w:pPr>
              <w:rPr>
                <w:sz w:val="24"/>
                <w:szCs w:val="24"/>
              </w:rPr>
            </w:pPr>
            <w:r w:rsidRPr="00BF7B0F">
              <w:rPr>
                <w:sz w:val="24"/>
                <w:szCs w:val="24"/>
              </w:rPr>
              <w:t>July 16, 2025</w:t>
            </w:r>
          </w:p>
        </w:tc>
        <w:tc>
          <w:tcPr>
            <w:tcW w:w="0" w:type="auto"/>
            <w:vAlign w:val="center"/>
            <w:hideMark/>
          </w:tcPr>
          <w:p w14:paraId="2FD0729F" w14:textId="77777777" w:rsidR="00BF7B0F" w:rsidRPr="00BF7B0F" w:rsidRDefault="00BF7B0F" w:rsidP="00BF7B0F">
            <w:pPr>
              <w:rPr>
                <w:sz w:val="24"/>
                <w:szCs w:val="24"/>
              </w:rPr>
            </w:pPr>
            <w:proofErr w:type="gramStart"/>
            <w:r w:rsidRPr="00BF7B0F">
              <w:rPr>
                <w:sz w:val="24"/>
                <w:szCs w:val="24"/>
              </w:rPr>
              <w:t>Wrote</w:t>
            </w:r>
            <w:proofErr w:type="gramEnd"/>
            <w:r w:rsidRPr="00BF7B0F">
              <w:rPr>
                <w:sz w:val="24"/>
                <w:szCs w:val="24"/>
              </w:rPr>
              <w:t xml:space="preserve"> summary, organized deliverables for submission</w:t>
            </w:r>
          </w:p>
        </w:tc>
      </w:tr>
    </w:tbl>
    <w:p w14:paraId="6B17133B" w14:textId="2502E504" w:rsidR="440949C2" w:rsidRDefault="440949C2" w:rsidP="440949C2">
      <w:pPr>
        <w:spacing w:line="480" w:lineRule="auto"/>
        <w:ind w:firstLine="360"/>
        <w:rPr>
          <w:sz w:val="24"/>
          <w:szCs w:val="24"/>
        </w:rPr>
      </w:pPr>
    </w:p>
    <w:p w14:paraId="42E8BBD4" w14:textId="0591E8D8" w:rsidR="00BA5BE1" w:rsidRDefault="00BA5BE1" w:rsidP="00BA5BE1"/>
    <w:p w14:paraId="3BFD422B" w14:textId="2F9D8517" w:rsidR="0068048F" w:rsidRDefault="56BE3038" w:rsidP="00193B44">
      <w:pPr>
        <w:pStyle w:val="Heading1"/>
      </w:pPr>
      <w:bookmarkStart w:id="2" w:name="_Toc204396385"/>
      <w:r>
        <w:t xml:space="preserve">C. </w:t>
      </w:r>
      <w:r w:rsidR="00C55DA1">
        <w:t>D</w:t>
      </w:r>
      <w:r w:rsidR="00526B89">
        <w:t>ata Collection Process</w:t>
      </w:r>
      <w:bookmarkEnd w:id="2"/>
    </w:p>
    <w:p w14:paraId="1DB1C186" w14:textId="77777777" w:rsidR="00BF7B0F" w:rsidRDefault="00BF7B0F" w:rsidP="00BF7B0F">
      <w:pPr>
        <w:pStyle w:val="NormalWeb"/>
      </w:pPr>
      <w:r>
        <w:t>The dataset used for this project was sourced from the U.S. Energy Information Administration (EIA). It included monthly average prices from 1986 to 2025 for U.S. crude oil and seven refined fuels. The data was stored in an Excel workbook, with each fuel type on a separate sheet. Excel was used briefly to examine the file structure, but all data preparation was performed using Python.</w:t>
      </w:r>
    </w:p>
    <w:p w14:paraId="4759E142" w14:textId="77777777" w:rsidR="00BF7B0F" w:rsidRDefault="00BF7B0F" w:rsidP="00BF7B0F">
      <w:pPr>
        <w:pStyle w:val="NormalWeb"/>
      </w:pPr>
      <w:r>
        <w:t xml:space="preserve">Each sheet was read into a structured format using pandas, and fuel types were labeled based on their corresponding sheet. Dates were converted to a consistent datetime format, and price columns were renamed for clarity. The data was concatenated into a single </w:t>
      </w:r>
      <w:proofErr w:type="spellStart"/>
      <w:r>
        <w:t>DataFrame</w:t>
      </w:r>
      <w:proofErr w:type="spellEnd"/>
      <w:r>
        <w:t xml:space="preserve"> to allow for time series analysis and modeling.</w:t>
      </w:r>
    </w:p>
    <w:p w14:paraId="5E2387ED" w14:textId="77777777" w:rsidR="00BF7B0F" w:rsidRDefault="00BF7B0F" w:rsidP="00BF7B0F">
      <w:pPr>
        <w:pStyle w:val="NormalWeb"/>
      </w:pPr>
      <w:r>
        <w:t xml:space="preserve">No major cleaning was required, as the dataset was already complete and well-formatted. Minor formatting adjustments were made to ensure uniformity across fuel types. No imputation was necessary, as missing values were negligible and did not </w:t>
      </w:r>
      <w:proofErr w:type="gramStart"/>
      <w:r>
        <w:t>impact</w:t>
      </w:r>
      <w:proofErr w:type="gramEnd"/>
      <w:r>
        <w:t xml:space="preserve"> the analysis.</w:t>
      </w:r>
    </w:p>
    <w:p w14:paraId="14227EF8" w14:textId="77777777" w:rsidR="00BF7B0F" w:rsidRDefault="00BF7B0F" w:rsidP="00BF7B0F">
      <w:pPr>
        <w:pStyle w:val="NormalWeb"/>
      </w:pPr>
      <w:r>
        <w:lastRenderedPageBreak/>
        <w:t>The prepared dataset was used for both lag correlation analysis and regression modeling. The data was also exported into Tableau to create the dashboard visuals.</w:t>
      </w:r>
    </w:p>
    <w:p w14:paraId="7521B1E5" w14:textId="77777777" w:rsidR="006B7149" w:rsidRDefault="006B7149" w:rsidP="006B7149">
      <w:pPr>
        <w:pStyle w:val="NormalWeb"/>
      </w:pPr>
      <w:r>
        <w:t>The data used in this project is governed by the publicly available standards set by the U.S. Energy Information Administration (EIA). As a federal agency, the EIA provides high-quality, transparent data that is freely accessible and does not require licensing or special permissions, making it ideal for academic and public research.</w:t>
      </w:r>
    </w:p>
    <w:p w14:paraId="28B28BAA" w14:textId="77777777" w:rsidR="006B7149" w:rsidRDefault="006B7149" w:rsidP="006B7149">
      <w:pPr>
        <w:pStyle w:val="NormalWeb"/>
      </w:pPr>
      <w:r>
        <w:t>No personally identifiable information (PII) was present in the dataset, and the project involved no data collection from individuals. All data was stored securely on a password-protected local device and used exclusively for academic purposes. The dataset was not modified beyond basic formatting and structural adjustments necessary for analysis.</w:t>
      </w:r>
    </w:p>
    <w:p w14:paraId="64A4BAC5" w14:textId="77777777" w:rsidR="006B7149" w:rsidRDefault="006B7149" w:rsidP="006B7149">
      <w:pPr>
        <w:pStyle w:val="NormalWeb"/>
      </w:pPr>
      <w:r>
        <w:t>This project complied with ethical, legal, and regulatory standards associated with public data use. No proprietary or sensitive information was used, and all data handling decisions prioritized data integrity, security, and responsible use throughout the course of the analysis.</w:t>
      </w:r>
    </w:p>
    <w:p w14:paraId="2DCCF01F" w14:textId="77777777" w:rsidR="006B7149" w:rsidRDefault="006B7149" w:rsidP="00BF7B0F">
      <w:pPr>
        <w:pStyle w:val="NormalWeb"/>
      </w:pPr>
    </w:p>
    <w:p w14:paraId="6CB126A2" w14:textId="77777777" w:rsidR="00BF7B0F" w:rsidRPr="00BF7B0F" w:rsidRDefault="00BF7B0F" w:rsidP="00BF7B0F"/>
    <w:p w14:paraId="61566628" w14:textId="2BA87D78" w:rsidR="001C1EA3" w:rsidRPr="001C1EA3" w:rsidRDefault="00300830" w:rsidP="001C1EA3">
      <w:pPr>
        <w:pStyle w:val="Heading2"/>
      </w:pPr>
      <w:bookmarkStart w:id="3" w:name="_Toc204396386"/>
      <w:r>
        <w:t>C.1</w:t>
      </w:r>
      <w:r w:rsidR="001C1EA3">
        <w:t xml:space="preserve"> </w:t>
      </w:r>
      <w:r>
        <w:t>Advantages and Limitations of Data Set</w:t>
      </w:r>
      <w:bookmarkEnd w:id="3"/>
    </w:p>
    <w:p w14:paraId="164AA490" w14:textId="77777777" w:rsidR="00DC7371" w:rsidRDefault="00DC7371" w:rsidP="00DC7371">
      <w:pPr>
        <w:pStyle w:val="NormalWeb"/>
      </w:pPr>
      <w:r>
        <w:t xml:space="preserve">The primary advantage of the dataset is its </w:t>
      </w:r>
      <w:r w:rsidRPr="006B7149">
        <w:rPr>
          <w:rStyle w:val="Strong"/>
          <w:b w:val="0"/>
          <w:bCs w:val="0"/>
        </w:rPr>
        <w:t>length and completeness</w:t>
      </w:r>
      <w:r>
        <w:t>. Spanning nearly four decades (1986–2025), the data provides a robust foundation for analyzing long-term trends and performing time series analysis. It includes consistent monthly price records for U.S. crude oil and multiple refined fuels, which supports correlation and regression modeling.</w:t>
      </w:r>
    </w:p>
    <w:p w14:paraId="4897EE12" w14:textId="77777777" w:rsidR="00DC7371" w:rsidRDefault="00DC7371" w:rsidP="00DC7371">
      <w:pPr>
        <w:pStyle w:val="NormalWeb"/>
      </w:pPr>
      <w:r>
        <w:t xml:space="preserve">Another advantage is the dataset’s </w:t>
      </w:r>
      <w:r w:rsidRPr="006B7149">
        <w:rPr>
          <w:rStyle w:val="Strong"/>
          <w:b w:val="0"/>
          <w:bCs w:val="0"/>
        </w:rPr>
        <w:t>credibility and accessibility</w:t>
      </w:r>
      <w:r>
        <w:t>. It was sourced from the U.S. Energy Information Administration (EIA), a reputable and publicly funded agency. The data is well-organized, clearly labeled, and free from personal or proprietary information, making it easy to use in academic and professional settings.</w:t>
      </w:r>
    </w:p>
    <w:p w14:paraId="07950681" w14:textId="3AE1B382" w:rsidR="00DC7371" w:rsidRDefault="00DC7371" w:rsidP="00DC7371">
      <w:pPr>
        <w:pStyle w:val="NormalWeb"/>
      </w:pPr>
      <w:r>
        <w:t xml:space="preserve">However, the dataset also has limitations. It only covers </w:t>
      </w:r>
      <w:r w:rsidRPr="006B7149">
        <w:rPr>
          <w:rStyle w:val="Strong"/>
          <w:b w:val="0"/>
          <w:bCs w:val="0"/>
        </w:rPr>
        <w:t>U.S. domestic pricing</w:t>
      </w:r>
      <w:r>
        <w:t>, so the results may not generalize to international fuel markets. Additionally, while it captures pricing behavior, it lacks contextual variables such as supply chain disruptions, regulatory changes, or geopolitical events that may influence price fluctuations.</w:t>
      </w:r>
    </w:p>
    <w:p w14:paraId="7B272DCB" w14:textId="77777777" w:rsidR="00DC7371" w:rsidRDefault="00DC7371" w:rsidP="00DC7371">
      <w:pPr>
        <w:pStyle w:val="NormalWeb"/>
      </w:pPr>
      <w:r>
        <w:t>Despite these limitations, the dataset was suitable for addressing the research question and produced reliable, interpretable results.</w:t>
      </w:r>
    </w:p>
    <w:p w14:paraId="7F37B989" w14:textId="77777777" w:rsidR="006B7149" w:rsidRDefault="006B7149" w:rsidP="00DC7371">
      <w:pPr>
        <w:pStyle w:val="NormalWeb"/>
      </w:pPr>
    </w:p>
    <w:p w14:paraId="5D243CBB" w14:textId="77777777" w:rsidR="00E91C4B" w:rsidRPr="00E91C4B" w:rsidRDefault="00E91C4B" w:rsidP="00E91C4B"/>
    <w:p w14:paraId="7AAD2574" w14:textId="3EBBF397" w:rsidR="00D22073" w:rsidRPr="00193B44" w:rsidRDefault="00791951" w:rsidP="00193B44">
      <w:pPr>
        <w:pStyle w:val="Heading1"/>
      </w:pPr>
      <w:bookmarkStart w:id="4" w:name="_heading=h.44sinio"/>
      <w:bookmarkStart w:id="5" w:name="_Toc204396387"/>
      <w:bookmarkEnd w:id="4"/>
      <w:r>
        <w:lastRenderedPageBreak/>
        <w:t xml:space="preserve">D. </w:t>
      </w:r>
      <w:r w:rsidR="00880E02">
        <w:t xml:space="preserve">Data Extraction </w:t>
      </w:r>
      <w:r w:rsidR="001631FA">
        <w:t>and Prep</w:t>
      </w:r>
      <w:r w:rsidR="005F0072">
        <w:t>aration</w:t>
      </w:r>
      <w:bookmarkEnd w:id="5"/>
    </w:p>
    <w:p w14:paraId="122244C5" w14:textId="77777777" w:rsidR="00BB5BD2" w:rsidRDefault="00BB5BD2" w:rsidP="00BB5BD2">
      <w:pPr>
        <w:pStyle w:val="NormalWeb"/>
      </w:pPr>
      <w:r>
        <w:t>The dataset was extracted from the U.S. Energy Information Administration (EIA) and included monthly average prices for U.S. crude oil and seven refined fuel types from 1986 through 2025. The data was provided in Excel format, with each fuel type organized on a separate worksheet.</w:t>
      </w:r>
    </w:p>
    <w:p w14:paraId="47B4F403" w14:textId="77777777" w:rsidR="00BB5BD2" w:rsidRDefault="00BB5BD2" w:rsidP="00BB5BD2">
      <w:pPr>
        <w:pStyle w:val="NormalWeb"/>
      </w:pPr>
      <w:r>
        <w:t xml:space="preserve">Each sheet contained one or more columns representing regional prices (e.g., New York Harbor, Gulf Coast, Los Angeles). To ensure consistency across all fuel types, the </w:t>
      </w:r>
      <w:r>
        <w:rPr>
          <w:rStyle w:val="Strong"/>
        </w:rPr>
        <w:t xml:space="preserve">New York Harbor </w:t>
      </w:r>
      <w:proofErr w:type="gramStart"/>
      <w:r>
        <w:rPr>
          <w:rStyle w:val="Strong"/>
        </w:rPr>
        <w:t>price</w:t>
      </w:r>
      <w:proofErr w:type="gramEnd"/>
      <w:r>
        <w:t xml:space="preserve"> was selected when available. If New York Harbor was not present, the </w:t>
      </w:r>
      <w:r>
        <w:rPr>
          <w:rStyle w:val="Strong"/>
        </w:rPr>
        <w:t>only available regional column</w:t>
      </w:r>
      <w:r>
        <w:t xml:space="preserve"> for that fuel was used.</w:t>
      </w:r>
    </w:p>
    <w:p w14:paraId="0401E4A5" w14:textId="77777777" w:rsidR="00BB5BD2" w:rsidRDefault="00BB5BD2" w:rsidP="00BB5BD2">
      <w:pPr>
        <w:pStyle w:val="NormalWeb"/>
      </w:pPr>
      <w:r>
        <w:t>The data was loaded into Python using pandas for processing. Columns were renamed for clarity, dates were converted to a standard datetime format, and all fuel types were merged into a single dataset. The resulting structure allowed for streamlined correlation analysis and regression modeling.</w:t>
      </w:r>
    </w:p>
    <w:p w14:paraId="57AD4157" w14:textId="77777777" w:rsidR="00BB5BD2" w:rsidRDefault="00BB5BD2" w:rsidP="00BB5BD2">
      <w:pPr>
        <w:pStyle w:val="NormalWeb"/>
      </w:pPr>
      <w:r>
        <w:t>No significant data cleaning was required. The dataset was already complete and well-organized. Minor formatting adjustments were made to standardize column names and handle any irregularities in sheet labeling. The final dataset was saved and exported for use in Tableau and regression analysis.</w:t>
      </w:r>
    </w:p>
    <w:p w14:paraId="0951B4A8" w14:textId="30951420" w:rsidR="440949C2" w:rsidRDefault="440949C2" w:rsidP="440949C2">
      <w:pPr>
        <w:spacing w:line="480" w:lineRule="auto"/>
        <w:ind w:firstLine="720"/>
        <w:rPr>
          <w:sz w:val="24"/>
          <w:szCs w:val="24"/>
        </w:rPr>
      </w:pPr>
    </w:p>
    <w:p w14:paraId="34679AEE" w14:textId="52152A66" w:rsidR="00617EB7" w:rsidRDefault="00193B44" w:rsidP="00D863DC">
      <w:pPr>
        <w:pStyle w:val="Heading1"/>
      </w:pPr>
      <w:bookmarkStart w:id="6" w:name="_Toc204396388"/>
      <w:r>
        <w:t>E</w:t>
      </w:r>
      <w:r w:rsidR="00D863DC">
        <w:t>. Data Analysis Process</w:t>
      </w:r>
      <w:bookmarkEnd w:id="6"/>
    </w:p>
    <w:p w14:paraId="0CB6F87A" w14:textId="77777777" w:rsidR="00D863DC" w:rsidRPr="00D863DC" w:rsidRDefault="00D863DC" w:rsidP="00D863DC"/>
    <w:p w14:paraId="7B058C6D" w14:textId="7A15102C" w:rsidR="00CC5A7C" w:rsidRDefault="00D863DC" w:rsidP="001C1EA3">
      <w:pPr>
        <w:pStyle w:val="Heading2"/>
      </w:pPr>
      <w:bookmarkStart w:id="7" w:name="_Toc204396389"/>
      <w:r>
        <w:t>E</w:t>
      </w:r>
      <w:r w:rsidR="00CC5A7C">
        <w:t>.</w:t>
      </w:r>
      <w:r>
        <w:t>1</w:t>
      </w:r>
      <w:r w:rsidR="00CC5A7C">
        <w:t xml:space="preserve"> </w:t>
      </w:r>
      <w:r w:rsidR="002A3040">
        <w:t>Data Analysis Methods</w:t>
      </w:r>
      <w:bookmarkEnd w:id="7"/>
    </w:p>
    <w:p w14:paraId="62B13946" w14:textId="77777777" w:rsidR="00490ACB" w:rsidRDefault="00490ACB" w:rsidP="00490ACB">
      <w:pPr>
        <w:pStyle w:val="NormalWeb"/>
      </w:pPr>
      <w:r>
        <w:t>The project used three primary methods of analysis: descriptive analytics, lagged correlation testing, and multiple linear regression.</w:t>
      </w:r>
    </w:p>
    <w:p w14:paraId="43EF1316" w14:textId="77777777" w:rsidR="00490ACB" w:rsidRDefault="00490ACB" w:rsidP="00490ACB">
      <w:pPr>
        <w:pStyle w:val="NormalWeb"/>
        <w:numPr>
          <w:ilvl w:val="0"/>
          <w:numId w:val="43"/>
        </w:numPr>
      </w:pPr>
      <w:r>
        <w:rPr>
          <w:rStyle w:val="Strong"/>
        </w:rPr>
        <w:t>Descriptive Analytics</w:t>
      </w:r>
      <w:r>
        <w:t>: Line charts were created to display annual average prices for crude oil and refined fuels. This helped visualize long-term pricing trends and contextualize the relationship between input (crude) and output (fuels).</w:t>
      </w:r>
    </w:p>
    <w:p w14:paraId="45BC18F8" w14:textId="77777777" w:rsidR="00490ACB" w:rsidRDefault="00490ACB" w:rsidP="00490ACB">
      <w:pPr>
        <w:pStyle w:val="NormalWeb"/>
        <w:numPr>
          <w:ilvl w:val="0"/>
          <w:numId w:val="43"/>
        </w:numPr>
      </w:pPr>
      <w:r>
        <w:rPr>
          <w:rStyle w:val="Strong"/>
        </w:rPr>
        <w:t>Lagged Correlation Analysis</w:t>
      </w:r>
      <w:r>
        <w:t>: This diagnostic method was used to determine whether changes in crude oil prices preceded changes in refined fuel prices. Correlations were calculated at multiple monthly lags (0–12 months), and the results were displayed in a heatmap. This method was appropriate because it allowed us to detect delayed market responses.</w:t>
      </w:r>
    </w:p>
    <w:p w14:paraId="5C16C419" w14:textId="77777777" w:rsidR="00490ACB" w:rsidRDefault="00490ACB" w:rsidP="00490ACB">
      <w:pPr>
        <w:pStyle w:val="NormalWeb"/>
        <w:numPr>
          <w:ilvl w:val="0"/>
          <w:numId w:val="43"/>
        </w:numPr>
      </w:pPr>
      <w:r>
        <w:rPr>
          <w:rStyle w:val="Strong"/>
        </w:rPr>
        <w:t>Multiple Linear Regression</w:t>
      </w:r>
      <w:r>
        <w:t>: This predictive method modeled refined fuel prices as a function of crude oil price. It was used to support the hypothesis that crude oil prices significantly influence refined fuel prices. The model produced coefficients and p-values, helping assess both the strength and significance of the relationships.</w:t>
      </w:r>
    </w:p>
    <w:p w14:paraId="706DE366" w14:textId="77777777" w:rsidR="00490ACB" w:rsidRDefault="00490ACB" w:rsidP="00490ACB">
      <w:pPr>
        <w:pStyle w:val="NormalWeb"/>
      </w:pPr>
      <w:r>
        <w:lastRenderedPageBreak/>
        <w:t xml:space="preserve">These methods were appropriate for the project because they supported both </w:t>
      </w:r>
      <w:r>
        <w:rPr>
          <w:rStyle w:val="Strong"/>
        </w:rPr>
        <w:t>exploratory</w:t>
      </w:r>
      <w:r>
        <w:t xml:space="preserve"> and </w:t>
      </w:r>
      <w:r>
        <w:rPr>
          <w:rStyle w:val="Strong"/>
        </w:rPr>
        <w:t>inferential</w:t>
      </w:r>
      <w:r>
        <w:t xml:space="preserve"> goals: identifying patterns and quantifying relationships.</w:t>
      </w:r>
    </w:p>
    <w:p w14:paraId="11161B02" w14:textId="77777777" w:rsidR="00490ACB" w:rsidRPr="00490ACB" w:rsidRDefault="00490ACB" w:rsidP="00490ACB"/>
    <w:p w14:paraId="5C9A61B6" w14:textId="76F3B5FA" w:rsidR="00E65F0F" w:rsidRDefault="00417B10" w:rsidP="001C1EA3">
      <w:pPr>
        <w:pStyle w:val="Heading2"/>
      </w:pPr>
      <w:bookmarkStart w:id="8" w:name="_Toc204396390"/>
      <w:r>
        <w:t>E</w:t>
      </w:r>
      <w:r w:rsidR="00E65F0F">
        <w:t>.</w:t>
      </w:r>
      <w:r>
        <w:t>2</w:t>
      </w:r>
      <w:r w:rsidR="00E65F0F">
        <w:t xml:space="preserve"> </w:t>
      </w:r>
      <w:r w:rsidR="0007080C">
        <w:t>Advantages and Limitations of Tools and Techniques</w:t>
      </w:r>
      <w:bookmarkEnd w:id="8"/>
    </w:p>
    <w:p w14:paraId="327184FF" w14:textId="7F816DED" w:rsidR="00DC12A9" w:rsidRDefault="00DC12A9" w:rsidP="00DC12A9">
      <w:pPr>
        <w:pStyle w:val="NormalWeb"/>
      </w:pPr>
      <w:r>
        <w:t xml:space="preserve">This project used several tools and techniques to conduct the analysis, each offering specific advantages while also presenting certain limitations. Python, along with its associated libraries such as pandas, </w:t>
      </w:r>
      <w:proofErr w:type="spellStart"/>
      <w:r>
        <w:t>numpy</w:t>
      </w:r>
      <w:proofErr w:type="spellEnd"/>
      <w:r>
        <w:t>, and scikit learn, was the primary programming environment used to perform regression modeling and prepare lagged correlation data. Python’s flexibility and extensive library ecosystem made it well-suited for exploratory data analysis and statistical testing. However, it does require careful management of code and dependencies, especially when integrating multiple steps like data cleaning, modeling, and evaluation in a single workflow.</w:t>
      </w:r>
    </w:p>
    <w:p w14:paraId="48080812" w14:textId="77777777" w:rsidR="00DC12A9" w:rsidRDefault="00DC12A9" w:rsidP="00DC12A9">
      <w:pPr>
        <w:pStyle w:val="NormalWeb"/>
      </w:pPr>
      <w:proofErr w:type="spellStart"/>
      <w:r>
        <w:t>Jupyter</w:t>
      </w:r>
      <w:proofErr w:type="spellEnd"/>
      <w:r>
        <w:t xml:space="preserve"> Notebook served as the interface for executing Python code. Its interactive nature allowed for iterative testing and easy visualization of intermediate results, which was helpful during model development. One limitation, however, is that notebooks can become disorganized when outputs are not run in a linear order, potentially leading to confusion or reproducibility issues if not well-documented.</w:t>
      </w:r>
    </w:p>
    <w:p w14:paraId="772A87C8" w14:textId="77777777" w:rsidR="00DC12A9" w:rsidRDefault="00DC12A9" w:rsidP="00DC12A9">
      <w:pPr>
        <w:pStyle w:val="NormalWeb"/>
      </w:pPr>
      <w:r>
        <w:t>Tableau was used to create interactive visualizations and the final dashboard. It offered intuitive drag-and-drop functionality and strong visual storytelling capabilities, which helped present results to a non-technical audience. Tableau’s main limitation is its lack of advanced statistical modeling features, which is why it was used for visualization rather than analysis.</w:t>
      </w:r>
    </w:p>
    <w:p w14:paraId="35A7FD6A" w14:textId="77777777" w:rsidR="00DC12A9" w:rsidRDefault="00DC12A9" w:rsidP="00DC12A9">
      <w:pPr>
        <w:pStyle w:val="NormalWeb"/>
      </w:pPr>
      <w:r>
        <w:t>Excel was used only during the early phase of the project to inspect the raw data file and understand the structure of the sheets. While it is a convenient tool for quick viewing, it was not used for transformation or analysis due to its limitations in handling complex time-series or statistical tasks.</w:t>
      </w:r>
    </w:p>
    <w:p w14:paraId="08B1ABCB" w14:textId="602E83DB" w:rsidR="00DC12A9" w:rsidRDefault="00DC12A9" w:rsidP="00DC12A9">
      <w:pPr>
        <w:pStyle w:val="NormalWeb"/>
      </w:pPr>
      <w:r>
        <w:t xml:space="preserve">Each of these tools contributed meaningfully to different stages of the analysis. Python and </w:t>
      </w:r>
      <w:proofErr w:type="spellStart"/>
      <w:r>
        <w:t>Jupyter</w:t>
      </w:r>
      <w:proofErr w:type="spellEnd"/>
      <w:r>
        <w:t xml:space="preserve"> supported modeling and testing, Tableau enhanced communication and exploration of results, and Excel helped with initial data inspection. While limitations exist in each platform, using them together </w:t>
      </w:r>
      <w:proofErr w:type="gramStart"/>
      <w:r>
        <w:t>provided</w:t>
      </w:r>
      <w:proofErr w:type="gramEnd"/>
      <w:r>
        <w:t xml:space="preserve"> a balanced and effective analytical environment.</w:t>
      </w:r>
    </w:p>
    <w:p w14:paraId="190183DE" w14:textId="77777777" w:rsidR="00490ACB" w:rsidRPr="00490ACB" w:rsidRDefault="00490ACB" w:rsidP="00490ACB"/>
    <w:p w14:paraId="0E4F9CAD" w14:textId="62330F9F" w:rsidR="00FE60AC" w:rsidRDefault="00751E94" w:rsidP="001C1EA3">
      <w:pPr>
        <w:pStyle w:val="Heading2"/>
      </w:pPr>
      <w:bookmarkStart w:id="9" w:name="_Toc204396391"/>
      <w:r>
        <w:t>E</w:t>
      </w:r>
      <w:r w:rsidR="00FE60AC">
        <w:t>.</w:t>
      </w:r>
      <w:r>
        <w:t>3</w:t>
      </w:r>
      <w:r w:rsidR="00FE60AC">
        <w:t xml:space="preserve"> </w:t>
      </w:r>
      <w:r w:rsidR="000F033C">
        <w:t>Application of Analytical Methods</w:t>
      </w:r>
      <w:bookmarkEnd w:id="9"/>
      <w:r w:rsidR="000F033C">
        <w:t xml:space="preserve"> </w:t>
      </w:r>
    </w:p>
    <w:p w14:paraId="690A709F" w14:textId="77777777" w:rsidR="00DC12A9" w:rsidRPr="00DC12A9" w:rsidRDefault="00DC12A9" w:rsidP="00DC12A9">
      <w:pPr>
        <w:rPr>
          <w:sz w:val="24"/>
          <w:szCs w:val="24"/>
        </w:rPr>
      </w:pPr>
      <w:r w:rsidRPr="00DC12A9">
        <w:rPr>
          <w:sz w:val="24"/>
          <w:szCs w:val="24"/>
        </w:rPr>
        <w:t xml:space="preserve">The data analysis process followed a structured, step-by-step approach to ensure reproducibility and accuracy. First, the dataset was loaded into Python and cleaned for consistency. Monthly average prices for crude oil and each refined fuel were extracted, and the date column was standardized to ensure proper alignment across </w:t>
      </w:r>
      <w:proofErr w:type="spellStart"/>
      <w:r w:rsidRPr="00DC12A9">
        <w:rPr>
          <w:sz w:val="24"/>
          <w:szCs w:val="24"/>
        </w:rPr>
        <w:t>all time</w:t>
      </w:r>
      <w:proofErr w:type="spellEnd"/>
      <w:r w:rsidRPr="00DC12A9">
        <w:rPr>
          <w:sz w:val="24"/>
          <w:szCs w:val="24"/>
        </w:rPr>
        <w:t xml:space="preserve"> series. The data was then reshaped from wide format to long format for easier analysis.</w:t>
      </w:r>
    </w:p>
    <w:p w14:paraId="508F6CE3" w14:textId="77777777" w:rsidR="00DC12A9" w:rsidRPr="00DC12A9" w:rsidRDefault="00DC12A9" w:rsidP="00DC12A9">
      <w:pPr>
        <w:rPr>
          <w:sz w:val="24"/>
          <w:szCs w:val="24"/>
        </w:rPr>
      </w:pPr>
      <w:r w:rsidRPr="00DC12A9">
        <w:rPr>
          <w:sz w:val="24"/>
          <w:szCs w:val="24"/>
        </w:rPr>
        <w:t xml:space="preserve">For the lagged correlation analysis, the crude oil price series was lagged by up to 12 months, and Pearson correlation coefficients were calculated between the lagged crude oil values and each </w:t>
      </w:r>
      <w:r w:rsidRPr="00DC12A9">
        <w:rPr>
          <w:sz w:val="24"/>
          <w:szCs w:val="24"/>
        </w:rPr>
        <w:lastRenderedPageBreak/>
        <w:t>refined fuel type. The resulting correlations and associated p-values were compiled to identify which lags had the strongest statistical relationship. To evaluate significance, an alpha level of 0.05 was used as the threshold for rejecting the null hypothesis, which stated that no correlation existed between the crude oil and refined fuel prices at each lag.</w:t>
      </w:r>
    </w:p>
    <w:p w14:paraId="2951143D" w14:textId="77777777" w:rsidR="00DC12A9" w:rsidRPr="00DC12A9" w:rsidRDefault="00DC12A9" w:rsidP="00DC12A9">
      <w:pPr>
        <w:rPr>
          <w:sz w:val="24"/>
          <w:szCs w:val="24"/>
        </w:rPr>
      </w:pPr>
      <w:r w:rsidRPr="00DC12A9">
        <w:rPr>
          <w:sz w:val="24"/>
          <w:szCs w:val="24"/>
        </w:rPr>
        <w:t>For regression modeling, a multiple linear regression was applied with crude oil price and its lagged values as features, and each refined fuel price as the response variable. The model’s assumptions — including linearity, independence, and normality of residuals — were verified through diagnostic plots and metrics such as R² and mean squared error (MSE). Each model was evaluated to determine whether crude oil prices had a meaningful predictive relationship with refined fuel prices.</w:t>
      </w:r>
    </w:p>
    <w:p w14:paraId="26821E7C" w14:textId="77777777" w:rsidR="00DC12A9" w:rsidRPr="00DC12A9" w:rsidRDefault="00DC12A9" w:rsidP="00DC12A9">
      <w:r w:rsidRPr="00DC12A9">
        <w:rPr>
          <w:sz w:val="24"/>
          <w:szCs w:val="24"/>
        </w:rPr>
        <w:t xml:space="preserve">These methods ensured the hypothesis could be tested from both a correlation-based and model-based perspective. All code was executed in </w:t>
      </w:r>
      <w:proofErr w:type="spellStart"/>
      <w:r w:rsidRPr="00DC12A9">
        <w:rPr>
          <w:sz w:val="24"/>
          <w:szCs w:val="24"/>
        </w:rPr>
        <w:t>Jupyter</w:t>
      </w:r>
      <w:proofErr w:type="spellEnd"/>
      <w:r w:rsidRPr="00DC12A9">
        <w:rPr>
          <w:sz w:val="24"/>
          <w:szCs w:val="24"/>
        </w:rPr>
        <w:t xml:space="preserve"> Notebook, and the output was validated visually and numerically before being summarized in Tableau for final presentation.</w:t>
      </w:r>
    </w:p>
    <w:p w14:paraId="68FDAFE0" w14:textId="77777777" w:rsidR="00DC12A9" w:rsidRPr="00DC12A9" w:rsidRDefault="00DC12A9" w:rsidP="00DC12A9"/>
    <w:p w14:paraId="236C34E1" w14:textId="77777777" w:rsidR="00490ACB" w:rsidRDefault="00490ACB" w:rsidP="00490ACB">
      <w:pPr>
        <w:pStyle w:val="NormalWeb"/>
      </w:pPr>
      <w:proofErr w:type="gramStart"/>
      <w:r>
        <w:rPr>
          <w:rFonts w:hAnsi="Symbol"/>
        </w:rPr>
        <w:t></w:t>
      </w:r>
      <w:r>
        <w:t xml:space="preserve">  </w:t>
      </w:r>
      <w:r>
        <w:rPr>
          <w:rStyle w:val="Strong"/>
        </w:rPr>
        <w:t>Lagged</w:t>
      </w:r>
      <w:proofErr w:type="gramEnd"/>
      <w:r>
        <w:rPr>
          <w:rStyle w:val="Strong"/>
        </w:rPr>
        <w:t xml:space="preserve"> Correlation Analysis</w:t>
      </w:r>
      <w:r>
        <w:t>:</w:t>
      </w:r>
    </w:p>
    <w:p w14:paraId="09355A4F" w14:textId="77777777" w:rsidR="00490ACB" w:rsidRDefault="00490ACB" w:rsidP="00490ACB">
      <w:pPr>
        <w:pStyle w:val="NormalWeb"/>
        <w:numPr>
          <w:ilvl w:val="0"/>
          <w:numId w:val="45"/>
        </w:numPr>
      </w:pPr>
      <w:r>
        <w:t>Crude oil price and each refined fuel price series were aligned by date.</w:t>
      </w:r>
    </w:p>
    <w:p w14:paraId="5ED62F83" w14:textId="77777777" w:rsidR="00490ACB" w:rsidRDefault="00490ACB" w:rsidP="00490ACB">
      <w:pPr>
        <w:pStyle w:val="NormalWeb"/>
        <w:numPr>
          <w:ilvl w:val="0"/>
          <w:numId w:val="45"/>
        </w:numPr>
      </w:pPr>
      <w:r>
        <w:t>For each fuel, correlation coefficients were calculated between crude oil prices and fuel prices at lags ranging from 0 to 12 months.</w:t>
      </w:r>
    </w:p>
    <w:p w14:paraId="59E991E0" w14:textId="77777777" w:rsidR="00490ACB" w:rsidRDefault="00490ACB" w:rsidP="00490ACB">
      <w:pPr>
        <w:pStyle w:val="NormalWeb"/>
        <w:numPr>
          <w:ilvl w:val="0"/>
          <w:numId w:val="45"/>
        </w:numPr>
      </w:pPr>
      <w:r>
        <w:t>Correlation results were visualized using a Tableau heatmap.</w:t>
      </w:r>
    </w:p>
    <w:p w14:paraId="708E1DAE" w14:textId="77777777" w:rsidR="00490ACB" w:rsidRDefault="00490ACB" w:rsidP="00490ACB">
      <w:pPr>
        <w:pStyle w:val="NormalWeb"/>
        <w:numPr>
          <w:ilvl w:val="0"/>
          <w:numId w:val="45"/>
        </w:numPr>
      </w:pPr>
      <w:r>
        <w:t xml:space="preserve">Assumption: Variables are continuous and </w:t>
      </w:r>
      <w:proofErr w:type="gramStart"/>
      <w:r>
        <w:t>time-aligned</w:t>
      </w:r>
      <w:proofErr w:type="gramEnd"/>
      <w:r>
        <w:t>. This was verified during preprocessing.</w:t>
      </w:r>
    </w:p>
    <w:p w14:paraId="17159E37" w14:textId="77777777" w:rsidR="00490ACB" w:rsidRDefault="00490ACB" w:rsidP="00490ACB">
      <w:pPr>
        <w:pStyle w:val="NormalWeb"/>
      </w:pPr>
      <w:proofErr w:type="gramStart"/>
      <w:r>
        <w:rPr>
          <w:rFonts w:hAnsi="Symbol"/>
        </w:rPr>
        <w:t></w:t>
      </w:r>
      <w:r>
        <w:t xml:space="preserve">  </w:t>
      </w:r>
      <w:r>
        <w:rPr>
          <w:rStyle w:val="Strong"/>
        </w:rPr>
        <w:t>Multiple</w:t>
      </w:r>
      <w:proofErr w:type="gramEnd"/>
      <w:r>
        <w:rPr>
          <w:rStyle w:val="Strong"/>
        </w:rPr>
        <w:t xml:space="preserve"> Linear Regression</w:t>
      </w:r>
      <w:r>
        <w:t>:</w:t>
      </w:r>
    </w:p>
    <w:p w14:paraId="33635D27" w14:textId="77777777" w:rsidR="00490ACB" w:rsidRDefault="00490ACB" w:rsidP="00490ACB">
      <w:pPr>
        <w:pStyle w:val="NormalWeb"/>
        <w:numPr>
          <w:ilvl w:val="0"/>
          <w:numId w:val="46"/>
        </w:numPr>
      </w:pPr>
      <w:r>
        <w:t>The dataset was merged into a wide format, with fuel prices and crude oil prices by month.</w:t>
      </w:r>
    </w:p>
    <w:p w14:paraId="05F96B5A" w14:textId="77777777" w:rsidR="00490ACB" w:rsidRDefault="00490ACB" w:rsidP="00490ACB">
      <w:pPr>
        <w:pStyle w:val="NormalWeb"/>
        <w:numPr>
          <w:ilvl w:val="0"/>
          <w:numId w:val="46"/>
        </w:numPr>
      </w:pPr>
      <w:r>
        <w:t>Each fuel type was modeled individually using crude oil price as the predictor variable.</w:t>
      </w:r>
    </w:p>
    <w:p w14:paraId="4C98086D" w14:textId="77777777" w:rsidR="00490ACB" w:rsidRDefault="00490ACB" w:rsidP="00490ACB">
      <w:pPr>
        <w:pStyle w:val="NormalWeb"/>
        <w:numPr>
          <w:ilvl w:val="0"/>
          <w:numId w:val="46"/>
        </w:numPr>
      </w:pPr>
      <w:r>
        <w:t xml:space="preserve">The scikit-learn </w:t>
      </w:r>
      <w:proofErr w:type="spellStart"/>
      <w:proofErr w:type="gramStart"/>
      <w:r>
        <w:rPr>
          <w:rStyle w:val="HTMLCode"/>
        </w:rPr>
        <w:t>LinearRegression</w:t>
      </w:r>
      <w:proofErr w:type="spellEnd"/>
      <w:r>
        <w:rPr>
          <w:rStyle w:val="HTMLCode"/>
        </w:rPr>
        <w:t>(</w:t>
      </w:r>
      <w:proofErr w:type="gramEnd"/>
      <w:r>
        <w:rPr>
          <w:rStyle w:val="HTMLCode"/>
        </w:rPr>
        <w:t>)</w:t>
      </w:r>
      <w:r>
        <w:t xml:space="preserve"> function was used to fit the model.</w:t>
      </w:r>
    </w:p>
    <w:p w14:paraId="7F88284B" w14:textId="77777777" w:rsidR="00490ACB" w:rsidRDefault="00490ACB" w:rsidP="00490ACB">
      <w:pPr>
        <w:pStyle w:val="NormalWeb"/>
        <w:numPr>
          <w:ilvl w:val="0"/>
          <w:numId w:val="46"/>
        </w:numPr>
      </w:pPr>
      <w:r>
        <w:t>The regression outputs (coefficients and p-values) were reviewed to ensure statistical significance.</w:t>
      </w:r>
    </w:p>
    <w:p w14:paraId="257EB843" w14:textId="77777777" w:rsidR="00490ACB" w:rsidRDefault="00490ACB" w:rsidP="00490ACB">
      <w:pPr>
        <w:pStyle w:val="NormalWeb"/>
        <w:numPr>
          <w:ilvl w:val="0"/>
          <w:numId w:val="46"/>
        </w:numPr>
      </w:pPr>
      <w:r>
        <w:t>Assumptions: Linearity, independence, and minimal multicollinearity were checked by examining residuals and correlation matrices</w:t>
      </w:r>
    </w:p>
    <w:p w14:paraId="0141F9BF" w14:textId="77777777" w:rsidR="00490ACB" w:rsidRPr="00490ACB" w:rsidRDefault="00490ACB" w:rsidP="00490ACB"/>
    <w:p w14:paraId="465956EC" w14:textId="77777777" w:rsidR="00490ACB" w:rsidRDefault="00490ACB" w:rsidP="00674F88">
      <w:pPr>
        <w:pStyle w:val="Heading1"/>
      </w:pPr>
    </w:p>
    <w:p w14:paraId="3A1FCD5F" w14:textId="0674B53B" w:rsidR="00674F88" w:rsidRDefault="00674F88" w:rsidP="00674F88">
      <w:pPr>
        <w:pStyle w:val="Heading1"/>
      </w:pPr>
      <w:bookmarkStart w:id="10" w:name="_Toc204396392"/>
      <w:r>
        <w:t>F</w:t>
      </w:r>
      <w:r w:rsidR="00671A3F">
        <w:t xml:space="preserve"> Data Analysis Results</w:t>
      </w:r>
      <w:bookmarkEnd w:id="10"/>
      <w:r w:rsidR="00671A3F">
        <w:t xml:space="preserve"> </w:t>
      </w:r>
    </w:p>
    <w:p w14:paraId="63295DE0" w14:textId="5BEB4491" w:rsidR="000C63ED" w:rsidRDefault="00671A3F" w:rsidP="001C1EA3">
      <w:pPr>
        <w:pStyle w:val="Heading2"/>
      </w:pPr>
      <w:bookmarkStart w:id="11" w:name="_Toc204396393"/>
      <w:r>
        <w:t xml:space="preserve">F.1 </w:t>
      </w:r>
      <w:r w:rsidR="00A56ED0">
        <w:t>Statistical Significance</w:t>
      </w:r>
      <w:bookmarkEnd w:id="11"/>
    </w:p>
    <w:p w14:paraId="58CC299D" w14:textId="77777777" w:rsidR="004F1CF1" w:rsidRPr="004F1CF1" w:rsidRDefault="004F1CF1" w:rsidP="004F1CF1">
      <w:pPr>
        <w:rPr>
          <w:sz w:val="24"/>
          <w:szCs w:val="24"/>
        </w:rPr>
      </w:pPr>
      <w:r w:rsidRPr="004F1CF1">
        <w:rPr>
          <w:sz w:val="24"/>
          <w:szCs w:val="24"/>
        </w:rPr>
        <w:t>A multiple linear regression model was used to evaluate whether crude oil prices significantly influence refined fuel prices. Each refined fuel was modeled using current crude oil price as the primary predictor. In addition, lagged correlation analysis was performed to determine the lead-lag strength of the relationship between crude oil and refined fuel prices.</w:t>
      </w:r>
    </w:p>
    <w:p w14:paraId="2B655A68" w14:textId="79195C6F" w:rsidR="004F1CF1" w:rsidRPr="004F1CF1" w:rsidRDefault="004F1CF1" w:rsidP="004F1CF1">
      <w:pPr>
        <w:rPr>
          <w:sz w:val="24"/>
          <w:szCs w:val="24"/>
        </w:rPr>
      </w:pPr>
    </w:p>
    <w:p w14:paraId="6A4A109C" w14:textId="77777777" w:rsidR="004F1CF1" w:rsidRPr="004F1CF1" w:rsidRDefault="004F1CF1" w:rsidP="004F1CF1">
      <w:pPr>
        <w:rPr>
          <w:b/>
          <w:bCs/>
        </w:rPr>
      </w:pPr>
      <w:r w:rsidRPr="004F1CF1">
        <w:rPr>
          <w:b/>
          <w:bCs/>
        </w:rPr>
        <w:t>Regression Model Results (Lag 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3"/>
        <w:gridCol w:w="1087"/>
        <w:gridCol w:w="866"/>
        <w:gridCol w:w="680"/>
      </w:tblGrid>
      <w:tr w:rsidR="004F1CF1" w:rsidRPr="004F1CF1" w14:paraId="3B156550" w14:textId="77777777" w:rsidTr="004F1CF1">
        <w:trPr>
          <w:tblHeader/>
          <w:tblCellSpacing w:w="15" w:type="dxa"/>
        </w:trPr>
        <w:tc>
          <w:tcPr>
            <w:tcW w:w="0" w:type="auto"/>
            <w:vAlign w:val="center"/>
            <w:hideMark/>
          </w:tcPr>
          <w:p w14:paraId="366C1FCB" w14:textId="77777777" w:rsidR="004F1CF1" w:rsidRPr="004F1CF1" w:rsidRDefault="004F1CF1" w:rsidP="004F1CF1">
            <w:pPr>
              <w:rPr>
                <w:b/>
                <w:bCs/>
              </w:rPr>
            </w:pPr>
            <w:r w:rsidRPr="004F1CF1">
              <w:rPr>
                <w:b/>
                <w:bCs/>
              </w:rPr>
              <w:t>Fuel Type</w:t>
            </w:r>
          </w:p>
        </w:tc>
        <w:tc>
          <w:tcPr>
            <w:tcW w:w="0" w:type="auto"/>
            <w:vAlign w:val="center"/>
            <w:hideMark/>
          </w:tcPr>
          <w:p w14:paraId="6D0C7088" w14:textId="77777777" w:rsidR="004F1CF1" w:rsidRPr="004F1CF1" w:rsidRDefault="004F1CF1" w:rsidP="004F1CF1">
            <w:pPr>
              <w:rPr>
                <w:b/>
                <w:bCs/>
              </w:rPr>
            </w:pPr>
            <w:r w:rsidRPr="004F1CF1">
              <w:rPr>
                <w:b/>
                <w:bCs/>
              </w:rPr>
              <w:t>Coefficient</w:t>
            </w:r>
          </w:p>
        </w:tc>
        <w:tc>
          <w:tcPr>
            <w:tcW w:w="0" w:type="auto"/>
            <w:vAlign w:val="center"/>
            <w:hideMark/>
          </w:tcPr>
          <w:p w14:paraId="1145FDAE" w14:textId="77777777" w:rsidR="004F1CF1" w:rsidRPr="004F1CF1" w:rsidRDefault="004F1CF1" w:rsidP="004F1CF1">
            <w:pPr>
              <w:rPr>
                <w:b/>
                <w:bCs/>
              </w:rPr>
            </w:pPr>
            <w:r w:rsidRPr="004F1CF1">
              <w:rPr>
                <w:b/>
                <w:bCs/>
              </w:rPr>
              <w:t>R² Score</w:t>
            </w:r>
          </w:p>
        </w:tc>
        <w:tc>
          <w:tcPr>
            <w:tcW w:w="0" w:type="auto"/>
            <w:vAlign w:val="center"/>
            <w:hideMark/>
          </w:tcPr>
          <w:p w14:paraId="4521C1D2" w14:textId="77777777" w:rsidR="004F1CF1" w:rsidRPr="004F1CF1" w:rsidRDefault="004F1CF1" w:rsidP="004F1CF1">
            <w:pPr>
              <w:rPr>
                <w:b/>
                <w:bCs/>
              </w:rPr>
            </w:pPr>
            <w:r w:rsidRPr="004F1CF1">
              <w:rPr>
                <w:b/>
                <w:bCs/>
              </w:rPr>
              <w:t>MSE</w:t>
            </w:r>
          </w:p>
        </w:tc>
      </w:tr>
      <w:tr w:rsidR="004F1CF1" w:rsidRPr="004F1CF1" w14:paraId="2AE9D5D0" w14:textId="77777777" w:rsidTr="004F1CF1">
        <w:trPr>
          <w:tblCellSpacing w:w="15" w:type="dxa"/>
        </w:trPr>
        <w:tc>
          <w:tcPr>
            <w:tcW w:w="0" w:type="auto"/>
            <w:vAlign w:val="center"/>
            <w:hideMark/>
          </w:tcPr>
          <w:p w14:paraId="3EDC879A" w14:textId="77777777" w:rsidR="004F1CF1" w:rsidRPr="004F1CF1" w:rsidRDefault="004F1CF1" w:rsidP="004F1CF1">
            <w:r w:rsidRPr="004F1CF1">
              <w:t>Conventional Gasoline</w:t>
            </w:r>
          </w:p>
        </w:tc>
        <w:tc>
          <w:tcPr>
            <w:tcW w:w="0" w:type="auto"/>
            <w:vAlign w:val="center"/>
            <w:hideMark/>
          </w:tcPr>
          <w:p w14:paraId="2D4AFB1C" w14:textId="77777777" w:rsidR="004F1CF1" w:rsidRPr="004F1CF1" w:rsidRDefault="004F1CF1" w:rsidP="004F1CF1">
            <w:r w:rsidRPr="004F1CF1">
              <w:t>0.0258</w:t>
            </w:r>
          </w:p>
        </w:tc>
        <w:tc>
          <w:tcPr>
            <w:tcW w:w="0" w:type="auto"/>
            <w:vAlign w:val="center"/>
            <w:hideMark/>
          </w:tcPr>
          <w:p w14:paraId="309024AF" w14:textId="77777777" w:rsidR="004F1CF1" w:rsidRPr="004F1CF1" w:rsidRDefault="004F1CF1" w:rsidP="004F1CF1">
            <w:r w:rsidRPr="004F1CF1">
              <w:t>0.8411</w:t>
            </w:r>
          </w:p>
        </w:tc>
        <w:tc>
          <w:tcPr>
            <w:tcW w:w="0" w:type="auto"/>
            <w:vAlign w:val="center"/>
            <w:hideMark/>
          </w:tcPr>
          <w:p w14:paraId="24DC1A4E" w14:textId="77777777" w:rsidR="004F1CF1" w:rsidRPr="004F1CF1" w:rsidRDefault="004F1CF1" w:rsidP="004F1CF1">
            <w:r w:rsidRPr="004F1CF1">
              <w:t>0.0548</w:t>
            </w:r>
          </w:p>
        </w:tc>
      </w:tr>
      <w:tr w:rsidR="004F1CF1" w:rsidRPr="004F1CF1" w14:paraId="743BA690" w14:textId="77777777" w:rsidTr="004F1CF1">
        <w:trPr>
          <w:tblCellSpacing w:w="15" w:type="dxa"/>
        </w:trPr>
        <w:tc>
          <w:tcPr>
            <w:tcW w:w="0" w:type="auto"/>
            <w:vAlign w:val="center"/>
            <w:hideMark/>
          </w:tcPr>
          <w:p w14:paraId="67BC5E3B" w14:textId="77777777" w:rsidR="004F1CF1" w:rsidRPr="004F1CF1" w:rsidRDefault="004F1CF1" w:rsidP="004F1CF1">
            <w:r w:rsidRPr="004F1CF1">
              <w:t>Jet Fuel</w:t>
            </w:r>
          </w:p>
        </w:tc>
        <w:tc>
          <w:tcPr>
            <w:tcW w:w="0" w:type="auto"/>
            <w:vAlign w:val="center"/>
            <w:hideMark/>
          </w:tcPr>
          <w:p w14:paraId="4077FD30" w14:textId="77777777" w:rsidR="004F1CF1" w:rsidRPr="004F1CF1" w:rsidRDefault="004F1CF1" w:rsidP="004F1CF1">
            <w:r w:rsidRPr="004F1CF1">
              <w:t>0.0273</w:t>
            </w:r>
          </w:p>
        </w:tc>
        <w:tc>
          <w:tcPr>
            <w:tcW w:w="0" w:type="auto"/>
            <w:vAlign w:val="center"/>
            <w:hideMark/>
          </w:tcPr>
          <w:p w14:paraId="5638E8A9" w14:textId="77777777" w:rsidR="004F1CF1" w:rsidRPr="004F1CF1" w:rsidRDefault="004F1CF1" w:rsidP="004F1CF1">
            <w:r w:rsidRPr="004F1CF1">
              <w:t>0.8907</w:t>
            </w:r>
          </w:p>
        </w:tc>
        <w:tc>
          <w:tcPr>
            <w:tcW w:w="0" w:type="auto"/>
            <w:vAlign w:val="center"/>
            <w:hideMark/>
          </w:tcPr>
          <w:p w14:paraId="60428D82" w14:textId="77777777" w:rsidR="004F1CF1" w:rsidRPr="004F1CF1" w:rsidRDefault="004F1CF1" w:rsidP="004F1CF1">
            <w:r w:rsidRPr="004F1CF1">
              <w:t>0.0546</w:t>
            </w:r>
          </w:p>
        </w:tc>
      </w:tr>
      <w:tr w:rsidR="004F1CF1" w:rsidRPr="004F1CF1" w14:paraId="134CBD5B" w14:textId="77777777" w:rsidTr="004F1CF1">
        <w:trPr>
          <w:tblCellSpacing w:w="15" w:type="dxa"/>
        </w:trPr>
        <w:tc>
          <w:tcPr>
            <w:tcW w:w="0" w:type="auto"/>
            <w:vAlign w:val="center"/>
            <w:hideMark/>
          </w:tcPr>
          <w:p w14:paraId="2F71E98F" w14:textId="77777777" w:rsidR="004F1CF1" w:rsidRPr="004F1CF1" w:rsidRDefault="004F1CF1" w:rsidP="004F1CF1">
            <w:r w:rsidRPr="004F1CF1">
              <w:t>No. 2 Heating Oil</w:t>
            </w:r>
          </w:p>
        </w:tc>
        <w:tc>
          <w:tcPr>
            <w:tcW w:w="0" w:type="auto"/>
            <w:vAlign w:val="center"/>
            <w:hideMark/>
          </w:tcPr>
          <w:p w14:paraId="4019E78B" w14:textId="77777777" w:rsidR="004F1CF1" w:rsidRPr="004F1CF1" w:rsidRDefault="004F1CF1" w:rsidP="004F1CF1">
            <w:r w:rsidRPr="004F1CF1">
              <w:t>0.0271</w:t>
            </w:r>
          </w:p>
        </w:tc>
        <w:tc>
          <w:tcPr>
            <w:tcW w:w="0" w:type="auto"/>
            <w:vAlign w:val="center"/>
            <w:hideMark/>
          </w:tcPr>
          <w:p w14:paraId="3CD49C1C" w14:textId="77777777" w:rsidR="004F1CF1" w:rsidRPr="004F1CF1" w:rsidRDefault="004F1CF1" w:rsidP="004F1CF1">
            <w:r w:rsidRPr="004F1CF1">
              <w:t>0.8250</w:t>
            </w:r>
          </w:p>
        </w:tc>
        <w:tc>
          <w:tcPr>
            <w:tcW w:w="0" w:type="auto"/>
            <w:vAlign w:val="center"/>
            <w:hideMark/>
          </w:tcPr>
          <w:p w14:paraId="4375A521" w14:textId="77777777" w:rsidR="004F1CF1" w:rsidRPr="004F1CF1" w:rsidRDefault="004F1CF1" w:rsidP="004F1CF1">
            <w:r w:rsidRPr="004F1CF1">
              <w:t>0.0899</w:t>
            </w:r>
          </w:p>
        </w:tc>
      </w:tr>
      <w:tr w:rsidR="004F1CF1" w:rsidRPr="004F1CF1" w14:paraId="4068C1EA" w14:textId="77777777" w:rsidTr="004F1CF1">
        <w:trPr>
          <w:tblCellSpacing w:w="15" w:type="dxa"/>
        </w:trPr>
        <w:tc>
          <w:tcPr>
            <w:tcW w:w="0" w:type="auto"/>
            <w:vAlign w:val="center"/>
            <w:hideMark/>
          </w:tcPr>
          <w:p w14:paraId="020901C9" w14:textId="77777777" w:rsidR="004F1CF1" w:rsidRPr="004F1CF1" w:rsidRDefault="004F1CF1" w:rsidP="004F1CF1">
            <w:r w:rsidRPr="004F1CF1">
              <w:t>Propane</w:t>
            </w:r>
          </w:p>
        </w:tc>
        <w:tc>
          <w:tcPr>
            <w:tcW w:w="0" w:type="auto"/>
            <w:vAlign w:val="center"/>
            <w:hideMark/>
          </w:tcPr>
          <w:p w14:paraId="2E963890" w14:textId="77777777" w:rsidR="004F1CF1" w:rsidRPr="004F1CF1" w:rsidRDefault="004F1CF1" w:rsidP="004F1CF1">
            <w:r w:rsidRPr="004F1CF1">
              <w:t>0.0151</w:t>
            </w:r>
          </w:p>
        </w:tc>
        <w:tc>
          <w:tcPr>
            <w:tcW w:w="0" w:type="auto"/>
            <w:vAlign w:val="center"/>
            <w:hideMark/>
          </w:tcPr>
          <w:p w14:paraId="5404BD29" w14:textId="77777777" w:rsidR="004F1CF1" w:rsidRPr="004F1CF1" w:rsidRDefault="004F1CF1" w:rsidP="004F1CF1">
            <w:r w:rsidRPr="004F1CF1">
              <w:t>0.6208</w:t>
            </w:r>
          </w:p>
        </w:tc>
        <w:tc>
          <w:tcPr>
            <w:tcW w:w="0" w:type="auto"/>
            <w:vAlign w:val="center"/>
            <w:hideMark/>
          </w:tcPr>
          <w:p w14:paraId="54D9BE5C" w14:textId="77777777" w:rsidR="004F1CF1" w:rsidRPr="004F1CF1" w:rsidRDefault="004F1CF1" w:rsidP="004F1CF1">
            <w:r w:rsidRPr="004F1CF1">
              <w:t>0.0460</w:t>
            </w:r>
          </w:p>
        </w:tc>
      </w:tr>
      <w:tr w:rsidR="004F1CF1" w:rsidRPr="004F1CF1" w14:paraId="7486B81E" w14:textId="77777777" w:rsidTr="004F1CF1">
        <w:trPr>
          <w:tblCellSpacing w:w="15" w:type="dxa"/>
        </w:trPr>
        <w:tc>
          <w:tcPr>
            <w:tcW w:w="0" w:type="auto"/>
            <w:vAlign w:val="center"/>
            <w:hideMark/>
          </w:tcPr>
          <w:p w14:paraId="0DE3F678" w14:textId="77777777" w:rsidR="004F1CF1" w:rsidRPr="004F1CF1" w:rsidRDefault="004F1CF1" w:rsidP="004F1CF1">
            <w:r w:rsidRPr="004F1CF1">
              <w:t>RBOB Regular Gasoline</w:t>
            </w:r>
          </w:p>
        </w:tc>
        <w:tc>
          <w:tcPr>
            <w:tcW w:w="0" w:type="auto"/>
            <w:vAlign w:val="center"/>
            <w:hideMark/>
          </w:tcPr>
          <w:p w14:paraId="7D72FF81" w14:textId="77777777" w:rsidR="004F1CF1" w:rsidRPr="004F1CF1" w:rsidRDefault="004F1CF1" w:rsidP="004F1CF1">
            <w:r w:rsidRPr="004F1CF1">
              <w:t>0.0279</w:t>
            </w:r>
          </w:p>
        </w:tc>
        <w:tc>
          <w:tcPr>
            <w:tcW w:w="0" w:type="auto"/>
            <w:vAlign w:val="center"/>
            <w:hideMark/>
          </w:tcPr>
          <w:p w14:paraId="3FC0F49F" w14:textId="77777777" w:rsidR="004F1CF1" w:rsidRPr="004F1CF1" w:rsidRDefault="004F1CF1" w:rsidP="004F1CF1">
            <w:r w:rsidRPr="004F1CF1">
              <w:t>0.7877</w:t>
            </w:r>
          </w:p>
        </w:tc>
        <w:tc>
          <w:tcPr>
            <w:tcW w:w="0" w:type="auto"/>
            <w:vAlign w:val="center"/>
            <w:hideMark/>
          </w:tcPr>
          <w:p w14:paraId="68753BDF" w14:textId="77777777" w:rsidR="004F1CF1" w:rsidRPr="004F1CF1" w:rsidRDefault="004F1CF1" w:rsidP="004F1CF1">
            <w:r w:rsidRPr="004F1CF1">
              <w:t>0.0799</w:t>
            </w:r>
          </w:p>
        </w:tc>
      </w:tr>
      <w:tr w:rsidR="004F1CF1" w:rsidRPr="004F1CF1" w14:paraId="52A82D96" w14:textId="77777777" w:rsidTr="004F1CF1">
        <w:trPr>
          <w:tblCellSpacing w:w="15" w:type="dxa"/>
        </w:trPr>
        <w:tc>
          <w:tcPr>
            <w:tcW w:w="0" w:type="auto"/>
            <w:vAlign w:val="center"/>
            <w:hideMark/>
          </w:tcPr>
          <w:p w14:paraId="6F525C7E" w14:textId="77777777" w:rsidR="004F1CF1" w:rsidRPr="004F1CF1" w:rsidRDefault="004F1CF1" w:rsidP="004F1CF1">
            <w:r w:rsidRPr="004F1CF1">
              <w:t>ULS Diesel</w:t>
            </w:r>
          </w:p>
        </w:tc>
        <w:tc>
          <w:tcPr>
            <w:tcW w:w="0" w:type="auto"/>
            <w:vAlign w:val="center"/>
            <w:hideMark/>
          </w:tcPr>
          <w:p w14:paraId="45B348E1" w14:textId="77777777" w:rsidR="004F1CF1" w:rsidRPr="004F1CF1" w:rsidRDefault="004F1CF1" w:rsidP="004F1CF1">
            <w:r w:rsidRPr="004F1CF1">
              <w:t>0.0277</w:t>
            </w:r>
          </w:p>
        </w:tc>
        <w:tc>
          <w:tcPr>
            <w:tcW w:w="0" w:type="auto"/>
            <w:vAlign w:val="center"/>
            <w:hideMark/>
          </w:tcPr>
          <w:p w14:paraId="09FFCA5D" w14:textId="77777777" w:rsidR="004F1CF1" w:rsidRPr="004F1CF1" w:rsidRDefault="004F1CF1" w:rsidP="004F1CF1">
            <w:r w:rsidRPr="004F1CF1">
              <w:t>0.8186</w:t>
            </w:r>
          </w:p>
        </w:tc>
        <w:tc>
          <w:tcPr>
            <w:tcW w:w="0" w:type="auto"/>
            <w:vAlign w:val="center"/>
            <w:hideMark/>
          </w:tcPr>
          <w:p w14:paraId="35031778" w14:textId="77777777" w:rsidR="004F1CF1" w:rsidRPr="004F1CF1" w:rsidRDefault="004F1CF1" w:rsidP="004F1CF1">
            <w:r w:rsidRPr="004F1CF1">
              <w:t>0.0975</w:t>
            </w:r>
          </w:p>
        </w:tc>
      </w:tr>
    </w:tbl>
    <w:p w14:paraId="18E9A8EA" w14:textId="77777777" w:rsidR="004F1CF1" w:rsidRPr="004F1CF1" w:rsidRDefault="004F1CF1" w:rsidP="004F1CF1">
      <w:pPr>
        <w:numPr>
          <w:ilvl w:val="0"/>
          <w:numId w:val="48"/>
        </w:numPr>
      </w:pPr>
      <w:r w:rsidRPr="004F1CF1">
        <w:rPr>
          <w:b/>
          <w:bCs/>
        </w:rPr>
        <w:t>Model Type</w:t>
      </w:r>
      <w:r w:rsidRPr="004F1CF1">
        <w:t>: Supervised regression</w:t>
      </w:r>
    </w:p>
    <w:p w14:paraId="5701CF2E" w14:textId="77777777" w:rsidR="004F1CF1" w:rsidRPr="004F1CF1" w:rsidRDefault="004F1CF1" w:rsidP="004F1CF1">
      <w:pPr>
        <w:numPr>
          <w:ilvl w:val="0"/>
          <w:numId w:val="48"/>
        </w:numPr>
      </w:pPr>
      <w:r w:rsidRPr="004F1CF1">
        <w:rPr>
          <w:b/>
          <w:bCs/>
        </w:rPr>
        <w:t>Algorithm Used</w:t>
      </w:r>
      <w:r w:rsidRPr="004F1CF1">
        <w:t>: Multiple linear regression (scikit-learn)</w:t>
      </w:r>
    </w:p>
    <w:p w14:paraId="7B75FE0F" w14:textId="77777777" w:rsidR="004F1CF1" w:rsidRPr="004F1CF1" w:rsidRDefault="004F1CF1" w:rsidP="004F1CF1">
      <w:pPr>
        <w:numPr>
          <w:ilvl w:val="0"/>
          <w:numId w:val="48"/>
        </w:numPr>
      </w:pPr>
      <w:r w:rsidRPr="004F1CF1">
        <w:rPr>
          <w:b/>
          <w:bCs/>
        </w:rPr>
        <w:t>Performance Metrics</w:t>
      </w:r>
      <w:r w:rsidRPr="004F1CF1">
        <w:t>: Coefficient (effect size), R² score (explained variance), MSE (model error)</w:t>
      </w:r>
    </w:p>
    <w:p w14:paraId="78A08A4B" w14:textId="77777777" w:rsidR="004F1CF1" w:rsidRPr="004F1CF1" w:rsidRDefault="004F1CF1" w:rsidP="004F1CF1">
      <w:pPr>
        <w:numPr>
          <w:ilvl w:val="0"/>
          <w:numId w:val="48"/>
        </w:numPr>
      </w:pPr>
      <w:r w:rsidRPr="004F1CF1">
        <w:rPr>
          <w:b/>
          <w:bCs/>
        </w:rPr>
        <w:t>Benchmark</w:t>
      </w:r>
      <w:r w:rsidRPr="004F1CF1">
        <w:t>: R² ≥ 0.70 and positive coefficient indicates strong model performance</w:t>
      </w:r>
    </w:p>
    <w:p w14:paraId="41E66166" w14:textId="2E545C17" w:rsidR="004F1CF1" w:rsidRPr="003C57C0" w:rsidRDefault="004F1CF1" w:rsidP="004F1CF1">
      <w:pPr>
        <w:rPr>
          <w:sz w:val="24"/>
          <w:szCs w:val="24"/>
        </w:rPr>
      </w:pPr>
      <w:r w:rsidRPr="004F1CF1">
        <w:rPr>
          <w:sz w:val="24"/>
          <w:szCs w:val="24"/>
        </w:rPr>
        <w:t xml:space="preserve">All refined fuels showed </w:t>
      </w:r>
      <w:r w:rsidRPr="004F1CF1">
        <w:rPr>
          <w:b/>
          <w:bCs/>
          <w:sz w:val="24"/>
          <w:szCs w:val="24"/>
        </w:rPr>
        <w:t>positive coefficients</w:t>
      </w:r>
      <w:r w:rsidRPr="004F1CF1">
        <w:rPr>
          <w:sz w:val="24"/>
          <w:szCs w:val="24"/>
        </w:rPr>
        <w:t>, indicating a direct relationship between crude oil and refined fuel prices. Jet Fuel had the strongest overall model fit (R² = 0.8907), followed closely by Conventional Gasoline and ULS Diesel. Propane showed the weakest fit (R² = 0.6208), suggesting its price is influenced by additional factors beyond crude oil</w:t>
      </w:r>
      <w:r w:rsidRPr="003C57C0">
        <w:rPr>
          <w:sz w:val="24"/>
          <w:szCs w:val="24"/>
        </w:rPr>
        <w:t>.</w:t>
      </w:r>
    </w:p>
    <w:p w14:paraId="27F741C2" w14:textId="77777777" w:rsidR="004F1CF1" w:rsidRDefault="004F1CF1" w:rsidP="004F1CF1"/>
    <w:p w14:paraId="7D23E9D7" w14:textId="77777777" w:rsidR="004F1CF1" w:rsidRPr="004F1CF1" w:rsidRDefault="004F1CF1" w:rsidP="004F1CF1">
      <w:pPr>
        <w:rPr>
          <w:b/>
          <w:bCs/>
          <w:sz w:val="24"/>
          <w:szCs w:val="24"/>
        </w:rPr>
      </w:pPr>
      <w:r w:rsidRPr="004F1CF1">
        <w:rPr>
          <w:b/>
          <w:bCs/>
          <w:sz w:val="24"/>
          <w:szCs w:val="24"/>
        </w:rPr>
        <w:t>Lagged Correlation Test Results</w:t>
      </w:r>
    </w:p>
    <w:p w14:paraId="65CECDDF" w14:textId="77777777" w:rsidR="004F1CF1" w:rsidRDefault="004F1CF1" w:rsidP="004F1CF1">
      <w:r w:rsidRPr="004F1CF1">
        <w:rPr>
          <w:sz w:val="24"/>
          <w:szCs w:val="24"/>
        </w:rPr>
        <w:t xml:space="preserve">Lagged correlation was calculated between crude oil and refined fuel prices over 0–12 months. The </w:t>
      </w:r>
      <w:r w:rsidRPr="004F1CF1">
        <w:rPr>
          <w:b/>
          <w:bCs/>
          <w:sz w:val="24"/>
          <w:szCs w:val="24"/>
        </w:rPr>
        <w:t>strongest absolute correlation</w:t>
      </w:r>
      <w:r w:rsidRPr="004F1CF1">
        <w:rPr>
          <w:sz w:val="24"/>
          <w:szCs w:val="24"/>
        </w:rPr>
        <w:t xml:space="preserve"> for each fuel is shown below</w:t>
      </w:r>
      <w:r w:rsidRPr="004F1CF1">
        <w:t>:</w:t>
      </w:r>
    </w:p>
    <w:p w14:paraId="66908C14" w14:textId="77777777" w:rsidR="004F1CF1" w:rsidRPr="004F1CF1" w:rsidRDefault="004F1CF1" w:rsidP="004F1CF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3"/>
        <w:gridCol w:w="1942"/>
        <w:gridCol w:w="1350"/>
        <w:gridCol w:w="1076"/>
        <w:gridCol w:w="2035"/>
      </w:tblGrid>
      <w:tr w:rsidR="004F1CF1" w:rsidRPr="004F1CF1" w14:paraId="23884BFD" w14:textId="77777777" w:rsidTr="004F1CF1">
        <w:trPr>
          <w:tblHeader/>
          <w:tblCellSpacing w:w="15" w:type="dxa"/>
        </w:trPr>
        <w:tc>
          <w:tcPr>
            <w:tcW w:w="0" w:type="auto"/>
            <w:vAlign w:val="center"/>
            <w:hideMark/>
          </w:tcPr>
          <w:p w14:paraId="3E778F3F" w14:textId="77777777" w:rsidR="004F1CF1" w:rsidRPr="004F1CF1" w:rsidRDefault="004F1CF1" w:rsidP="004F1CF1">
            <w:pPr>
              <w:rPr>
                <w:b/>
                <w:bCs/>
              </w:rPr>
            </w:pPr>
            <w:r w:rsidRPr="004F1CF1">
              <w:rPr>
                <w:b/>
                <w:bCs/>
              </w:rPr>
              <w:t>Fuel Type</w:t>
            </w:r>
          </w:p>
        </w:tc>
        <w:tc>
          <w:tcPr>
            <w:tcW w:w="0" w:type="auto"/>
            <w:vAlign w:val="center"/>
            <w:hideMark/>
          </w:tcPr>
          <w:p w14:paraId="0BBF320A" w14:textId="77777777" w:rsidR="004F1CF1" w:rsidRPr="004F1CF1" w:rsidRDefault="004F1CF1" w:rsidP="004F1CF1">
            <w:pPr>
              <w:rPr>
                <w:b/>
                <w:bCs/>
              </w:rPr>
            </w:pPr>
            <w:r w:rsidRPr="004F1CF1">
              <w:rPr>
                <w:b/>
                <w:bCs/>
              </w:rPr>
              <w:t>Max Correlation (r)</w:t>
            </w:r>
          </w:p>
        </w:tc>
        <w:tc>
          <w:tcPr>
            <w:tcW w:w="0" w:type="auto"/>
            <w:vAlign w:val="center"/>
            <w:hideMark/>
          </w:tcPr>
          <w:p w14:paraId="40EF6E6B" w14:textId="77777777" w:rsidR="004F1CF1" w:rsidRPr="004F1CF1" w:rsidRDefault="004F1CF1" w:rsidP="004F1CF1">
            <w:pPr>
              <w:rPr>
                <w:b/>
                <w:bCs/>
              </w:rPr>
            </w:pPr>
            <w:r w:rsidRPr="004F1CF1">
              <w:rPr>
                <w:b/>
                <w:bCs/>
              </w:rPr>
              <w:t>Lag (Months)</w:t>
            </w:r>
          </w:p>
        </w:tc>
        <w:tc>
          <w:tcPr>
            <w:tcW w:w="0" w:type="auto"/>
            <w:vAlign w:val="center"/>
            <w:hideMark/>
          </w:tcPr>
          <w:p w14:paraId="3C6BCEF8" w14:textId="77777777" w:rsidR="004F1CF1" w:rsidRPr="004F1CF1" w:rsidRDefault="004F1CF1" w:rsidP="004F1CF1">
            <w:pPr>
              <w:rPr>
                <w:b/>
                <w:bCs/>
              </w:rPr>
            </w:pPr>
            <w:r w:rsidRPr="004F1CF1">
              <w:rPr>
                <w:b/>
                <w:bCs/>
              </w:rPr>
              <w:t>p-value</w:t>
            </w:r>
          </w:p>
        </w:tc>
        <w:tc>
          <w:tcPr>
            <w:tcW w:w="0" w:type="auto"/>
            <w:vAlign w:val="center"/>
            <w:hideMark/>
          </w:tcPr>
          <w:p w14:paraId="0EEFE09B" w14:textId="77777777" w:rsidR="004F1CF1" w:rsidRPr="004F1CF1" w:rsidRDefault="004F1CF1" w:rsidP="004F1CF1">
            <w:pPr>
              <w:rPr>
                <w:b/>
                <w:bCs/>
              </w:rPr>
            </w:pPr>
            <w:r w:rsidRPr="004F1CF1">
              <w:rPr>
                <w:b/>
                <w:bCs/>
              </w:rPr>
              <w:t>Significant (α = 0.05)</w:t>
            </w:r>
          </w:p>
        </w:tc>
      </w:tr>
      <w:tr w:rsidR="004F1CF1" w:rsidRPr="004F1CF1" w14:paraId="6ED0ED2A" w14:textId="77777777" w:rsidTr="004F1CF1">
        <w:trPr>
          <w:tblCellSpacing w:w="15" w:type="dxa"/>
        </w:trPr>
        <w:tc>
          <w:tcPr>
            <w:tcW w:w="0" w:type="auto"/>
            <w:vAlign w:val="center"/>
            <w:hideMark/>
          </w:tcPr>
          <w:p w14:paraId="3ED7ECCC" w14:textId="77777777" w:rsidR="004F1CF1" w:rsidRPr="004F1CF1" w:rsidRDefault="004F1CF1" w:rsidP="004F1CF1">
            <w:r w:rsidRPr="004F1CF1">
              <w:t>Conventional Gasoline</w:t>
            </w:r>
          </w:p>
        </w:tc>
        <w:tc>
          <w:tcPr>
            <w:tcW w:w="0" w:type="auto"/>
            <w:vAlign w:val="center"/>
            <w:hideMark/>
          </w:tcPr>
          <w:p w14:paraId="7CA41750" w14:textId="77777777" w:rsidR="004F1CF1" w:rsidRPr="004F1CF1" w:rsidRDefault="004F1CF1" w:rsidP="004F1CF1">
            <w:r w:rsidRPr="004F1CF1">
              <w:t>0.982</w:t>
            </w:r>
          </w:p>
        </w:tc>
        <w:tc>
          <w:tcPr>
            <w:tcW w:w="0" w:type="auto"/>
            <w:vAlign w:val="center"/>
            <w:hideMark/>
          </w:tcPr>
          <w:p w14:paraId="3E1F43A9" w14:textId="77777777" w:rsidR="004F1CF1" w:rsidRPr="004F1CF1" w:rsidRDefault="004F1CF1" w:rsidP="004F1CF1">
            <w:r w:rsidRPr="004F1CF1">
              <w:t>0</w:t>
            </w:r>
          </w:p>
        </w:tc>
        <w:tc>
          <w:tcPr>
            <w:tcW w:w="0" w:type="auto"/>
            <w:vAlign w:val="center"/>
            <w:hideMark/>
          </w:tcPr>
          <w:p w14:paraId="50737DF0" w14:textId="77777777" w:rsidR="004F1CF1" w:rsidRPr="004F1CF1" w:rsidRDefault="004F1CF1" w:rsidP="004F1CF1">
            <w:r w:rsidRPr="004F1CF1">
              <w:t>&lt; 0.0001</w:t>
            </w:r>
          </w:p>
        </w:tc>
        <w:tc>
          <w:tcPr>
            <w:tcW w:w="0" w:type="auto"/>
            <w:vAlign w:val="center"/>
            <w:hideMark/>
          </w:tcPr>
          <w:p w14:paraId="79B34E54" w14:textId="77777777" w:rsidR="004F1CF1" w:rsidRPr="004F1CF1" w:rsidRDefault="004F1CF1" w:rsidP="004F1CF1">
            <w:r w:rsidRPr="004F1CF1">
              <w:t>Yes</w:t>
            </w:r>
          </w:p>
        </w:tc>
      </w:tr>
      <w:tr w:rsidR="004F1CF1" w:rsidRPr="004F1CF1" w14:paraId="0BAE215E" w14:textId="77777777" w:rsidTr="004F1CF1">
        <w:trPr>
          <w:tblCellSpacing w:w="15" w:type="dxa"/>
        </w:trPr>
        <w:tc>
          <w:tcPr>
            <w:tcW w:w="0" w:type="auto"/>
            <w:vAlign w:val="center"/>
            <w:hideMark/>
          </w:tcPr>
          <w:p w14:paraId="60275FD0" w14:textId="77777777" w:rsidR="004F1CF1" w:rsidRPr="004F1CF1" w:rsidRDefault="004F1CF1" w:rsidP="004F1CF1">
            <w:r w:rsidRPr="004F1CF1">
              <w:t>Jet Fuel</w:t>
            </w:r>
          </w:p>
        </w:tc>
        <w:tc>
          <w:tcPr>
            <w:tcW w:w="0" w:type="auto"/>
            <w:vAlign w:val="center"/>
            <w:hideMark/>
          </w:tcPr>
          <w:p w14:paraId="61939CA1" w14:textId="77777777" w:rsidR="004F1CF1" w:rsidRPr="004F1CF1" w:rsidRDefault="004F1CF1" w:rsidP="004F1CF1">
            <w:r w:rsidRPr="004F1CF1">
              <w:t>0.981</w:t>
            </w:r>
          </w:p>
        </w:tc>
        <w:tc>
          <w:tcPr>
            <w:tcW w:w="0" w:type="auto"/>
            <w:vAlign w:val="center"/>
            <w:hideMark/>
          </w:tcPr>
          <w:p w14:paraId="76ECC62B" w14:textId="77777777" w:rsidR="004F1CF1" w:rsidRPr="004F1CF1" w:rsidRDefault="004F1CF1" w:rsidP="004F1CF1">
            <w:r w:rsidRPr="004F1CF1">
              <w:t>0</w:t>
            </w:r>
          </w:p>
        </w:tc>
        <w:tc>
          <w:tcPr>
            <w:tcW w:w="0" w:type="auto"/>
            <w:vAlign w:val="center"/>
            <w:hideMark/>
          </w:tcPr>
          <w:p w14:paraId="747B5F39" w14:textId="77777777" w:rsidR="004F1CF1" w:rsidRPr="004F1CF1" w:rsidRDefault="004F1CF1" w:rsidP="004F1CF1">
            <w:r w:rsidRPr="004F1CF1">
              <w:t>&lt; 1 × 10⁻³⁰⁰</w:t>
            </w:r>
          </w:p>
        </w:tc>
        <w:tc>
          <w:tcPr>
            <w:tcW w:w="0" w:type="auto"/>
            <w:vAlign w:val="center"/>
            <w:hideMark/>
          </w:tcPr>
          <w:p w14:paraId="3C00F46F" w14:textId="77777777" w:rsidR="004F1CF1" w:rsidRPr="004F1CF1" w:rsidRDefault="004F1CF1" w:rsidP="004F1CF1">
            <w:r w:rsidRPr="004F1CF1">
              <w:t>Yes</w:t>
            </w:r>
          </w:p>
        </w:tc>
      </w:tr>
      <w:tr w:rsidR="004F1CF1" w:rsidRPr="004F1CF1" w14:paraId="29144ED2" w14:textId="77777777" w:rsidTr="004F1CF1">
        <w:trPr>
          <w:tblCellSpacing w:w="15" w:type="dxa"/>
        </w:trPr>
        <w:tc>
          <w:tcPr>
            <w:tcW w:w="0" w:type="auto"/>
            <w:vAlign w:val="center"/>
            <w:hideMark/>
          </w:tcPr>
          <w:p w14:paraId="3242BADD" w14:textId="77777777" w:rsidR="004F1CF1" w:rsidRPr="004F1CF1" w:rsidRDefault="004F1CF1" w:rsidP="004F1CF1">
            <w:r w:rsidRPr="004F1CF1">
              <w:t>No. 2 Heating Oil</w:t>
            </w:r>
          </w:p>
        </w:tc>
        <w:tc>
          <w:tcPr>
            <w:tcW w:w="0" w:type="auto"/>
            <w:vAlign w:val="center"/>
            <w:hideMark/>
          </w:tcPr>
          <w:p w14:paraId="45076E1A" w14:textId="77777777" w:rsidR="004F1CF1" w:rsidRPr="004F1CF1" w:rsidRDefault="004F1CF1" w:rsidP="004F1CF1">
            <w:r w:rsidRPr="004F1CF1">
              <w:t>0.977</w:t>
            </w:r>
          </w:p>
        </w:tc>
        <w:tc>
          <w:tcPr>
            <w:tcW w:w="0" w:type="auto"/>
            <w:vAlign w:val="center"/>
            <w:hideMark/>
          </w:tcPr>
          <w:p w14:paraId="4917AFAA" w14:textId="77777777" w:rsidR="004F1CF1" w:rsidRPr="004F1CF1" w:rsidRDefault="004F1CF1" w:rsidP="004F1CF1">
            <w:r w:rsidRPr="004F1CF1">
              <w:t>0</w:t>
            </w:r>
          </w:p>
        </w:tc>
        <w:tc>
          <w:tcPr>
            <w:tcW w:w="0" w:type="auto"/>
            <w:vAlign w:val="center"/>
            <w:hideMark/>
          </w:tcPr>
          <w:p w14:paraId="2CBAECE4" w14:textId="77777777" w:rsidR="004F1CF1" w:rsidRPr="004F1CF1" w:rsidRDefault="004F1CF1" w:rsidP="004F1CF1">
            <w:r w:rsidRPr="004F1CF1">
              <w:t>&lt; 1 × 10⁻³¹⁰</w:t>
            </w:r>
          </w:p>
        </w:tc>
        <w:tc>
          <w:tcPr>
            <w:tcW w:w="0" w:type="auto"/>
            <w:vAlign w:val="center"/>
            <w:hideMark/>
          </w:tcPr>
          <w:p w14:paraId="1A1EC265" w14:textId="77777777" w:rsidR="004F1CF1" w:rsidRPr="004F1CF1" w:rsidRDefault="004F1CF1" w:rsidP="004F1CF1">
            <w:r w:rsidRPr="004F1CF1">
              <w:t>Yes</w:t>
            </w:r>
          </w:p>
        </w:tc>
      </w:tr>
      <w:tr w:rsidR="004F1CF1" w:rsidRPr="004F1CF1" w14:paraId="4F601D73" w14:textId="77777777" w:rsidTr="004F1CF1">
        <w:trPr>
          <w:tblCellSpacing w:w="15" w:type="dxa"/>
        </w:trPr>
        <w:tc>
          <w:tcPr>
            <w:tcW w:w="0" w:type="auto"/>
            <w:vAlign w:val="center"/>
            <w:hideMark/>
          </w:tcPr>
          <w:p w14:paraId="0B2095A0" w14:textId="77777777" w:rsidR="004F1CF1" w:rsidRPr="004F1CF1" w:rsidRDefault="004F1CF1" w:rsidP="004F1CF1">
            <w:r w:rsidRPr="004F1CF1">
              <w:t>Propane</w:t>
            </w:r>
          </w:p>
        </w:tc>
        <w:tc>
          <w:tcPr>
            <w:tcW w:w="0" w:type="auto"/>
            <w:vAlign w:val="center"/>
            <w:hideMark/>
          </w:tcPr>
          <w:p w14:paraId="7C18CB9A" w14:textId="77777777" w:rsidR="004F1CF1" w:rsidRPr="004F1CF1" w:rsidRDefault="004F1CF1" w:rsidP="004F1CF1">
            <w:r w:rsidRPr="004F1CF1">
              <w:t>0.888</w:t>
            </w:r>
          </w:p>
        </w:tc>
        <w:tc>
          <w:tcPr>
            <w:tcW w:w="0" w:type="auto"/>
            <w:vAlign w:val="center"/>
            <w:hideMark/>
          </w:tcPr>
          <w:p w14:paraId="5E47C0CA" w14:textId="77777777" w:rsidR="004F1CF1" w:rsidRPr="004F1CF1" w:rsidRDefault="004F1CF1" w:rsidP="004F1CF1">
            <w:r w:rsidRPr="004F1CF1">
              <w:t>0</w:t>
            </w:r>
          </w:p>
        </w:tc>
        <w:tc>
          <w:tcPr>
            <w:tcW w:w="0" w:type="auto"/>
            <w:vAlign w:val="center"/>
            <w:hideMark/>
          </w:tcPr>
          <w:p w14:paraId="01BBEA51" w14:textId="77777777" w:rsidR="004F1CF1" w:rsidRPr="004F1CF1" w:rsidRDefault="004F1CF1" w:rsidP="004F1CF1">
            <w:r w:rsidRPr="004F1CF1">
              <w:t>&lt; 1 × 10⁻¹³⁰</w:t>
            </w:r>
          </w:p>
        </w:tc>
        <w:tc>
          <w:tcPr>
            <w:tcW w:w="0" w:type="auto"/>
            <w:vAlign w:val="center"/>
            <w:hideMark/>
          </w:tcPr>
          <w:p w14:paraId="2118CC3E" w14:textId="77777777" w:rsidR="004F1CF1" w:rsidRPr="004F1CF1" w:rsidRDefault="004F1CF1" w:rsidP="004F1CF1">
            <w:r w:rsidRPr="004F1CF1">
              <w:t>Yes</w:t>
            </w:r>
          </w:p>
        </w:tc>
      </w:tr>
      <w:tr w:rsidR="004F1CF1" w:rsidRPr="004F1CF1" w14:paraId="73B255B3" w14:textId="77777777" w:rsidTr="004F1CF1">
        <w:trPr>
          <w:tblCellSpacing w:w="15" w:type="dxa"/>
        </w:trPr>
        <w:tc>
          <w:tcPr>
            <w:tcW w:w="0" w:type="auto"/>
            <w:vAlign w:val="center"/>
            <w:hideMark/>
          </w:tcPr>
          <w:p w14:paraId="355694BA" w14:textId="77777777" w:rsidR="004F1CF1" w:rsidRPr="004F1CF1" w:rsidRDefault="004F1CF1" w:rsidP="004F1CF1">
            <w:r w:rsidRPr="004F1CF1">
              <w:t>RBOB Regular Gasoline</w:t>
            </w:r>
          </w:p>
        </w:tc>
        <w:tc>
          <w:tcPr>
            <w:tcW w:w="0" w:type="auto"/>
            <w:vAlign w:val="center"/>
            <w:hideMark/>
          </w:tcPr>
          <w:p w14:paraId="55947624" w14:textId="77777777" w:rsidR="004F1CF1" w:rsidRPr="004F1CF1" w:rsidRDefault="004F1CF1" w:rsidP="004F1CF1">
            <w:r w:rsidRPr="004F1CF1">
              <w:t>0.909</w:t>
            </w:r>
          </w:p>
        </w:tc>
        <w:tc>
          <w:tcPr>
            <w:tcW w:w="0" w:type="auto"/>
            <w:vAlign w:val="center"/>
            <w:hideMark/>
          </w:tcPr>
          <w:p w14:paraId="3B85235D" w14:textId="77777777" w:rsidR="004F1CF1" w:rsidRPr="004F1CF1" w:rsidRDefault="004F1CF1" w:rsidP="004F1CF1">
            <w:r w:rsidRPr="004F1CF1">
              <w:t>0</w:t>
            </w:r>
          </w:p>
        </w:tc>
        <w:tc>
          <w:tcPr>
            <w:tcW w:w="0" w:type="auto"/>
            <w:vAlign w:val="center"/>
            <w:hideMark/>
          </w:tcPr>
          <w:p w14:paraId="7DAA69EB" w14:textId="77777777" w:rsidR="004F1CF1" w:rsidRPr="004F1CF1" w:rsidRDefault="004F1CF1" w:rsidP="004F1CF1">
            <w:r w:rsidRPr="004F1CF1">
              <w:t>&lt; 1 × 10⁻¹⁰⁰</w:t>
            </w:r>
          </w:p>
        </w:tc>
        <w:tc>
          <w:tcPr>
            <w:tcW w:w="0" w:type="auto"/>
            <w:vAlign w:val="center"/>
            <w:hideMark/>
          </w:tcPr>
          <w:p w14:paraId="0DAE52FC" w14:textId="77777777" w:rsidR="004F1CF1" w:rsidRPr="004F1CF1" w:rsidRDefault="004F1CF1" w:rsidP="004F1CF1">
            <w:r w:rsidRPr="004F1CF1">
              <w:t>Yes</w:t>
            </w:r>
          </w:p>
        </w:tc>
      </w:tr>
      <w:tr w:rsidR="004F1CF1" w:rsidRPr="004F1CF1" w14:paraId="1CCF1B34" w14:textId="77777777" w:rsidTr="004F1CF1">
        <w:trPr>
          <w:tblCellSpacing w:w="15" w:type="dxa"/>
        </w:trPr>
        <w:tc>
          <w:tcPr>
            <w:tcW w:w="0" w:type="auto"/>
            <w:vAlign w:val="center"/>
            <w:hideMark/>
          </w:tcPr>
          <w:p w14:paraId="1B8EB129" w14:textId="77777777" w:rsidR="004F1CF1" w:rsidRPr="004F1CF1" w:rsidRDefault="004F1CF1" w:rsidP="004F1CF1">
            <w:r w:rsidRPr="004F1CF1">
              <w:t>ULS Diesel</w:t>
            </w:r>
          </w:p>
        </w:tc>
        <w:tc>
          <w:tcPr>
            <w:tcW w:w="0" w:type="auto"/>
            <w:vAlign w:val="center"/>
            <w:hideMark/>
          </w:tcPr>
          <w:p w14:paraId="4C2F328F" w14:textId="77777777" w:rsidR="004F1CF1" w:rsidRPr="004F1CF1" w:rsidRDefault="004F1CF1" w:rsidP="004F1CF1">
            <w:r w:rsidRPr="004F1CF1">
              <w:t>0.920</w:t>
            </w:r>
          </w:p>
        </w:tc>
        <w:tc>
          <w:tcPr>
            <w:tcW w:w="0" w:type="auto"/>
            <w:vAlign w:val="center"/>
            <w:hideMark/>
          </w:tcPr>
          <w:p w14:paraId="49B3686C" w14:textId="77777777" w:rsidR="004F1CF1" w:rsidRPr="004F1CF1" w:rsidRDefault="004F1CF1" w:rsidP="004F1CF1">
            <w:r w:rsidRPr="004F1CF1">
              <w:t>0</w:t>
            </w:r>
          </w:p>
        </w:tc>
        <w:tc>
          <w:tcPr>
            <w:tcW w:w="0" w:type="auto"/>
            <w:vAlign w:val="center"/>
            <w:hideMark/>
          </w:tcPr>
          <w:p w14:paraId="02B9D439" w14:textId="77777777" w:rsidR="004F1CF1" w:rsidRPr="004F1CF1" w:rsidRDefault="004F1CF1" w:rsidP="004F1CF1">
            <w:r w:rsidRPr="004F1CF1">
              <w:t>&lt; 1 × 10⁻⁹⁰</w:t>
            </w:r>
          </w:p>
        </w:tc>
        <w:tc>
          <w:tcPr>
            <w:tcW w:w="0" w:type="auto"/>
            <w:vAlign w:val="center"/>
            <w:hideMark/>
          </w:tcPr>
          <w:p w14:paraId="2E0F5225" w14:textId="77777777" w:rsidR="004F1CF1" w:rsidRPr="004F1CF1" w:rsidRDefault="004F1CF1" w:rsidP="004F1CF1">
            <w:r w:rsidRPr="004F1CF1">
              <w:t>Yes</w:t>
            </w:r>
          </w:p>
        </w:tc>
      </w:tr>
    </w:tbl>
    <w:p w14:paraId="1D247DFB" w14:textId="77777777" w:rsidR="004F1CF1" w:rsidRDefault="004F1CF1" w:rsidP="004F1CF1"/>
    <w:p w14:paraId="13632199" w14:textId="27191D15" w:rsidR="004F1CF1" w:rsidRPr="004F1CF1" w:rsidRDefault="004F1CF1" w:rsidP="004F1CF1">
      <w:pPr>
        <w:rPr>
          <w:sz w:val="24"/>
          <w:szCs w:val="24"/>
        </w:rPr>
      </w:pPr>
      <w:r w:rsidRPr="004F1CF1">
        <w:rPr>
          <w:sz w:val="24"/>
          <w:szCs w:val="24"/>
        </w:rPr>
        <w:t xml:space="preserve">All fuels showed strong, statistically significant correlations at lag 0, confirming that </w:t>
      </w:r>
      <w:r w:rsidRPr="003C57C0">
        <w:rPr>
          <w:sz w:val="24"/>
          <w:szCs w:val="24"/>
        </w:rPr>
        <w:t xml:space="preserve">the </w:t>
      </w:r>
      <w:r w:rsidRPr="004F1CF1">
        <w:rPr>
          <w:sz w:val="24"/>
          <w:szCs w:val="24"/>
        </w:rPr>
        <w:t>current-month crude oil price has a measurable and immediate impact on refined fuel prices. These findings align with the regression model results and support the project’s hypothesis.</w:t>
      </w:r>
    </w:p>
    <w:p w14:paraId="5D0C9C42" w14:textId="313B75B1" w:rsidR="004F1CF1" w:rsidRPr="004F1CF1" w:rsidRDefault="004F1CF1" w:rsidP="004F1CF1">
      <w:pPr>
        <w:rPr>
          <w:sz w:val="24"/>
          <w:szCs w:val="24"/>
        </w:rPr>
      </w:pPr>
    </w:p>
    <w:p w14:paraId="47D37A3A" w14:textId="77777777" w:rsidR="004F1CF1" w:rsidRPr="004F1CF1" w:rsidRDefault="004F1CF1" w:rsidP="004F1CF1">
      <w:pPr>
        <w:rPr>
          <w:b/>
          <w:bCs/>
          <w:sz w:val="24"/>
          <w:szCs w:val="24"/>
        </w:rPr>
      </w:pPr>
      <w:r w:rsidRPr="004F1CF1">
        <w:rPr>
          <w:b/>
          <w:bCs/>
          <w:sz w:val="24"/>
          <w:szCs w:val="24"/>
        </w:rPr>
        <w:t>Conclusion</w:t>
      </w:r>
    </w:p>
    <w:p w14:paraId="1704CC47" w14:textId="77777777" w:rsidR="004F1CF1" w:rsidRPr="004F1CF1" w:rsidRDefault="004F1CF1" w:rsidP="004F1CF1">
      <w:pPr>
        <w:rPr>
          <w:sz w:val="24"/>
          <w:szCs w:val="24"/>
        </w:rPr>
      </w:pPr>
      <w:r w:rsidRPr="004F1CF1">
        <w:rPr>
          <w:sz w:val="24"/>
          <w:szCs w:val="24"/>
        </w:rPr>
        <w:t xml:space="preserve">Both the regression and correlation results show strong, statistically significant relationships between crude oil prices and refined fuel prices. This provides sufficient evidence to </w:t>
      </w:r>
      <w:r w:rsidRPr="004F1CF1">
        <w:rPr>
          <w:b/>
          <w:bCs/>
          <w:sz w:val="24"/>
          <w:szCs w:val="24"/>
        </w:rPr>
        <w:t>reject the null hypothesis</w:t>
      </w:r>
      <w:r w:rsidRPr="004F1CF1">
        <w:rPr>
          <w:sz w:val="24"/>
          <w:szCs w:val="24"/>
        </w:rPr>
        <w:t xml:space="preserve"> and support the claim that fluctuations in crude oil prices significantly influence refined fuel markets.</w:t>
      </w:r>
    </w:p>
    <w:p w14:paraId="5D45D5E7" w14:textId="77777777" w:rsidR="004F1CF1" w:rsidRPr="004F1CF1" w:rsidRDefault="004F1CF1" w:rsidP="004F1CF1">
      <w:pPr>
        <w:rPr>
          <w:sz w:val="24"/>
          <w:szCs w:val="24"/>
        </w:rPr>
      </w:pPr>
    </w:p>
    <w:p w14:paraId="52F02120" w14:textId="77777777" w:rsidR="004F1CF1" w:rsidRPr="004F1CF1" w:rsidRDefault="004F1CF1" w:rsidP="004F1CF1"/>
    <w:p w14:paraId="5C3C7EF1" w14:textId="77777777" w:rsidR="00105FEB" w:rsidRPr="00105FEB" w:rsidRDefault="00105FEB" w:rsidP="00105FEB"/>
    <w:p w14:paraId="1D41B43A" w14:textId="1DFC52EF" w:rsidR="00492275" w:rsidRDefault="00215CA1" w:rsidP="00215CA1">
      <w:pPr>
        <w:pStyle w:val="Heading2"/>
      </w:pPr>
      <w:bookmarkStart w:id="12" w:name="_Toc204396394"/>
      <w:r>
        <w:lastRenderedPageBreak/>
        <w:t>F</w:t>
      </w:r>
      <w:r w:rsidR="004876B9">
        <w:t>.2 Practical Significance</w:t>
      </w:r>
      <w:bookmarkEnd w:id="12"/>
      <w:r w:rsidR="004876B9">
        <w:t xml:space="preserve"> </w:t>
      </w:r>
      <w:r>
        <w:t xml:space="preserve"> </w:t>
      </w:r>
    </w:p>
    <w:p w14:paraId="4292B602" w14:textId="77777777" w:rsidR="004F1CF1" w:rsidRPr="004F1CF1" w:rsidRDefault="004F1CF1" w:rsidP="004F1CF1">
      <w:pPr>
        <w:rPr>
          <w:sz w:val="24"/>
          <w:szCs w:val="24"/>
        </w:rPr>
      </w:pPr>
      <w:r w:rsidRPr="004F1CF1">
        <w:rPr>
          <w:sz w:val="24"/>
          <w:szCs w:val="24"/>
        </w:rPr>
        <w:t xml:space="preserve">While statistical significance confirms that a relationship exists between crude oil prices and refined fuel prices, </w:t>
      </w:r>
      <w:r w:rsidRPr="00DC12A9">
        <w:rPr>
          <w:sz w:val="24"/>
          <w:szCs w:val="24"/>
        </w:rPr>
        <w:t>practical significance</w:t>
      </w:r>
      <w:r w:rsidRPr="004F1CF1">
        <w:rPr>
          <w:sz w:val="24"/>
          <w:szCs w:val="24"/>
        </w:rPr>
        <w:t xml:space="preserve"> evaluates how meaningful that relationship is in real-world terms.</w:t>
      </w:r>
    </w:p>
    <w:p w14:paraId="115D3BF4" w14:textId="77777777" w:rsidR="004F1CF1" w:rsidRPr="004F1CF1" w:rsidRDefault="004F1CF1" w:rsidP="004F1CF1">
      <w:pPr>
        <w:rPr>
          <w:sz w:val="24"/>
          <w:szCs w:val="24"/>
        </w:rPr>
      </w:pPr>
      <w:r w:rsidRPr="004F1CF1">
        <w:rPr>
          <w:sz w:val="24"/>
          <w:szCs w:val="24"/>
        </w:rPr>
        <w:t xml:space="preserve">The regression results showed that changes in crude oil prices had a </w:t>
      </w:r>
      <w:r w:rsidRPr="004F1CF1">
        <w:rPr>
          <w:b/>
          <w:bCs/>
          <w:sz w:val="24"/>
          <w:szCs w:val="24"/>
        </w:rPr>
        <w:t>strong and consistent effect</w:t>
      </w:r>
      <w:r w:rsidRPr="004F1CF1">
        <w:rPr>
          <w:sz w:val="24"/>
          <w:szCs w:val="24"/>
        </w:rPr>
        <w:t xml:space="preserve"> on refined fuel prices across most fuel types:</w:t>
      </w:r>
    </w:p>
    <w:p w14:paraId="40D1C639" w14:textId="77777777" w:rsidR="004F1CF1" w:rsidRPr="004F1CF1" w:rsidRDefault="004F1CF1" w:rsidP="004F1CF1">
      <w:pPr>
        <w:numPr>
          <w:ilvl w:val="0"/>
          <w:numId w:val="49"/>
        </w:numPr>
        <w:rPr>
          <w:sz w:val="24"/>
          <w:szCs w:val="24"/>
        </w:rPr>
      </w:pPr>
      <w:r w:rsidRPr="004F1CF1">
        <w:rPr>
          <w:b/>
          <w:bCs/>
          <w:sz w:val="24"/>
          <w:szCs w:val="24"/>
        </w:rPr>
        <w:t>Jet Fuel</w:t>
      </w:r>
      <w:r w:rsidRPr="004F1CF1">
        <w:rPr>
          <w:sz w:val="24"/>
          <w:szCs w:val="24"/>
        </w:rPr>
        <w:t xml:space="preserve">, </w:t>
      </w:r>
      <w:r w:rsidRPr="004F1CF1">
        <w:rPr>
          <w:b/>
          <w:bCs/>
          <w:sz w:val="24"/>
          <w:szCs w:val="24"/>
        </w:rPr>
        <w:t>ULS Diesel</w:t>
      </w:r>
      <w:r w:rsidRPr="004F1CF1">
        <w:rPr>
          <w:sz w:val="24"/>
          <w:szCs w:val="24"/>
        </w:rPr>
        <w:t xml:space="preserve">, and </w:t>
      </w:r>
      <w:r w:rsidRPr="004F1CF1">
        <w:rPr>
          <w:b/>
          <w:bCs/>
          <w:sz w:val="24"/>
          <w:szCs w:val="24"/>
        </w:rPr>
        <w:t>Conventional Gasoline</w:t>
      </w:r>
      <w:r w:rsidRPr="004F1CF1">
        <w:rPr>
          <w:sz w:val="24"/>
          <w:szCs w:val="24"/>
        </w:rPr>
        <w:t xml:space="preserve"> had </w:t>
      </w:r>
      <w:proofErr w:type="gramStart"/>
      <w:r w:rsidRPr="004F1CF1">
        <w:rPr>
          <w:sz w:val="24"/>
          <w:szCs w:val="24"/>
        </w:rPr>
        <w:t>high R²</w:t>
      </w:r>
      <w:proofErr w:type="gramEnd"/>
      <w:r w:rsidRPr="004F1CF1">
        <w:rPr>
          <w:sz w:val="24"/>
          <w:szCs w:val="24"/>
        </w:rPr>
        <w:t xml:space="preserve"> scores (above 0.84), indicating that crude oil prices account for a large portion of their price variability.</w:t>
      </w:r>
    </w:p>
    <w:p w14:paraId="4AAE5698" w14:textId="77777777" w:rsidR="004F1CF1" w:rsidRPr="004F1CF1" w:rsidRDefault="004F1CF1" w:rsidP="004F1CF1">
      <w:pPr>
        <w:numPr>
          <w:ilvl w:val="0"/>
          <w:numId w:val="49"/>
        </w:numPr>
        <w:rPr>
          <w:sz w:val="24"/>
          <w:szCs w:val="24"/>
        </w:rPr>
      </w:pPr>
      <w:r w:rsidRPr="004F1CF1">
        <w:rPr>
          <w:b/>
          <w:bCs/>
          <w:sz w:val="24"/>
          <w:szCs w:val="24"/>
        </w:rPr>
        <w:t>Propane</w:t>
      </w:r>
      <w:r w:rsidRPr="004F1CF1">
        <w:rPr>
          <w:sz w:val="24"/>
          <w:szCs w:val="24"/>
        </w:rPr>
        <w:t>, though influenced by crude oil (R² = 0.62), is likely affected by other variables such as weather seasonality, storage levels, and alternative production inputs.</w:t>
      </w:r>
    </w:p>
    <w:p w14:paraId="1D3CCF8D" w14:textId="77777777" w:rsidR="004F1CF1" w:rsidRPr="004F1CF1" w:rsidRDefault="004F1CF1" w:rsidP="004F1CF1">
      <w:pPr>
        <w:rPr>
          <w:sz w:val="24"/>
          <w:szCs w:val="24"/>
        </w:rPr>
      </w:pPr>
      <w:r w:rsidRPr="004F1CF1">
        <w:rPr>
          <w:sz w:val="24"/>
          <w:szCs w:val="24"/>
        </w:rPr>
        <w:t xml:space="preserve">The </w:t>
      </w:r>
      <w:r w:rsidRPr="00DC12A9">
        <w:rPr>
          <w:sz w:val="24"/>
          <w:szCs w:val="24"/>
        </w:rPr>
        <w:t>positive coefficients</w:t>
      </w:r>
      <w:r w:rsidRPr="004F1CF1">
        <w:rPr>
          <w:sz w:val="24"/>
          <w:szCs w:val="24"/>
        </w:rPr>
        <w:t xml:space="preserve"> from the regression models confirm a </w:t>
      </w:r>
      <w:r w:rsidRPr="004F1CF1">
        <w:rPr>
          <w:b/>
          <w:bCs/>
          <w:sz w:val="24"/>
          <w:szCs w:val="24"/>
        </w:rPr>
        <w:t>direct economic relationship</w:t>
      </w:r>
      <w:r w:rsidRPr="004F1CF1">
        <w:rPr>
          <w:sz w:val="24"/>
          <w:szCs w:val="24"/>
        </w:rPr>
        <w:t>: as crude oil prices increase, refined fuel prices tend to rise. This insight has several practical applications:</w:t>
      </w:r>
    </w:p>
    <w:p w14:paraId="26BFED5E" w14:textId="77777777" w:rsidR="004F1CF1" w:rsidRPr="003C57C0" w:rsidRDefault="004F1CF1" w:rsidP="004F1CF1">
      <w:pPr>
        <w:rPr>
          <w:b/>
          <w:bCs/>
          <w:sz w:val="24"/>
          <w:szCs w:val="24"/>
        </w:rPr>
      </w:pPr>
    </w:p>
    <w:p w14:paraId="62CBAAA4" w14:textId="27FCC28A" w:rsidR="004F1CF1" w:rsidRPr="004F1CF1" w:rsidRDefault="004F1CF1" w:rsidP="004F1CF1">
      <w:pPr>
        <w:rPr>
          <w:b/>
          <w:bCs/>
          <w:sz w:val="24"/>
          <w:szCs w:val="24"/>
        </w:rPr>
      </w:pPr>
      <w:r w:rsidRPr="004F1CF1">
        <w:rPr>
          <w:b/>
          <w:bCs/>
          <w:sz w:val="24"/>
          <w:szCs w:val="24"/>
        </w:rPr>
        <w:t>Example Application:</w:t>
      </w:r>
    </w:p>
    <w:p w14:paraId="3A5E40BA" w14:textId="77777777" w:rsidR="004F1CF1" w:rsidRPr="004F1CF1" w:rsidRDefault="004F1CF1" w:rsidP="004F1CF1">
      <w:pPr>
        <w:rPr>
          <w:sz w:val="24"/>
          <w:szCs w:val="24"/>
        </w:rPr>
      </w:pPr>
      <w:r w:rsidRPr="004F1CF1">
        <w:rPr>
          <w:sz w:val="24"/>
          <w:szCs w:val="24"/>
        </w:rPr>
        <w:t>A transportation logistics company could use this model to anticipate fuel cost changes based on crude oil market trends. If crude oil prices spike, they could:</w:t>
      </w:r>
    </w:p>
    <w:p w14:paraId="4CE5EFAB" w14:textId="77777777" w:rsidR="004F1CF1" w:rsidRPr="004F1CF1" w:rsidRDefault="004F1CF1" w:rsidP="004F1CF1">
      <w:pPr>
        <w:numPr>
          <w:ilvl w:val="0"/>
          <w:numId w:val="50"/>
        </w:numPr>
        <w:rPr>
          <w:sz w:val="24"/>
          <w:szCs w:val="24"/>
        </w:rPr>
      </w:pPr>
      <w:r w:rsidRPr="004F1CF1">
        <w:rPr>
          <w:sz w:val="24"/>
          <w:szCs w:val="24"/>
        </w:rPr>
        <w:t>Adjust delivery pricing,</w:t>
      </w:r>
    </w:p>
    <w:p w14:paraId="2C2853A1" w14:textId="77777777" w:rsidR="004F1CF1" w:rsidRPr="004F1CF1" w:rsidRDefault="004F1CF1" w:rsidP="004F1CF1">
      <w:pPr>
        <w:numPr>
          <w:ilvl w:val="0"/>
          <w:numId w:val="50"/>
        </w:numPr>
        <w:rPr>
          <w:sz w:val="24"/>
          <w:szCs w:val="24"/>
        </w:rPr>
      </w:pPr>
      <w:r w:rsidRPr="004F1CF1">
        <w:rPr>
          <w:sz w:val="24"/>
          <w:szCs w:val="24"/>
        </w:rPr>
        <w:t>Pre-purchase contracts at fixed fuel rates, or</w:t>
      </w:r>
    </w:p>
    <w:p w14:paraId="221D1F88" w14:textId="77777777" w:rsidR="004F1CF1" w:rsidRPr="004F1CF1" w:rsidRDefault="004F1CF1" w:rsidP="004F1CF1">
      <w:pPr>
        <w:numPr>
          <w:ilvl w:val="0"/>
          <w:numId w:val="50"/>
        </w:numPr>
        <w:rPr>
          <w:sz w:val="24"/>
          <w:szCs w:val="24"/>
        </w:rPr>
      </w:pPr>
      <w:r w:rsidRPr="004F1CF1">
        <w:rPr>
          <w:sz w:val="24"/>
          <w:szCs w:val="24"/>
        </w:rPr>
        <w:t>Shift to more fuel-efficient routing in advance.</w:t>
      </w:r>
    </w:p>
    <w:p w14:paraId="524F684A" w14:textId="541B013E" w:rsidR="004F1CF1" w:rsidRPr="004F1CF1" w:rsidRDefault="004F1CF1" w:rsidP="004F1CF1">
      <w:pPr>
        <w:rPr>
          <w:sz w:val="24"/>
          <w:szCs w:val="24"/>
        </w:rPr>
      </w:pPr>
    </w:p>
    <w:p w14:paraId="4B60CE73" w14:textId="3E9CFF59" w:rsidR="004F1CF1" w:rsidRPr="004F1CF1" w:rsidRDefault="004F1CF1" w:rsidP="004F1CF1">
      <w:pPr>
        <w:rPr>
          <w:b/>
          <w:bCs/>
          <w:sz w:val="24"/>
          <w:szCs w:val="24"/>
        </w:rPr>
      </w:pPr>
      <w:r w:rsidRPr="004F1CF1">
        <w:rPr>
          <w:b/>
          <w:bCs/>
          <w:sz w:val="24"/>
          <w:szCs w:val="24"/>
        </w:rPr>
        <w:t>Decision Impact:</w:t>
      </w:r>
    </w:p>
    <w:p w14:paraId="5BDCFD5F" w14:textId="77777777" w:rsidR="004F1CF1" w:rsidRPr="004F1CF1" w:rsidRDefault="004F1CF1" w:rsidP="004F1CF1">
      <w:pPr>
        <w:rPr>
          <w:sz w:val="24"/>
          <w:szCs w:val="24"/>
        </w:rPr>
      </w:pPr>
      <w:r w:rsidRPr="004F1CF1">
        <w:rPr>
          <w:sz w:val="24"/>
          <w:szCs w:val="24"/>
        </w:rPr>
        <w:t>Knowing the strength and immediacy of the crude oil–fuel relationship allows industry stakeholders to:</w:t>
      </w:r>
    </w:p>
    <w:p w14:paraId="47F11F6B" w14:textId="77777777" w:rsidR="004F1CF1" w:rsidRPr="004F1CF1" w:rsidRDefault="004F1CF1" w:rsidP="004F1CF1">
      <w:pPr>
        <w:numPr>
          <w:ilvl w:val="0"/>
          <w:numId w:val="51"/>
        </w:numPr>
        <w:rPr>
          <w:sz w:val="24"/>
          <w:szCs w:val="24"/>
        </w:rPr>
      </w:pPr>
      <w:r w:rsidRPr="004F1CF1">
        <w:rPr>
          <w:sz w:val="24"/>
          <w:szCs w:val="24"/>
        </w:rPr>
        <w:t>Forecast budgetary needs,</w:t>
      </w:r>
    </w:p>
    <w:p w14:paraId="084F3A05" w14:textId="77777777" w:rsidR="004F1CF1" w:rsidRPr="004F1CF1" w:rsidRDefault="004F1CF1" w:rsidP="004F1CF1">
      <w:pPr>
        <w:numPr>
          <w:ilvl w:val="0"/>
          <w:numId w:val="51"/>
        </w:numPr>
        <w:rPr>
          <w:sz w:val="24"/>
          <w:szCs w:val="24"/>
        </w:rPr>
      </w:pPr>
      <w:r w:rsidRPr="004F1CF1">
        <w:rPr>
          <w:sz w:val="24"/>
          <w:szCs w:val="24"/>
        </w:rPr>
        <w:t>Inform supply chain timing, and</w:t>
      </w:r>
    </w:p>
    <w:p w14:paraId="627185BD" w14:textId="77777777" w:rsidR="004F1CF1" w:rsidRPr="004F1CF1" w:rsidRDefault="004F1CF1" w:rsidP="004F1CF1">
      <w:pPr>
        <w:numPr>
          <w:ilvl w:val="0"/>
          <w:numId w:val="51"/>
        </w:numPr>
        <w:rPr>
          <w:sz w:val="24"/>
          <w:szCs w:val="24"/>
        </w:rPr>
      </w:pPr>
      <w:r w:rsidRPr="004F1CF1">
        <w:rPr>
          <w:sz w:val="24"/>
          <w:szCs w:val="24"/>
        </w:rPr>
        <w:t>Develop hedging strategies to reduce exposure to price volatility.</w:t>
      </w:r>
    </w:p>
    <w:p w14:paraId="38249F25" w14:textId="51DB653F" w:rsidR="004F1CF1" w:rsidRPr="004F1CF1" w:rsidRDefault="004F1CF1" w:rsidP="004F1CF1">
      <w:pPr>
        <w:rPr>
          <w:sz w:val="24"/>
          <w:szCs w:val="24"/>
        </w:rPr>
      </w:pPr>
    </w:p>
    <w:p w14:paraId="6FFA0F1A" w14:textId="77777777" w:rsidR="004F1CF1" w:rsidRPr="004F1CF1" w:rsidRDefault="004F1CF1" w:rsidP="004F1CF1">
      <w:pPr>
        <w:rPr>
          <w:sz w:val="24"/>
          <w:szCs w:val="24"/>
        </w:rPr>
      </w:pPr>
      <w:r w:rsidRPr="004F1CF1">
        <w:rPr>
          <w:sz w:val="24"/>
          <w:szCs w:val="24"/>
        </w:rPr>
        <w:t xml:space="preserve">The findings are not only statistically sound but </w:t>
      </w:r>
      <w:r w:rsidRPr="004F1CF1">
        <w:rPr>
          <w:b/>
          <w:bCs/>
          <w:sz w:val="24"/>
          <w:szCs w:val="24"/>
        </w:rPr>
        <w:t>actionable</w:t>
      </w:r>
      <w:r w:rsidRPr="004F1CF1">
        <w:rPr>
          <w:sz w:val="24"/>
          <w:szCs w:val="24"/>
        </w:rPr>
        <w:t xml:space="preserve">, particularly for sectors like aviation, freight shipping, and agriculture, where fuel costs form a significant portion of operating expenses. The project thus achieves a </w:t>
      </w:r>
      <w:r w:rsidRPr="00DC12A9">
        <w:rPr>
          <w:sz w:val="24"/>
          <w:szCs w:val="24"/>
        </w:rPr>
        <w:t>high degree of practical significance</w:t>
      </w:r>
      <w:r w:rsidRPr="004F1CF1">
        <w:rPr>
          <w:sz w:val="24"/>
          <w:szCs w:val="24"/>
        </w:rPr>
        <w:t>, aligning data insights with operational decision-making.</w:t>
      </w:r>
    </w:p>
    <w:p w14:paraId="37A566EC" w14:textId="77777777" w:rsidR="004F1CF1" w:rsidRPr="004F1CF1" w:rsidRDefault="004F1CF1" w:rsidP="004F1CF1"/>
    <w:p w14:paraId="34D73DE3" w14:textId="027CA789" w:rsidR="001558EB" w:rsidRDefault="001558EB" w:rsidP="001558EB">
      <w:pPr>
        <w:pStyle w:val="Heading2"/>
      </w:pPr>
      <w:bookmarkStart w:id="13" w:name="_Toc204396395"/>
      <w:r>
        <w:t>F.3 Overall Success</w:t>
      </w:r>
      <w:bookmarkEnd w:id="13"/>
    </w:p>
    <w:p w14:paraId="0BCECB5E" w14:textId="77777777" w:rsidR="003C57C0" w:rsidRDefault="003C57C0" w:rsidP="003C57C0">
      <w:pPr>
        <w:pStyle w:val="NormalWeb"/>
      </w:pPr>
      <w:r>
        <w:t>This project successfully met its original objective: to evaluate whether fluctuations in U.S. crude oil prices influence refined fuel prices in a statistically and practically meaningful way. The project integrated a multistep analysis process that included:</w:t>
      </w:r>
    </w:p>
    <w:p w14:paraId="175C7C1D" w14:textId="77777777" w:rsidR="003C57C0" w:rsidRDefault="003C57C0" w:rsidP="003C57C0">
      <w:pPr>
        <w:pStyle w:val="NormalWeb"/>
        <w:numPr>
          <w:ilvl w:val="0"/>
          <w:numId w:val="54"/>
        </w:numPr>
      </w:pPr>
      <w:r>
        <w:rPr>
          <w:rStyle w:val="Strong"/>
        </w:rPr>
        <w:t>Multiple linear regression modeling</w:t>
      </w:r>
      <w:r>
        <w:t>, which revealed strong, positive relationships between crude oil and refined fuel prices, with R² values exceeding 0.84 for most fuels.</w:t>
      </w:r>
    </w:p>
    <w:p w14:paraId="52122965" w14:textId="77777777" w:rsidR="003C57C0" w:rsidRDefault="003C57C0" w:rsidP="003C57C0">
      <w:pPr>
        <w:pStyle w:val="NormalWeb"/>
        <w:numPr>
          <w:ilvl w:val="0"/>
          <w:numId w:val="54"/>
        </w:numPr>
      </w:pPr>
      <w:r>
        <w:rPr>
          <w:rStyle w:val="Strong"/>
        </w:rPr>
        <w:t>Lagged correlation testing</w:t>
      </w:r>
      <w:r>
        <w:t>, which confirmed immediate (lag 0) and statistically significant correlations between crude oil and all refined fuels (p-values &lt; 0.0001).</w:t>
      </w:r>
    </w:p>
    <w:p w14:paraId="1DCADEC3" w14:textId="77777777" w:rsidR="003C57C0" w:rsidRDefault="003C57C0" w:rsidP="003C57C0">
      <w:pPr>
        <w:pStyle w:val="NormalWeb"/>
        <w:numPr>
          <w:ilvl w:val="0"/>
          <w:numId w:val="54"/>
        </w:numPr>
      </w:pPr>
      <w:r>
        <w:rPr>
          <w:rStyle w:val="Strong"/>
        </w:rPr>
        <w:lastRenderedPageBreak/>
        <w:t>Visualization and dashboard tools</w:t>
      </w:r>
      <w:r>
        <w:t>, which effectively communicated the trends, relationships, and insights derived from the data.</w:t>
      </w:r>
    </w:p>
    <w:p w14:paraId="0AD094DE" w14:textId="77777777" w:rsidR="003C57C0" w:rsidRDefault="003C57C0" w:rsidP="003C57C0">
      <w:pPr>
        <w:pStyle w:val="NormalWeb"/>
      </w:pPr>
      <w:r>
        <w:t>In terms of success criteria defined in Task 2 (Section B6), the project met all key benchmarks:</w:t>
      </w:r>
    </w:p>
    <w:p w14:paraId="7EEBBAB2" w14:textId="77777777" w:rsidR="003C57C0" w:rsidRDefault="003C57C0" w:rsidP="003C57C0">
      <w:pPr>
        <w:pStyle w:val="NormalWeb"/>
        <w:numPr>
          <w:ilvl w:val="0"/>
          <w:numId w:val="55"/>
        </w:numPr>
      </w:pPr>
      <w:r>
        <w:t>R² scores exceeded the target of 0.70 for all fuels.</w:t>
      </w:r>
    </w:p>
    <w:p w14:paraId="34664BC1" w14:textId="77777777" w:rsidR="003C57C0" w:rsidRDefault="003C57C0" w:rsidP="003C57C0">
      <w:pPr>
        <w:pStyle w:val="NormalWeb"/>
        <w:numPr>
          <w:ilvl w:val="0"/>
          <w:numId w:val="55"/>
        </w:numPr>
      </w:pPr>
      <w:r>
        <w:t>The model coefficients aligned with economic expectations (i.e., positive association).</w:t>
      </w:r>
    </w:p>
    <w:p w14:paraId="53750626" w14:textId="77777777" w:rsidR="003C57C0" w:rsidRDefault="003C57C0" w:rsidP="003C57C0">
      <w:pPr>
        <w:pStyle w:val="NormalWeb"/>
        <w:numPr>
          <w:ilvl w:val="0"/>
          <w:numId w:val="55"/>
        </w:numPr>
      </w:pPr>
      <w:r>
        <w:t>Stakeholder decisions could be directly supported by these findings (see F.2).</w:t>
      </w:r>
    </w:p>
    <w:p w14:paraId="4B79D43E" w14:textId="7109F011" w:rsidR="003C57C0" w:rsidRDefault="003C57C0" w:rsidP="003C57C0">
      <w:pPr>
        <w:pStyle w:val="NormalWeb"/>
      </w:pPr>
      <w:r>
        <w:t xml:space="preserve">The analysis was completed within the defined timeline, used open and reliable data from the U.S. Energy Information Administration, and followed sound methodological practices. Based on these outcomes, the project can be considered both </w:t>
      </w:r>
      <w:r>
        <w:rPr>
          <w:rStyle w:val="Strong"/>
        </w:rPr>
        <w:t>statistically valid and practically useful</w:t>
      </w:r>
      <w:r>
        <w:t>, demonstrating a successful execution of a real-world data analytics problem.</w:t>
      </w:r>
    </w:p>
    <w:p w14:paraId="49ACF507" w14:textId="543D88CE" w:rsidR="440949C2" w:rsidRDefault="440949C2" w:rsidP="440949C2">
      <w:pPr>
        <w:spacing w:line="480" w:lineRule="auto"/>
        <w:ind w:firstLine="720"/>
        <w:rPr>
          <w:sz w:val="24"/>
          <w:szCs w:val="24"/>
        </w:rPr>
      </w:pPr>
    </w:p>
    <w:p w14:paraId="0AFE924E" w14:textId="78AA2B14" w:rsidR="001558EB" w:rsidRDefault="00FC4715" w:rsidP="00FC4715">
      <w:pPr>
        <w:pStyle w:val="Heading1"/>
      </w:pPr>
      <w:bookmarkStart w:id="14" w:name="_Toc204396396"/>
      <w:r>
        <w:t>G. Conclusion</w:t>
      </w:r>
      <w:bookmarkEnd w:id="14"/>
    </w:p>
    <w:p w14:paraId="590AC293" w14:textId="189359C7" w:rsidR="00FC4715" w:rsidRDefault="00FC4715" w:rsidP="00FC4715">
      <w:pPr>
        <w:pStyle w:val="Heading2"/>
      </w:pPr>
      <w:bookmarkStart w:id="15" w:name="_Toc204396397"/>
      <w:r>
        <w:t>G.1 Summar</w:t>
      </w:r>
      <w:r w:rsidR="00B4188D">
        <w:t>y of Conclusions</w:t>
      </w:r>
      <w:bookmarkEnd w:id="15"/>
    </w:p>
    <w:p w14:paraId="467FF1C7" w14:textId="77777777" w:rsidR="003C57C0" w:rsidRPr="003C57C0" w:rsidRDefault="003C57C0" w:rsidP="003C57C0">
      <w:pPr>
        <w:rPr>
          <w:sz w:val="24"/>
          <w:szCs w:val="24"/>
        </w:rPr>
      </w:pPr>
      <w:r w:rsidRPr="003C57C0">
        <w:rPr>
          <w:sz w:val="24"/>
          <w:szCs w:val="24"/>
        </w:rPr>
        <w:t>This project explored the relationship between U.S. crude oil prices and refined fuel prices through statistical modeling and correlation analysis. The results consistently demonstrated that:</w:t>
      </w:r>
    </w:p>
    <w:p w14:paraId="356B2953" w14:textId="77777777" w:rsidR="003C57C0" w:rsidRPr="003C57C0" w:rsidRDefault="003C57C0" w:rsidP="003C57C0">
      <w:pPr>
        <w:numPr>
          <w:ilvl w:val="0"/>
          <w:numId w:val="56"/>
        </w:numPr>
        <w:rPr>
          <w:sz w:val="24"/>
          <w:szCs w:val="24"/>
        </w:rPr>
      </w:pPr>
      <w:r w:rsidRPr="003C57C0">
        <w:rPr>
          <w:sz w:val="24"/>
          <w:szCs w:val="24"/>
        </w:rPr>
        <w:t>Crude oil prices have a strong, positive, and immediate influence on refined fuel prices.</w:t>
      </w:r>
    </w:p>
    <w:p w14:paraId="6B1D1A4F" w14:textId="77777777" w:rsidR="003C57C0" w:rsidRPr="003C57C0" w:rsidRDefault="003C57C0" w:rsidP="003C57C0">
      <w:pPr>
        <w:numPr>
          <w:ilvl w:val="0"/>
          <w:numId w:val="56"/>
        </w:numPr>
        <w:rPr>
          <w:sz w:val="24"/>
          <w:szCs w:val="24"/>
        </w:rPr>
      </w:pPr>
      <w:r w:rsidRPr="003C57C0">
        <w:rPr>
          <w:sz w:val="24"/>
          <w:szCs w:val="24"/>
        </w:rPr>
        <w:t>Regression models achieved high R² values, confirming that crude oil accounts for the majority of variance in refined fuel pricing.</w:t>
      </w:r>
    </w:p>
    <w:p w14:paraId="56873BA3" w14:textId="77777777" w:rsidR="003C57C0" w:rsidRPr="003C57C0" w:rsidRDefault="003C57C0" w:rsidP="003C57C0">
      <w:pPr>
        <w:numPr>
          <w:ilvl w:val="0"/>
          <w:numId w:val="56"/>
        </w:numPr>
        <w:rPr>
          <w:sz w:val="24"/>
          <w:szCs w:val="24"/>
        </w:rPr>
      </w:pPr>
      <w:r w:rsidRPr="003C57C0">
        <w:rPr>
          <w:sz w:val="24"/>
          <w:szCs w:val="24"/>
        </w:rPr>
        <w:t>Lagged correlation testing showed statistically significant relationships at lag 0 for all fuels, with extremely small p-values, rejecting the null hypothesis in every case.</w:t>
      </w:r>
    </w:p>
    <w:p w14:paraId="1D07CEA2" w14:textId="77777777" w:rsidR="003C57C0" w:rsidRPr="003C57C0" w:rsidRDefault="003C57C0" w:rsidP="003C57C0">
      <w:pPr>
        <w:rPr>
          <w:sz w:val="24"/>
          <w:szCs w:val="24"/>
        </w:rPr>
      </w:pPr>
      <w:r w:rsidRPr="003C57C0">
        <w:rPr>
          <w:sz w:val="24"/>
          <w:szCs w:val="24"/>
        </w:rPr>
        <w:t>These findings supported the project hypothesis and aligned with real-world economic expectations. The results confirm that fluctuations in crude oil pricing can be used to anticipate changes in refined fuel markets, validating the model’s usefulness for decision-making.</w:t>
      </w:r>
    </w:p>
    <w:p w14:paraId="40DF0820" w14:textId="77777777" w:rsidR="003C57C0" w:rsidRPr="003C57C0" w:rsidRDefault="003C57C0" w:rsidP="003C57C0">
      <w:pPr>
        <w:rPr>
          <w:sz w:val="24"/>
          <w:szCs w:val="24"/>
        </w:rPr>
      </w:pPr>
    </w:p>
    <w:p w14:paraId="232284EF" w14:textId="4D0D4EFD" w:rsidR="00E37081" w:rsidRDefault="00E37081" w:rsidP="00E37081">
      <w:pPr>
        <w:pStyle w:val="Heading2"/>
      </w:pPr>
      <w:bookmarkStart w:id="16" w:name="_Toc204396398"/>
      <w:r>
        <w:t>G.2 Effective Storytelling</w:t>
      </w:r>
      <w:bookmarkEnd w:id="16"/>
    </w:p>
    <w:p w14:paraId="66CBF296" w14:textId="77777777" w:rsidR="003C57C0" w:rsidRDefault="003C57C0" w:rsidP="003C57C0">
      <w:pPr>
        <w:pStyle w:val="NormalWeb"/>
      </w:pPr>
      <w:r>
        <w:t xml:space="preserve">The findings were visually communicated through a series of targeted visualizations created in </w:t>
      </w:r>
      <w:r>
        <w:rPr>
          <w:rStyle w:val="Strong"/>
        </w:rPr>
        <w:t>Tableau</w:t>
      </w:r>
      <w:r>
        <w:t>:</w:t>
      </w:r>
    </w:p>
    <w:p w14:paraId="39264D51" w14:textId="77777777" w:rsidR="003C57C0" w:rsidRDefault="003C57C0" w:rsidP="003C57C0">
      <w:pPr>
        <w:pStyle w:val="NormalWeb"/>
        <w:numPr>
          <w:ilvl w:val="0"/>
          <w:numId w:val="57"/>
        </w:numPr>
      </w:pPr>
      <w:r>
        <w:rPr>
          <w:rStyle w:val="Strong"/>
        </w:rPr>
        <w:t>Line chart of annual crude oil prices</w:t>
      </w:r>
      <w:r>
        <w:t>, giving stakeholders an intuitive view of long-term market trends.</w:t>
      </w:r>
    </w:p>
    <w:p w14:paraId="0D70FAB0" w14:textId="77777777" w:rsidR="003C57C0" w:rsidRDefault="003C57C0" w:rsidP="003C57C0">
      <w:pPr>
        <w:pStyle w:val="NormalWeb"/>
        <w:numPr>
          <w:ilvl w:val="0"/>
          <w:numId w:val="57"/>
        </w:numPr>
      </w:pPr>
      <w:r>
        <w:rPr>
          <w:rStyle w:val="Strong"/>
        </w:rPr>
        <w:t>Line chart of refined fuel prices</w:t>
      </w:r>
      <w:r>
        <w:t>, highlighting differences and patterns across fuel types.</w:t>
      </w:r>
    </w:p>
    <w:p w14:paraId="424DF8BF" w14:textId="77777777" w:rsidR="003C57C0" w:rsidRDefault="003C57C0" w:rsidP="003C57C0">
      <w:pPr>
        <w:pStyle w:val="NormalWeb"/>
        <w:numPr>
          <w:ilvl w:val="0"/>
          <w:numId w:val="57"/>
        </w:numPr>
      </w:pPr>
      <w:r>
        <w:rPr>
          <w:rStyle w:val="Strong"/>
        </w:rPr>
        <w:t>Grouped bar chart showing regression coefficients</w:t>
      </w:r>
      <w:r>
        <w:t>, offering a side-by-side comparison of crude oil’s influence on each fuel.</w:t>
      </w:r>
    </w:p>
    <w:p w14:paraId="444C83D0" w14:textId="77777777" w:rsidR="003C57C0" w:rsidRDefault="003C57C0" w:rsidP="003C57C0">
      <w:pPr>
        <w:pStyle w:val="NormalWeb"/>
        <w:numPr>
          <w:ilvl w:val="0"/>
          <w:numId w:val="57"/>
        </w:numPr>
      </w:pPr>
      <w:r>
        <w:rPr>
          <w:rStyle w:val="Strong"/>
        </w:rPr>
        <w:t>Heat map of lagged correlation results</w:t>
      </w:r>
      <w:r>
        <w:t>, identifying the strongest lead-lag relationships and their statistical significance.</w:t>
      </w:r>
    </w:p>
    <w:p w14:paraId="4669A6E4" w14:textId="77777777" w:rsidR="003C57C0" w:rsidRDefault="003C57C0" w:rsidP="003C57C0">
      <w:pPr>
        <w:pStyle w:val="NormalWeb"/>
      </w:pPr>
      <w:r>
        <w:lastRenderedPageBreak/>
        <w:t>Together, these visuals created a coherent narrative from raw data to actionable insight, supporting transparency and understanding for technical and non-technical audiences alike.</w:t>
      </w:r>
    </w:p>
    <w:p w14:paraId="3EBB1E2D" w14:textId="17EDB716" w:rsidR="00E37081" w:rsidRDefault="00E37081" w:rsidP="00E37081">
      <w:pPr>
        <w:spacing w:line="480" w:lineRule="auto"/>
        <w:ind w:firstLine="360"/>
        <w:rPr>
          <w:sz w:val="24"/>
          <w:szCs w:val="24"/>
        </w:rPr>
      </w:pPr>
    </w:p>
    <w:p w14:paraId="3DDF4D12" w14:textId="7868FCD2" w:rsidR="00F86ACF" w:rsidRDefault="00F86ACF" w:rsidP="00F86ACF">
      <w:pPr>
        <w:pStyle w:val="Heading2"/>
      </w:pPr>
      <w:bookmarkStart w:id="17" w:name="_Toc204396399"/>
      <w:r>
        <w:t xml:space="preserve">G.3 </w:t>
      </w:r>
      <w:r w:rsidR="00D009CF">
        <w:t>Recommended</w:t>
      </w:r>
      <w:r>
        <w:t xml:space="preserve"> Courses of Action</w:t>
      </w:r>
      <w:bookmarkEnd w:id="17"/>
    </w:p>
    <w:p w14:paraId="4DC2BD94" w14:textId="77777777" w:rsidR="003C57C0" w:rsidRDefault="00E871FC" w:rsidP="003C57C0">
      <w:pPr>
        <w:pStyle w:val="NormalWeb"/>
      </w:pPr>
      <w:r w:rsidRPr="440949C2">
        <w:t xml:space="preserve"> </w:t>
      </w:r>
      <w:r w:rsidR="003C57C0">
        <w:rPr>
          <w:rStyle w:val="Strong"/>
        </w:rPr>
        <w:t>Recommendation 1:</w:t>
      </w:r>
      <w:r w:rsidR="003C57C0">
        <w:br/>
        <w:t xml:space="preserve">Organizations in fuel-dependent industries (e.g., logistics, aviation, agriculture) should </w:t>
      </w:r>
      <w:r w:rsidR="003C57C0" w:rsidRPr="003C57C0">
        <w:rPr>
          <w:rStyle w:val="Strong"/>
          <w:b w:val="0"/>
          <w:bCs w:val="0"/>
        </w:rPr>
        <w:t>monitor crude oil market trends in real-time</w:t>
      </w:r>
      <w:r w:rsidR="003C57C0">
        <w:t xml:space="preserve"> as a leading indicator for refined fuel costs. This could improve operational budgeting and risk forecasting.</w:t>
      </w:r>
    </w:p>
    <w:p w14:paraId="42EFAC09" w14:textId="77777777" w:rsidR="003C57C0" w:rsidRDefault="003C57C0" w:rsidP="003C57C0">
      <w:pPr>
        <w:pStyle w:val="NormalWeb"/>
      </w:pPr>
      <w:r>
        <w:rPr>
          <w:rStyle w:val="Strong"/>
        </w:rPr>
        <w:t>Recommendation 2:</w:t>
      </w:r>
      <w:r>
        <w:br/>
        <w:t xml:space="preserve">Firms should consider </w:t>
      </w:r>
      <w:r w:rsidRPr="003C57C0">
        <w:rPr>
          <w:rStyle w:val="Strong"/>
          <w:b w:val="0"/>
          <w:bCs w:val="0"/>
        </w:rPr>
        <w:t>developing or adopting dynamic pricing models</w:t>
      </w:r>
      <w:r>
        <w:t xml:space="preserve"> that incorporate crude oil movements, possibly extending this work with machine learning to forecast future prices based on macroeconomic and geopolitical inputs.</w:t>
      </w:r>
    </w:p>
    <w:p w14:paraId="7FA7A3DE" w14:textId="77777777" w:rsidR="003C57C0" w:rsidRDefault="003C57C0" w:rsidP="003C57C0">
      <w:pPr>
        <w:pStyle w:val="NormalWeb"/>
      </w:pPr>
      <w:r>
        <w:t>These recommendations are rooted directly in the analysis, which confirms that crude oil price movements offer meaningful predictive power for downstream fuel markets.</w:t>
      </w:r>
    </w:p>
    <w:p w14:paraId="208AB95D" w14:textId="5D466A3E" w:rsidR="00F86ACF" w:rsidRDefault="00F86ACF" w:rsidP="00F86ACF">
      <w:pPr>
        <w:spacing w:line="480" w:lineRule="auto"/>
        <w:ind w:firstLine="360"/>
        <w:rPr>
          <w:sz w:val="24"/>
          <w:szCs w:val="24"/>
        </w:rPr>
      </w:pPr>
    </w:p>
    <w:p w14:paraId="22B8974E" w14:textId="6858D53A" w:rsidR="008450AF" w:rsidRPr="007253BB" w:rsidRDefault="00C76A8D" w:rsidP="007253BB">
      <w:pPr>
        <w:spacing w:line="480" w:lineRule="auto"/>
        <w:ind w:firstLine="720"/>
        <w:rPr>
          <w:sz w:val="24"/>
          <w:szCs w:val="24"/>
        </w:rPr>
      </w:pPr>
      <w:r w:rsidRPr="00C76A8D">
        <w:rPr>
          <w:sz w:val="24"/>
          <w:szCs w:val="24"/>
        </w:rPr>
        <w:br/>
        <w:t xml:space="preserve">  </w:t>
      </w:r>
      <w:r w:rsidRPr="00C76A8D">
        <w:rPr>
          <w:sz w:val="24"/>
          <w:szCs w:val="24"/>
        </w:rPr>
        <w:br/>
      </w:r>
    </w:p>
    <w:p w14:paraId="0BB468BB" w14:textId="77777777" w:rsidR="00E37081" w:rsidRDefault="00E37081" w:rsidP="00FC4715">
      <w:pPr>
        <w:spacing w:line="480" w:lineRule="auto"/>
        <w:ind w:firstLine="360"/>
        <w:rPr>
          <w:sz w:val="24"/>
          <w:szCs w:val="24"/>
        </w:rPr>
      </w:pPr>
    </w:p>
    <w:p w14:paraId="53130623" w14:textId="77777777" w:rsidR="00FC4715" w:rsidRPr="00FC4715" w:rsidRDefault="00FC4715" w:rsidP="00FC4715"/>
    <w:p w14:paraId="7AAD2636" w14:textId="2C452792" w:rsidR="00D22073" w:rsidRPr="00DF2E36" w:rsidRDefault="00D22073" w:rsidP="00C440C5">
      <w:pPr>
        <w:spacing w:line="480" w:lineRule="auto"/>
        <w:rPr>
          <w:b/>
          <w:sz w:val="24"/>
          <w:szCs w:val="24"/>
        </w:rPr>
      </w:pPr>
      <w:bookmarkStart w:id="18" w:name="_heading=h.1ci93xb" w:colFirst="0" w:colLast="0"/>
      <w:bookmarkStart w:id="19" w:name="_heading=h.3whwml4"/>
      <w:bookmarkEnd w:id="18"/>
      <w:bookmarkEnd w:id="19"/>
    </w:p>
    <w:p w14:paraId="7AAD2637" w14:textId="7764D157" w:rsidR="00336E5A" w:rsidRDefault="00336E5A" w:rsidP="00C440C5">
      <w:pPr>
        <w:spacing w:line="480" w:lineRule="auto"/>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20" w:name="_Toc204396400"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Content>
        <w:p w14:paraId="3438839D" w14:textId="7CA9D633" w:rsidR="00476685" w:rsidRPr="00336E5A" w:rsidRDefault="00476685" w:rsidP="00193B44">
          <w:pPr>
            <w:pStyle w:val="Heading1"/>
          </w:pPr>
          <w:r>
            <w:t>References</w:t>
          </w:r>
          <w:bookmarkEnd w:id="20"/>
        </w:p>
        <w:sdt>
          <w:sdtPr>
            <w:rPr>
              <w:sz w:val="22"/>
              <w:szCs w:val="22"/>
            </w:rPr>
            <w:id w:val="-573587230"/>
            <w:bibliography/>
          </w:sdtPr>
          <w:sdtContent>
            <w:p w14:paraId="0B00A741" w14:textId="77777777" w:rsidR="003C57C0" w:rsidRPr="003C57C0" w:rsidRDefault="003C57C0" w:rsidP="003C57C0">
              <w:pPr>
                <w:pStyle w:val="NormalWeb"/>
              </w:pPr>
              <w:r w:rsidRPr="003C57C0">
                <w:t xml:space="preserve">Asche, F., Osmundsen, P., &amp; </w:t>
              </w:r>
              <w:proofErr w:type="spellStart"/>
              <w:r w:rsidRPr="003C57C0">
                <w:t>Tveterås</w:t>
              </w:r>
              <w:proofErr w:type="spellEnd"/>
              <w:r w:rsidRPr="003C57C0">
                <w:t xml:space="preserve">, R. (2001). </w:t>
              </w:r>
              <w:r w:rsidRPr="003C57C0">
                <w:rPr>
                  <w:i/>
                  <w:iCs/>
                </w:rPr>
                <w:t>An analysis of crude oil and refined product prices</w:t>
              </w:r>
              <w:r w:rsidRPr="003C57C0">
                <w:t xml:space="preserve"> (SNF Report No. 31/01). Institute for Research in Economics and Business Administration. </w:t>
              </w:r>
              <w:hyperlink r:id="rId11" w:tgtFrame="_new" w:history="1">
                <w:r w:rsidRPr="003C57C0">
                  <w:rPr>
                    <w:color w:val="0000FF"/>
                    <w:u w:val="single"/>
                  </w:rPr>
                  <w:t>https://openaccess.nhh.no/nhh-xmlui/bitstream/handle/11250/164625/R31_01.pdf</w:t>
                </w:r>
              </w:hyperlink>
            </w:p>
            <w:p w14:paraId="331D174B" w14:textId="77777777" w:rsidR="003C57C0" w:rsidRPr="003C57C0" w:rsidRDefault="003C57C0" w:rsidP="003C57C0">
              <w:pPr>
                <w:spacing w:before="100" w:beforeAutospacing="1" w:after="100" w:afterAutospacing="1"/>
                <w:rPr>
                  <w:sz w:val="24"/>
                  <w:szCs w:val="24"/>
                </w:rPr>
              </w:pPr>
              <w:r w:rsidRPr="003C57C0">
                <w:rPr>
                  <w:sz w:val="24"/>
                  <w:szCs w:val="24"/>
                </w:rPr>
                <w:t xml:space="preserve">Brown, S. P. A., &amp; Yücel, M. K. (1998). Crude oil and gasoline prices: An asymmetric relationship? </w:t>
              </w:r>
              <w:r w:rsidRPr="003C57C0">
                <w:rPr>
                  <w:i/>
                  <w:iCs/>
                  <w:sz w:val="24"/>
                  <w:szCs w:val="24"/>
                </w:rPr>
                <w:t>Federal Reserve Bank of Dallas Economic Review</w:t>
              </w:r>
              <w:r w:rsidRPr="003C57C0">
                <w:rPr>
                  <w:sz w:val="24"/>
                  <w:szCs w:val="24"/>
                </w:rPr>
                <w:t>, Q1, 2–11. https://www.dallasfed.org/research/er/1998/er9801a</w:t>
              </w:r>
            </w:p>
            <w:p w14:paraId="7E13784D" w14:textId="77777777" w:rsidR="003C57C0" w:rsidRPr="003C57C0" w:rsidRDefault="003C57C0" w:rsidP="003C57C0">
              <w:pPr>
                <w:spacing w:before="100" w:beforeAutospacing="1" w:after="100" w:afterAutospacing="1"/>
                <w:rPr>
                  <w:sz w:val="24"/>
                  <w:szCs w:val="24"/>
                </w:rPr>
              </w:pPr>
              <w:r w:rsidRPr="003C57C0">
                <w:rPr>
                  <w:sz w:val="24"/>
                  <w:szCs w:val="24"/>
                </w:rPr>
                <w:t xml:space="preserve">U.S. Energy Information Administration. (2024). </w:t>
              </w:r>
              <w:r w:rsidRPr="003C57C0">
                <w:rPr>
                  <w:i/>
                  <w:iCs/>
                  <w:sz w:val="24"/>
                  <w:szCs w:val="24"/>
                </w:rPr>
                <w:t>Annual Energy Outlook 2024</w:t>
              </w:r>
              <w:r w:rsidRPr="003C57C0">
                <w:rPr>
                  <w:sz w:val="24"/>
                  <w:szCs w:val="24"/>
                </w:rPr>
                <w:t xml:space="preserve">. </w:t>
              </w:r>
              <w:hyperlink r:id="rId12" w:tgtFrame="_new" w:history="1">
                <w:r w:rsidRPr="003C57C0">
                  <w:rPr>
                    <w:color w:val="0000FF"/>
                    <w:sz w:val="24"/>
                    <w:szCs w:val="24"/>
                    <w:u w:val="single"/>
                  </w:rPr>
                  <w:t>https://www.eia.gov/outlooks/aeo/</w:t>
                </w:r>
              </w:hyperlink>
            </w:p>
            <w:p w14:paraId="771DDCE6" w14:textId="4BFB1CEE" w:rsidR="00476685" w:rsidRDefault="00000000" w:rsidP="003C57C0">
              <w:pPr>
                <w:pStyle w:val="Bibliography"/>
                <w:spacing w:line="480" w:lineRule="auto"/>
                <w:ind w:left="720" w:hanging="720"/>
              </w:pPr>
            </w:p>
          </w:sdtContent>
        </w:sdt>
      </w:sdtContent>
    </w:sdt>
    <w:p w14:paraId="7AAD2638" w14:textId="77777777" w:rsidR="00D22073" w:rsidRDefault="00D22073" w:rsidP="00476685">
      <w:pPr>
        <w:spacing w:line="480" w:lineRule="auto"/>
        <w:rPr>
          <w:sz w:val="24"/>
          <w:szCs w:val="24"/>
        </w:rPr>
      </w:pPr>
    </w:p>
    <w:p w14:paraId="7AAD2639" w14:textId="77777777" w:rsidR="00D22073" w:rsidRDefault="00C75646">
      <w:pPr>
        <w:spacing w:line="480" w:lineRule="auto"/>
        <w:ind w:left="720" w:hanging="720"/>
        <w:rPr>
          <w:sz w:val="24"/>
          <w:szCs w:val="24"/>
        </w:rPr>
      </w:pPr>
      <w:r>
        <w:br w:type="page"/>
      </w:r>
    </w:p>
    <w:p w14:paraId="7AAD2645" w14:textId="558C106A" w:rsidR="00D22073" w:rsidRDefault="00D22073">
      <w:pPr>
        <w:spacing w:line="480" w:lineRule="auto"/>
        <w:rPr>
          <w:b/>
          <w:sz w:val="24"/>
          <w:szCs w:val="24"/>
        </w:rPr>
      </w:pPr>
      <w:bookmarkStart w:id="21" w:name="_heading=h.2bn6wsx"/>
      <w:bookmarkEnd w:id="21"/>
    </w:p>
    <w:sectPr w:rsidR="00D22073">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808040" w14:textId="77777777" w:rsidR="00F86D2D" w:rsidRDefault="00F86D2D">
      <w:r>
        <w:separator/>
      </w:r>
    </w:p>
    <w:p w14:paraId="5CC4D9A3" w14:textId="77777777" w:rsidR="00F86D2D" w:rsidRDefault="00F86D2D"/>
  </w:endnote>
  <w:endnote w:type="continuationSeparator" w:id="0">
    <w:p w14:paraId="1185669F" w14:textId="77777777" w:rsidR="00F86D2D" w:rsidRDefault="00F86D2D">
      <w:r>
        <w:continuationSeparator/>
      </w:r>
    </w:p>
    <w:p w14:paraId="45BEA5CC" w14:textId="77777777" w:rsidR="00F86D2D" w:rsidRDefault="00F86D2D"/>
  </w:endnote>
  <w:endnote w:type="continuationNotice" w:id="1">
    <w:p w14:paraId="08F22C9C" w14:textId="77777777" w:rsidR="00F86D2D" w:rsidRDefault="00F86D2D"/>
    <w:p w14:paraId="4DA60A9A" w14:textId="77777777" w:rsidR="00F86D2D" w:rsidRDefault="00F86D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3545C" w14:textId="77777777" w:rsidR="00F86D2D" w:rsidRDefault="00F86D2D">
      <w:r>
        <w:separator/>
      </w:r>
    </w:p>
    <w:p w14:paraId="36D81D5F" w14:textId="77777777" w:rsidR="00F86D2D" w:rsidRDefault="00F86D2D"/>
  </w:footnote>
  <w:footnote w:type="continuationSeparator" w:id="0">
    <w:p w14:paraId="38363DEA" w14:textId="77777777" w:rsidR="00F86D2D" w:rsidRDefault="00F86D2D">
      <w:r>
        <w:continuationSeparator/>
      </w:r>
    </w:p>
    <w:p w14:paraId="13F1FD26" w14:textId="77777777" w:rsidR="00F86D2D" w:rsidRDefault="00F86D2D"/>
  </w:footnote>
  <w:footnote w:type="continuationNotice" w:id="1">
    <w:p w14:paraId="3E1D0262" w14:textId="77777777" w:rsidR="00F86D2D" w:rsidRDefault="00F86D2D"/>
    <w:p w14:paraId="79F13966" w14:textId="77777777" w:rsidR="00F86D2D" w:rsidRDefault="00F86D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p w14:paraId="6796C00D" w14:textId="77777777" w:rsidR="00903883" w:rsidRDefault="00903883"/>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7956F1"/>
    <w:multiLevelType w:val="multilevel"/>
    <w:tmpl w:val="54E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31DAD"/>
    <w:multiLevelType w:val="multilevel"/>
    <w:tmpl w:val="543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034B1"/>
    <w:multiLevelType w:val="hybridMultilevel"/>
    <w:tmpl w:val="4516D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697A68"/>
    <w:multiLevelType w:val="hybridMultilevel"/>
    <w:tmpl w:val="F4EEF7CE"/>
    <w:lvl w:ilvl="0" w:tplc="2B386B86">
      <w:start w:val="1"/>
      <w:numFmt w:val="bullet"/>
      <w:lvlText w:val=""/>
      <w:lvlJc w:val="left"/>
      <w:pPr>
        <w:ind w:left="1440" w:hanging="360"/>
      </w:pPr>
      <w:rPr>
        <w:rFonts w:ascii="Symbol" w:hAnsi="Symbol" w:hint="default"/>
      </w:rPr>
    </w:lvl>
    <w:lvl w:ilvl="1" w:tplc="600AE362">
      <w:start w:val="1"/>
      <w:numFmt w:val="bullet"/>
      <w:lvlText w:val="o"/>
      <w:lvlJc w:val="left"/>
      <w:pPr>
        <w:ind w:left="1440" w:hanging="360"/>
      </w:pPr>
      <w:rPr>
        <w:rFonts w:ascii="Courier New" w:hAnsi="Courier New" w:hint="default"/>
      </w:rPr>
    </w:lvl>
    <w:lvl w:ilvl="2" w:tplc="DF648290">
      <w:start w:val="1"/>
      <w:numFmt w:val="bullet"/>
      <w:lvlText w:val=""/>
      <w:lvlJc w:val="left"/>
      <w:pPr>
        <w:ind w:left="2160" w:hanging="360"/>
      </w:pPr>
      <w:rPr>
        <w:rFonts w:ascii="Wingdings" w:hAnsi="Wingdings" w:hint="default"/>
      </w:rPr>
    </w:lvl>
    <w:lvl w:ilvl="3" w:tplc="553E8B48">
      <w:start w:val="1"/>
      <w:numFmt w:val="bullet"/>
      <w:lvlText w:val=""/>
      <w:lvlJc w:val="left"/>
      <w:pPr>
        <w:ind w:left="2880" w:hanging="360"/>
      </w:pPr>
      <w:rPr>
        <w:rFonts w:ascii="Symbol" w:hAnsi="Symbol" w:hint="default"/>
      </w:rPr>
    </w:lvl>
    <w:lvl w:ilvl="4" w:tplc="F47CE968">
      <w:start w:val="1"/>
      <w:numFmt w:val="bullet"/>
      <w:lvlText w:val="o"/>
      <w:lvlJc w:val="left"/>
      <w:pPr>
        <w:ind w:left="3600" w:hanging="360"/>
      </w:pPr>
      <w:rPr>
        <w:rFonts w:ascii="Courier New" w:hAnsi="Courier New" w:hint="default"/>
      </w:rPr>
    </w:lvl>
    <w:lvl w:ilvl="5" w:tplc="C1A68582">
      <w:start w:val="1"/>
      <w:numFmt w:val="bullet"/>
      <w:lvlText w:val=""/>
      <w:lvlJc w:val="left"/>
      <w:pPr>
        <w:ind w:left="4320" w:hanging="360"/>
      </w:pPr>
      <w:rPr>
        <w:rFonts w:ascii="Wingdings" w:hAnsi="Wingdings" w:hint="default"/>
      </w:rPr>
    </w:lvl>
    <w:lvl w:ilvl="6" w:tplc="496AC62E">
      <w:start w:val="1"/>
      <w:numFmt w:val="bullet"/>
      <w:lvlText w:val=""/>
      <w:lvlJc w:val="left"/>
      <w:pPr>
        <w:ind w:left="5040" w:hanging="360"/>
      </w:pPr>
      <w:rPr>
        <w:rFonts w:ascii="Symbol" w:hAnsi="Symbol" w:hint="default"/>
      </w:rPr>
    </w:lvl>
    <w:lvl w:ilvl="7" w:tplc="7B68AFEA">
      <w:start w:val="1"/>
      <w:numFmt w:val="bullet"/>
      <w:lvlText w:val="o"/>
      <w:lvlJc w:val="left"/>
      <w:pPr>
        <w:ind w:left="5760" w:hanging="360"/>
      </w:pPr>
      <w:rPr>
        <w:rFonts w:ascii="Courier New" w:hAnsi="Courier New" w:hint="default"/>
      </w:rPr>
    </w:lvl>
    <w:lvl w:ilvl="8" w:tplc="1ED06EE0">
      <w:start w:val="1"/>
      <w:numFmt w:val="bullet"/>
      <w:lvlText w:val=""/>
      <w:lvlJc w:val="left"/>
      <w:pPr>
        <w:ind w:left="6480" w:hanging="360"/>
      </w:pPr>
      <w:rPr>
        <w:rFonts w:ascii="Wingdings" w:hAnsi="Wingdings" w:hint="default"/>
      </w:rPr>
    </w:lvl>
  </w:abstractNum>
  <w:abstractNum w:abstractNumId="7"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7C8CEC"/>
    <w:multiLevelType w:val="hybridMultilevel"/>
    <w:tmpl w:val="CB8AFE52"/>
    <w:lvl w:ilvl="0" w:tplc="414A3370">
      <w:start w:val="1"/>
      <w:numFmt w:val="bullet"/>
      <w:lvlText w:val=""/>
      <w:lvlJc w:val="left"/>
      <w:pPr>
        <w:ind w:left="1440" w:hanging="360"/>
      </w:pPr>
      <w:rPr>
        <w:rFonts w:ascii="Symbol" w:hAnsi="Symbol" w:hint="default"/>
      </w:rPr>
    </w:lvl>
    <w:lvl w:ilvl="1" w:tplc="D1BCA382">
      <w:start w:val="1"/>
      <w:numFmt w:val="bullet"/>
      <w:lvlText w:val="o"/>
      <w:lvlJc w:val="left"/>
      <w:pPr>
        <w:ind w:left="1440" w:hanging="360"/>
      </w:pPr>
      <w:rPr>
        <w:rFonts w:ascii="Courier New" w:hAnsi="Courier New" w:hint="default"/>
      </w:rPr>
    </w:lvl>
    <w:lvl w:ilvl="2" w:tplc="30D837A8">
      <w:start w:val="1"/>
      <w:numFmt w:val="bullet"/>
      <w:lvlText w:val=""/>
      <w:lvlJc w:val="left"/>
      <w:pPr>
        <w:ind w:left="2160" w:hanging="360"/>
      </w:pPr>
      <w:rPr>
        <w:rFonts w:ascii="Wingdings" w:hAnsi="Wingdings" w:hint="default"/>
      </w:rPr>
    </w:lvl>
    <w:lvl w:ilvl="3" w:tplc="B65C5E54">
      <w:start w:val="1"/>
      <w:numFmt w:val="bullet"/>
      <w:lvlText w:val=""/>
      <w:lvlJc w:val="left"/>
      <w:pPr>
        <w:ind w:left="2880" w:hanging="360"/>
      </w:pPr>
      <w:rPr>
        <w:rFonts w:ascii="Symbol" w:hAnsi="Symbol" w:hint="default"/>
      </w:rPr>
    </w:lvl>
    <w:lvl w:ilvl="4" w:tplc="21CAABEC">
      <w:start w:val="1"/>
      <w:numFmt w:val="bullet"/>
      <w:lvlText w:val="o"/>
      <w:lvlJc w:val="left"/>
      <w:pPr>
        <w:ind w:left="3600" w:hanging="360"/>
      </w:pPr>
      <w:rPr>
        <w:rFonts w:ascii="Courier New" w:hAnsi="Courier New" w:hint="default"/>
      </w:rPr>
    </w:lvl>
    <w:lvl w:ilvl="5" w:tplc="EDFA2BE4">
      <w:start w:val="1"/>
      <w:numFmt w:val="bullet"/>
      <w:lvlText w:val=""/>
      <w:lvlJc w:val="left"/>
      <w:pPr>
        <w:ind w:left="4320" w:hanging="360"/>
      </w:pPr>
      <w:rPr>
        <w:rFonts w:ascii="Wingdings" w:hAnsi="Wingdings" w:hint="default"/>
      </w:rPr>
    </w:lvl>
    <w:lvl w:ilvl="6" w:tplc="58E0F2FA">
      <w:start w:val="1"/>
      <w:numFmt w:val="bullet"/>
      <w:lvlText w:val=""/>
      <w:lvlJc w:val="left"/>
      <w:pPr>
        <w:ind w:left="5040" w:hanging="360"/>
      </w:pPr>
      <w:rPr>
        <w:rFonts w:ascii="Symbol" w:hAnsi="Symbol" w:hint="default"/>
      </w:rPr>
    </w:lvl>
    <w:lvl w:ilvl="7" w:tplc="F6A006F6">
      <w:start w:val="1"/>
      <w:numFmt w:val="bullet"/>
      <w:lvlText w:val="o"/>
      <w:lvlJc w:val="left"/>
      <w:pPr>
        <w:ind w:left="5760" w:hanging="360"/>
      </w:pPr>
      <w:rPr>
        <w:rFonts w:ascii="Courier New" w:hAnsi="Courier New" w:hint="default"/>
      </w:rPr>
    </w:lvl>
    <w:lvl w:ilvl="8" w:tplc="6456AA7E">
      <w:start w:val="1"/>
      <w:numFmt w:val="bullet"/>
      <w:lvlText w:val=""/>
      <w:lvlJc w:val="left"/>
      <w:pPr>
        <w:ind w:left="6480" w:hanging="360"/>
      </w:pPr>
      <w:rPr>
        <w:rFonts w:ascii="Wingdings" w:hAnsi="Wingdings" w:hint="default"/>
      </w:rPr>
    </w:lvl>
  </w:abstractNum>
  <w:abstractNum w:abstractNumId="9"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76388AF"/>
    <w:multiLevelType w:val="hybridMultilevel"/>
    <w:tmpl w:val="F18890F2"/>
    <w:lvl w:ilvl="0" w:tplc="1806FDF4">
      <w:start w:val="1"/>
      <w:numFmt w:val="bullet"/>
      <w:lvlText w:val=""/>
      <w:lvlJc w:val="left"/>
      <w:pPr>
        <w:ind w:left="1440" w:hanging="360"/>
      </w:pPr>
      <w:rPr>
        <w:rFonts w:ascii="Symbol" w:hAnsi="Symbol" w:hint="default"/>
      </w:rPr>
    </w:lvl>
    <w:lvl w:ilvl="1" w:tplc="2B6A0414">
      <w:start w:val="1"/>
      <w:numFmt w:val="bullet"/>
      <w:lvlText w:val="o"/>
      <w:lvlJc w:val="left"/>
      <w:pPr>
        <w:ind w:left="1440" w:hanging="360"/>
      </w:pPr>
      <w:rPr>
        <w:rFonts w:ascii="Courier New" w:hAnsi="Courier New" w:hint="default"/>
      </w:rPr>
    </w:lvl>
    <w:lvl w:ilvl="2" w:tplc="B3E04804">
      <w:start w:val="1"/>
      <w:numFmt w:val="bullet"/>
      <w:lvlText w:val=""/>
      <w:lvlJc w:val="left"/>
      <w:pPr>
        <w:ind w:left="2160" w:hanging="360"/>
      </w:pPr>
      <w:rPr>
        <w:rFonts w:ascii="Wingdings" w:hAnsi="Wingdings" w:hint="default"/>
      </w:rPr>
    </w:lvl>
    <w:lvl w:ilvl="3" w:tplc="0DCE1272">
      <w:start w:val="1"/>
      <w:numFmt w:val="bullet"/>
      <w:lvlText w:val=""/>
      <w:lvlJc w:val="left"/>
      <w:pPr>
        <w:ind w:left="2880" w:hanging="360"/>
      </w:pPr>
      <w:rPr>
        <w:rFonts w:ascii="Symbol" w:hAnsi="Symbol" w:hint="default"/>
      </w:rPr>
    </w:lvl>
    <w:lvl w:ilvl="4" w:tplc="0A3A8CF0">
      <w:start w:val="1"/>
      <w:numFmt w:val="bullet"/>
      <w:lvlText w:val="o"/>
      <w:lvlJc w:val="left"/>
      <w:pPr>
        <w:ind w:left="3600" w:hanging="360"/>
      </w:pPr>
      <w:rPr>
        <w:rFonts w:ascii="Courier New" w:hAnsi="Courier New" w:hint="default"/>
      </w:rPr>
    </w:lvl>
    <w:lvl w:ilvl="5" w:tplc="683C55D2">
      <w:start w:val="1"/>
      <w:numFmt w:val="bullet"/>
      <w:lvlText w:val=""/>
      <w:lvlJc w:val="left"/>
      <w:pPr>
        <w:ind w:left="4320" w:hanging="360"/>
      </w:pPr>
      <w:rPr>
        <w:rFonts w:ascii="Wingdings" w:hAnsi="Wingdings" w:hint="default"/>
      </w:rPr>
    </w:lvl>
    <w:lvl w:ilvl="6" w:tplc="F490E1EC">
      <w:start w:val="1"/>
      <w:numFmt w:val="bullet"/>
      <w:lvlText w:val=""/>
      <w:lvlJc w:val="left"/>
      <w:pPr>
        <w:ind w:left="5040" w:hanging="360"/>
      </w:pPr>
      <w:rPr>
        <w:rFonts w:ascii="Symbol" w:hAnsi="Symbol" w:hint="default"/>
      </w:rPr>
    </w:lvl>
    <w:lvl w:ilvl="7" w:tplc="E0ACDC14">
      <w:start w:val="1"/>
      <w:numFmt w:val="bullet"/>
      <w:lvlText w:val="o"/>
      <w:lvlJc w:val="left"/>
      <w:pPr>
        <w:ind w:left="5760" w:hanging="360"/>
      </w:pPr>
      <w:rPr>
        <w:rFonts w:ascii="Courier New" w:hAnsi="Courier New" w:hint="default"/>
      </w:rPr>
    </w:lvl>
    <w:lvl w:ilvl="8" w:tplc="903E251E">
      <w:start w:val="1"/>
      <w:numFmt w:val="bullet"/>
      <w:lvlText w:val=""/>
      <w:lvlJc w:val="left"/>
      <w:pPr>
        <w:ind w:left="6480" w:hanging="360"/>
      </w:pPr>
      <w:rPr>
        <w:rFonts w:ascii="Wingdings" w:hAnsi="Wingdings" w:hint="default"/>
      </w:rPr>
    </w:lvl>
  </w:abstractNum>
  <w:abstractNum w:abstractNumId="12" w15:restartNumberingAfterBreak="0">
    <w:nsid w:val="18F646EB"/>
    <w:multiLevelType w:val="multilevel"/>
    <w:tmpl w:val="B0F40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91739B8"/>
    <w:multiLevelType w:val="multilevel"/>
    <w:tmpl w:val="234A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E69BFE6"/>
    <w:multiLevelType w:val="hybridMultilevel"/>
    <w:tmpl w:val="61F8F058"/>
    <w:lvl w:ilvl="0" w:tplc="1B6668A6">
      <w:start w:val="1"/>
      <w:numFmt w:val="bullet"/>
      <w:lvlText w:val=""/>
      <w:lvlJc w:val="left"/>
      <w:pPr>
        <w:ind w:left="360" w:hanging="360"/>
      </w:pPr>
      <w:rPr>
        <w:rFonts w:ascii="Symbol" w:hAnsi="Symbol" w:hint="default"/>
      </w:rPr>
    </w:lvl>
    <w:lvl w:ilvl="1" w:tplc="42A05136">
      <w:start w:val="1"/>
      <w:numFmt w:val="bullet"/>
      <w:lvlText w:val="o"/>
      <w:lvlJc w:val="left"/>
      <w:pPr>
        <w:ind w:left="1080" w:hanging="360"/>
      </w:pPr>
      <w:rPr>
        <w:rFonts w:ascii="Courier New" w:hAnsi="Courier New" w:hint="default"/>
      </w:rPr>
    </w:lvl>
    <w:lvl w:ilvl="2" w:tplc="1DE8A336">
      <w:start w:val="1"/>
      <w:numFmt w:val="bullet"/>
      <w:lvlText w:val=""/>
      <w:lvlJc w:val="left"/>
      <w:pPr>
        <w:ind w:left="1800" w:hanging="360"/>
      </w:pPr>
      <w:rPr>
        <w:rFonts w:ascii="Wingdings" w:hAnsi="Wingdings" w:hint="default"/>
      </w:rPr>
    </w:lvl>
    <w:lvl w:ilvl="3" w:tplc="D422CED6">
      <w:start w:val="1"/>
      <w:numFmt w:val="bullet"/>
      <w:lvlText w:val=""/>
      <w:lvlJc w:val="left"/>
      <w:pPr>
        <w:ind w:left="2520" w:hanging="360"/>
      </w:pPr>
      <w:rPr>
        <w:rFonts w:ascii="Symbol" w:hAnsi="Symbol" w:hint="default"/>
      </w:rPr>
    </w:lvl>
    <w:lvl w:ilvl="4" w:tplc="79B235C0">
      <w:start w:val="1"/>
      <w:numFmt w:val="bullet"/>
      <w:lvlText w:val="o"/>
      <w:lvlJc w:val="left"/>
      <w:pPr>
        <w:ind w:left="3240" w:hanging="360"/>
      </w:pPr>
      <w:rPr>
        <w:rFonts w:ascii="Courier New" w:hAnsi="Courier New" w:hint="default"/>
      </w:rPr>
    </w:lvl>
    <w:lvl w:ilvl="5" w:tplc="7DCC9EC4">
      <w:start w:val="1"/>
      <w:numFmt w:val="bullet"/>
      <w:lvlText w:val=""/>
      <w:lvlJc w:val="left"/>
      <w:pPr>
        <w:ind w:left="3960" w:hanging="360"/>
      </w:pPr>
      <w:rPr>
        <w:rFonts w:ascii="Wingdings" w:hAnsi="Wingdings" w:hint="default"/>
      </w:rPr>
    </w:lvl>
    <w:lvl w:ilvl="6" w:tplc="74125A6A">
      <w:start w:val="1"/>
      <w:numFmt w:val="bullet"/>
      <w:lvlText w:val=""/>
      <w:lvlJc w:val="left"/>
      <w:pPr>
        <w:ind w:left="4680" w:hanging="360"/>
      </w:pPr>
      <w:rPr>
        <w:rFonts w:ascii="Symbol" w:hAnsi="Symbol" w:hint="default"/>
      </w:rPr>
    </w:lvl>
    <w:lvl w:ilvl="7" w:tplc="0830719E">
      <w:start w:val="1"/>
      <w:numFmt w:val="bullet"/>
      <w:lvlText w:val="o"/>
      <w:lvlJc w:val="left"/>
      <w:pPr>
        <w:ind w:left="5400" w:hanging="360"/>
      </w:pPr>
      <w:rPr>
        <w:rFonts w:ascii="Courier New" w:hAnsi="Courier New" w:hint="default"/>
      </w:rPr>
    </w:lvl>
    <w:lvl w:ilvl="8" w:tplc="245EA5A2">
      <w:start w:val="1"/>
      <w:numFmt w:val="bullet"/>
      <w:lvlText w:val=""/>
      <w:lvlJc w:val="left"/>
      <w:pPr>
        <w:ind w:left="6120" w:hanging="360"/>
      </w:pPr>
      <w:rPr>
        <w:rFonts w:ascii="Wingdings" w:hAnsi="Wingdings" w:hint="default"/>
      </w:rPr>
    </w:lvl>
  </w:abstractNum>
  <w:abstractNum w:abstractNumId="16" w15:restartNumberingAfterBreak="0">
    <w:nsid w:val="1EFA09D4"/>
    <w:multiLevelType w:val="hybridMultilevel"/>
    <w:tmpl w:val="812AA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36F91AB"/>
    <w:multiLevelType w:val="hybridMultilevel"/>
    <w:tmpl w:val="EAFC4D5E"/>
    <w:lvl w:ilvl="0" w:tplc="A8CC06E4">
      <w:start w:val="1"/>
      <w:numFmt w:val="bullet"/>
      <w:lvlText w:val=""/>
      <w:lvlJc w:val="left"/>
      <w:pPr>
        <w:ind w:left="1440" w:hanging="360"/>
      </w:pPr>
      <w:rPr>
        <w:rFonts w:ascii="Symbol" w:hAnsi="Symbol" w:hint="default"/>
      </w:rPr>
    </w:lvl>
    <w:lvl w:ilvl="1" w:tplc="B55284A0">
      <w:start w:val="1"/>
      <w:numFmt w:val="bullet"/>
      <w:lvlText w:val="o"/>
      <w:lvlJc w:val="left"/>
      <w:pPr>
        <w:ind w:left="1440" w:hanging="360"/>
      </w:pPr>
      <w:rPr>
        <w:rFonts w:ascii="Courier New" w:hAnsi="Courier New" w:hint="default"/>
      </w:rPr>
    </w:lvl>
    <w:lvl w:ilvl="2" w:tplc="74A2CB1E">
      <w:start w:val="1"/>
      <w:numFmt w:val="bullet"/>
      <w:lvlText w:val=""/>
      <w:lvlJc w:val="left"/>
      <w:pPr>
        <w:ind w:left="2160" w:hanging="360"/>
      </w:pPr>
      <w:rPr>
        <w:rFonts w:ascii="Wingdings" w:hAnsi="Wingdings" w:hint="default"/>
      </w:rPr>
    </w:lvl>
    <w:lvl w:ilvl="3" w:tplc="BE72CD84">
      <w:start w:val="1"/>
      <w:numFmt w:val="bullet"/>
      <w:lvlText w:val=""/>
      <w:lvlJc w:val="left"/>
      <w:pPr>
        <w:ind w:left="2880" w:hanging="360"/>
      </w:pPr>
      <w:rPr>
        <w:rFonts w:ascii="Symbol" w:hAnsi="Symbol" w:hint="default"/>
      </w:rPr>
    </w:lvl>
    <w:lvl w:ilvl="4" w:tplc="B58065B0">
      <w:start w:val="1"/>
      <w:numFmt w:val="bullet"/>
      <w:lvlText w:val="o"/>
      <w:lvlJc w:val="left"/>
      <w:pPr>
        <w:ind w:left="3600" w:hanging="360"/>
      </w:pPr>
      <w:rPr>
        <w:rFonts w:ascii="Courier New" w:hAnsi="Courier New" w:hint="default"/>
      </w:rPr>
    </w:lvl>
    <w:lvl w:ilvl="5" w:tplc="96DE3A26">
      <w:start w:val="1"/>
      <w:numFmt w:val="bullet"/>
      <w:lvlText w:val=""/>
      <w:lvlJc w:val="left"/>
      <w:pPr>
        <w:ind w:left="4320" w:hanging="360"/>
      </w:pPr>
      <w:rPr>
        <w:rFonts w:ascii="Wingdings" w:hAnsi="Wingdings" w:hint="default"/>
      </w:rPr>
    </w:lvl>
    <w:lvl w:ilvl="6" w:tplc="1A3E289A">
      <w:start w:val="1"/>
      <w:numFmt w:val="bullet"/>
      <w:lvlText w:val=""/>
      <w:lvlJc w:val="left"/>
      <w:pPr>
        <w:ind w:left="5040" w:hanging="360"/>
      </w:pPr>
      <w:rPr>
        <w:rFonts w:ascii="Symbol" w:hAnsi="Symbol" w:hint="default"/>
      </w:rPr>
    </w:lvl>
    <w:lvl w:ilvl="7" w:tplc="0BE475CA">
      <w:start w:val="1"/>
      <w:numFmt w:val="bullet"/>
      <w:lvlText w:val="o"/>
      <w:lvlJc w:val="left"/>
      <w:pPr>
        <w:ind w:left="5760" w:hanging="360"/>
      </w:pPr>
      <w:rPr>
        <w:rFonts w:ascii="Courier New" w:hAnsi="Courier New" w:hint="default"/>
      </w:rPr>
    </w:lvl>
    <w:lvl w:ilvl="8" w:tplc="3DD44556">
      <w:start w:val="1"/>
      <w:numFmt w:val="bullet"/>
      <w:lvlText w:val=""/>
      <w:lvlJc w:val="left"/>
      <w:pPr>
        <w:ind w:left="6480" w:hanging="360"/>
      </w:pPr>
      <w:rPr>
        <w:rFonts w:ascii="Wingdings" w:hAnsi="Wingdings" w:hint="default"/>
      </w:rPr>
    </w:lvl>
  </w:abstractNum>
  <w:abstractNum w:abstractNumId="18" w15:restartNumberingAfterBreak="0">
    <w:nsid w:val="25D9F1AC"/>
    <w:multiLevelType w:val="hybridMultilevel"/>
    <w:tmpl w:val="5AA604A6"/>
    <w:lvl w:ilvl="0" w:tplc="A5FC34E0">
      <w:start w:val="1"/>
      <w:numFmt w:val="bullet"/>
      <w:lvlText w:val=""/>
      <w:lvlJc w:val="left"/>
      <w:pPr>
        <w:ind w:left="1440" w:hanging="360"/>
      </w:pPr>
      <w:rPr>
        <w:rFonts w:ascii="Symbol" w:hAnsi="Symbol" w:hint="default"/>
      </w:rPr>
    </w:lvl>
    <w:lvl w:ilvl="1" w:tplc="CC6E26A8">
      <w:start w:val="1"/>
      <w:numFmt w:val="bullet"/>
      <w:lvlText w:val="o"/>
      <w:lvlJc w:val="left"/>
      <w:pPr>
        <w:ind w:left="1440" w:hanging="360"/>
      </w:pPr>
      <w:rPr>
        <w:rFonts w:ascii="Courier New" w:hAnsi="Courier New" w:hint="default"/>
      </w:rPr>
    </w:lvl>
    <w:lvl w:ilvl="2" w:tplc="7D965B44">
      <w:start w:val="1"/>
      <w:numFmt w:val="bullet"/>
      <w:lvlText w:val=""/>
      <w:lvlJc w:val="left"/>
      <w:pPr>
        <w:ind w:left="2160" w:hanging="360"/>
      </w:pPr>
      <w:rPr>
        <w:rFonts w:ascii="Wingdings" w:hAnsi="Wingdings" w:hint="default"/>
      </w:rPr>
    </w:lvl>
    <w:lvl w:ilvl="3" w:tplc="BC6855DE">
      <w:start w:val="1"/>
      <w:numFmt w:val="bullet"/>
      <w:lvlText w:val=""/>
      <w:lvlJc w:val="left"/>
      <w:pPr>
        <w:ind w:left="2880" w:hanging="360"/>
      </w:pPr>
      <w:rPr>
        <w:rFonts w:ascii="Symbol" w:hAnsi="Symbol" w:hint="default"/>
      </w:rPr>
    </w:lvl>
    <w:lvl w:ilvl="4" w:tplc="83EEBD88">
      <w:start w:val="1"/>
      <w:numFmt w:val="bullet"/>
      <w:lvlText w:val="o"/>
      <w:lvlJc w:val="left"/>
      <w:pPr>
        <w:ind w:left="3600" w:hanging="360"/>
      </w:pPr>
      <w:rPr>
        <w:rFonts w:ascii="Courier New" w:hAnsi="Courier New" w:hint="default"/>
      </w:rPr>
    </w:lvl>
    <w:lvl w:ilvl="5" w:tplc="966C1670">
      <w:start w:val="1"/>
      <w:numFmt w:val="bullet"/>
      <w:lvlText w:val=""/>
      <w:lvlJc w:val="left"/>
      <w:pPr>
        <w:ind w:left="4320" w:hanging="360"/>
      </w:pPr>
      <w:rPr>
        <w:rFonts w:ascii="Wingdings" w:hAnsi="Wingdings" w:hint="default"/>
      </w:rPr>
    </w:lvl>
    <w:lvl w:ilvl="6" w:tplc="152A7524">
      <w:start w:val="1"/>
      <w:numFmt w:val="bullet"/>
      <w:lvlText w:val=""/>
      <w:lvlJc w:val="left"/>
      <w:pPr>
        <w:ind w:left="5040" w:hanging="360"/>
      </w:pPr>
      <w:rPr>
        <w:rFonts w:ascii="Symbol" w:hAnsi="Symbol" w:hint="default"/>
      </w:rPr>
    </w:lvl>
    <w:lvl w:ilvl="7" w:tplc="6A7203AA">
      <w:start w:val="1"/>
      <w:numFmt w:val="bullet"/>
      <w:lvlText w:val="o"/>
      <w:lvlJc w:val="left"/>
      <w:pPr>
        <w:ind w:left="5760" w:hanging="360"/>
      </w:pPr>
      <w:rPr>
        <w:rFonts w:ascii="Courier New" w:hAnsi="Courier New" w:hint="default"/>
      </w:rPr>
    </w:lvl>
    <w:lvl w:ilvl="8" w:tplc="ED1CD7DE">
      <w:start w:val="1"/>
      <w:numFmt w:val="bullet"/>
      <w:lvlText w:val=""/>
      <w:lvlJc w:val="left"/>
      <w:pPr>
        <w:ind w:left="6480" w:hanging="360"/>
      </w:pPr>
      <w:rPr>
        <w:rFonts w:ascii="Wingdings" w:hAnsi="Wingdings" w:hint="default"/>
      </w:rPr>
    </w:lvl>
  </w:abstractNum>
  <w:abstractNum w:abstractNumId="19"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FF7178"/>
    <w:multiLevelType w:val="hybridMultilevel"/>
    <w:tmpl w:val="D390C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9C05DBC"/>
    <w:multiLevelType w:val="multilevel"/>
    <w:tmpl w:val="80745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2BED68D6"/>
    <w:multiLevelType w:val="hybridMultilevel"/>
    <w:tmpl w:val="EE6C2700"/>
    <w:lvl w:ilvl="0" w:tplc="A364D18C">
      <w:start w:val="1"/>
      <w:numFmt w:val="bullet"/>
      <w:lvlText w:val=""/>
      <w:lvlJc w:val="left"/>
      <w:pPr>
        <w:ind w:left="1440" w:hanging="360"/>
      </w:pPr>
      <w:rPr>
        <w:rFonts w:ascii="Symbol" w:hAnsi="Symbol" w:hint="default"/>
      </w:rPr>
    </w:lvl>
    <w:lvl w:ilvl="1" w:tplc="7A0C93E2">
      <w:start w:val="1"/>
      <w:numFmt w:val="bullet"/>
      <w:lvlText w:val="o"/>
      <w:lvlJc w:val="left"/>
      <w:pPr>
        <w:ind w:left="1440" w:hanging="360"/>
      </w:pPr>
      <w:rPr>
        <w:rFonts w:ascii="Courier New" w:hAnsi="Courier New" w:hint="default"/>
      </w:rPr>
    </w:lvl>
    <w:lvl w:ilvl="2" w:tplc="AB7AFEFC">
      <w:start w:val="1"/>
      <w:numFmt w:val="bullet"/>
      <w:lvlText w:val=""/>
      <w:lvlJc w:val="left"/>
      <w:pPr>
        <w:ind w:left="2160" w:hanging="360"/>
      </w:pPr>
      <w:rPr>
        <w:rFonts w:ascii="Wingdings" w:hAnsi="Wingdings" w:hint="default"/>
      </w:rPr>
    </w:lvl>
    <w:lvl w:ilvl="3" w:tplc="D88AAE3C">
      <w:start w:val="1"/>
      <w:numFmt w:val="bullet"/>
      <w:lvlText w:val=""/>
      <w:lvlJc w:val="left"/>
      <w:pPr>
        <w:ind w:left="2880" w:hanging="360"/>
      </w:pPr>
      <w:rPr>
        <w:rFonts w:ascii="Symbol" w:hAnsi="Symbol" w:hint="default"/>
      </w:rPr>
    </w:lvl>
    <w:lvl w:ilvl="4" w:tplc="CCDEEA5C">
      <w:start w:val="1"/>
      <w:numFmt w:val="bullet"/>
      <w:lvlText w:val="o"/>
      <w:lvlJc w:val="left"/>
      <w:pPr>
        <w:ind w:left="3600" w:hanging="360"/>
      </w:pPr>
      <w:rPr>
        <w:rFonts w:ascii="Courier New" w:hAnsi="Courier New" w:hint="default"/>
      </w:rPr>
    </w:lvl>
    <w:lvl w:ilvl="5" w:tplc="53DCA452">
      <w:start w:val="1"/>
      <w:numFmt w:val="bullet"/>
      <w:lvlText w:val=""/>
      <w:lvlJc w:val="left"/>
      <w:pPr>
        <w:ind w:left="4320" w:hanging="360"/>
      </w:pPr>
      <w:rPr>
        <w:rFonts w:ascii="Wingdings" w:hAnsi="Wingdings" w:hint="default"/>
      </w:rPr>
    </w:lvl>
    <w:lvl w:ilvl="6" w:tplc="8BEC3DD0">
      <w:start w:val="1"/>
      <w:numFmt w:val="bullet"/>
      <w:lvlText w:val=""/>
      <w:lvlJc w:val="left"/>
      <w:pPr>
        <w:ind w:left="5040" w:hanging="360"/>
      </w:pPr>
      <w:rPr>
        <w:rFonts w:ascii="Symbol" w:hAnsi="Symbol" w:hint="default"/>
      </w:rPr>
    </w:lvl>
    <w:lvl w:ilvl="7" w:tplc="B71409A0">
      <w:start w:val="1"/>
      <w:numFmt w:val="bullet"/>
      <w:lvlText w:val="o"/>
      <w:lvlJc w:val="left"/>
      <w:pPr>
        <w:ind w:left="5760" w:hanging="360"/>
      </w:pPr>
      <w:rPr>
        <w:rFonts w:ascii="Courier New" w:hAnsi="Courier New" w:hint="default"/>
      </w:rPr>
    </w:lvl>
    <w:lvl w:ilvl="8" w:tplc="844E160E">
      <w:start w:val="1"/>
      <w:numFmt w:val="bullet"/>
      <w:lvlText w:val=""/>
      <w:lvlJc w:val="left"/>
      <w:pPr>
        <w:ind w:left="6480" w:hanging="360"/>
      </w:pPr>
      <w:rPr>
        <w:rFonts w:ascii="Wingdings" w:hAnsi="Wingdings" w:hint="default"/>
      </w:rPr>
    </w:lvl>
  </w:abstractNum>
  <w:abstractNum w:abstractNumId="24" w15:restartNumberingAfterBreak="0">
    <w:nsid w:val="2D344FB7"/>
    <w:multiLevelType w:val="hybridMultilevel"/>
    <w:tmpl w:val="C0923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F120FE1"/>
    <w:multiLevelType w:val="multilevel"/>
    <w:tmpl w:val="DBC8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B617C7"/>
    <w:multiLevelType w:val="multilevel"/>
    <w:tmpl w:val="BB5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6D7197E"/>
    <w:multiLevelType w:val="hybridMultilevel"/>
    <w:tmpl w:val="5366C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4BE9717"/>
    <w:multiLevelType w:val="hybridMultilevel"/>
    <w:tmpl w:val="0AC6AEF8"/>
    <w:lvl w:ilvl="0" w:tplc="FE022570">
      <w:start w:val="1"/>
      <w:numFmt w:val="bullet"/>
      <w:lvlText w:val=""/>
      <w:lvlJc w:val="left"/>
      <w:pPr>
        <w:ind w:left="1440" w:hanging="360"/>
      </w:pPr>
      <w:rPr>
        <w:rFonts w:ascii="Symbol" w:hAnsi="Symbol" w:hint="default"/>
      </w:rPr>
    </w:lvl>
    <w:lvl w:ilvl="1" w:tplc="C660F780">
      <w:start w:val="1"/>
      <w:numFmt w:val="bullet"/>
      <w:lvlText w:val="o"/>
      <w:lvlJc w:val="left"/>
      <w:pPr>
        <w:ind w:left="1440" w:hanging="360"/>
      </w:pPr>
      <w:rPr>
        <w:rFonts w:ascii="Courier New" w:hAnsi="Courier New" w:hint="default"/>
      </w:rPr>
    </w:lvl>
    <w:lvl w:ilvl="2" w:tplc="75F0FDB0">
      <w:start w:val="1"/>
      <w:numFmt w:val="bullet"/>
      <w:lvlText w:val=""/>
      <w:lvlJc w:val="left"/>
      <w:pPr>
        <w:ind w:left="2160" w:hanging="360"/>
      </w:pPr>
      <w:rPr>
        <w:rFonts w:ascii="Wingdings" w:hAnsi="Wingdings" w:hint="default"/>
      </w:rPr>
    </w:lvl>
    <w:lvl w:ilvl="3" w:tplc="0D2CB708">
      <w:start w:val="1"/>
      <w:numFmt w:val="bullet"/>
      <w:lvlText w:val=""/>
      <w:lvlJc w:val="left"/>
      <w:pPr>
        <w:ind w:left="2880" w:hanging="360"/>
      </w:pPr>
      <w:rPr>
        <w:rFonts w:ascii="Symbol" w:hAnsi="Symbol" w:hint="default"/>
      </w:rPr>
    </w:lvl>
    <w:lvl w:ilvl="4" w:tplc="60D2F7A0">
      <w:start w:val="1"/>
      <w:numFmt w:val="bullet"/>
      <w:lvlText w:val="o"/>
      <w:lvlJc w:val="left"/>
      <w:pPr>
        <w:ind w:left="3600" w:hanging="360"/>
      </w:pPr>
      <w:rPr>
        <w:rFonts w:ascii="Courier New" w:hAnsi="Courier New" w:hint="default"/>
      </w:rPr>
    </w:lvl>
    <w:lvl w:ilvl="5" w:tplc="54467830">
      <w:start w:val="1"/>
      <w:numFmt w:val="bullet"/>
      <w:lvlText w:val=""/>
      <w:lvlJc w:val="left"/>
      <w:pPr>
        <w:ind w:left="4320" w:hanging="360"/>
      </w:pPr>
      <w:rPr>
        <w:rFonts w:ascii="Wingdings" w:hAnsi="Wingdings" w:hint="default"/>
      </w:rPr>
    </w:lvl>
    <w:lvl w:ilvl="6" w:tplc="3CF0178C">
      <w:start w:val="1"/>
      <w:numFmt w:val="bullet"/>
      <w:lvlText w:val=""/>
      <w:lvlJc w:val="left"/>
      <w:pPr>
        <w:ind w:left="5040" w:hanging="360"/>
      </w:pPr>
      <w:rPr>
        <w:rFonts w:ascii="Symbol" w:hAnsi="Symbol" w:hint="default"/>
      </w:rPr>
    </w:lvl>
    <w:lvl w:ilvl="7" w:tplc="AF3E7688">
      <w:start w:val="1"/>
      <w:numFmt w:val="bullet"/>
      <w:lvlText w:val="o"/>
      <w:lvlJc w:val="left"/>
      <w:pPr>
        <w:ind w:left="5760" w:hanging="360"/>
      </w:pPr>
      <w:rPr>
        <w:rFonts w:ascii="Courier New" w:hAnsi="Courier New" w:hint="default"/>
      </w:rPr>
    </w:lvl>
    <w:lvl w:ilvl="8" w:tplc="A8C06C22">
      <w:start w:val="1"/>
      <w:numFmt w:val="bullet"/>
      <w:lvlText w:val=""/>
      <w:lvlJc w:val="left"/>
      <w:pPr>
        <w:ind w:left="6480" w:hanging="360"/>
      </w:pPr>
      <w:rPr>
        <w:rFonts w:ascii="Wingdings" w:hAnsi="Wingdings" w:hint="default"/>
      </w:rPr>
    </w:lvl>
  </w:abstractNum>
  <w:abstractNum w:abstractNumId="30" w15:restartNumberingAfterBreak="0">
    <w:nsid w:val="46CF461B"/>
    <w:multiLevelType w:val="multilevel"/>
    <w:tmpl w:val="7298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2B3083"/>
    <w:multiLevelType w:val="multilevel"/>
    <w:tmpl w:val="98CE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A74178"/>
    <w:multiLevelType w:val="multilevel"/>
    <w:tmpl w:val="D40C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E4D2F76"/>
    <w:multiLevelType w:val="multilevel"/>
    <w:tmpl w:val="EAC0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F813D1"/>
    <w:multiLevelType w:val="multilevel"/>
    <w:tmpl w:val="E728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D7181B"/>
    <w:multiLevelType w:val="multilevel"/>
    <w:tmpl w:val="F402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764CED"/>
    <w:multiLevelType w:val="hybridMultilevel"/>
    <w:tmpl w:val="DFC63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47956DE"/>
    <w:multiLevelType w:val="hybridMultilevel"/>
    <w:tmpl w:val="843A24F6"/>
    <w:lvl w:ilvl="0" w:tplc="69009D4C">
      <w:start w:val="1"/>
      <w:numFmt w:val="bullet"/>
      <w:lvlText w:val=""/>
      <w:lvlJc w:val="left"/>
      <w:pPr>
        <w:ind w:left="1440" w:hanging="360"/>
      </w:pPr>
      <w:rPr>
        <w:rFonts w:ascii="Symbol" w:hAnsi="Symbol" w:hint="default"/>
      </w:rPr>
    </w:lvl>
    <w:lvl w:ilvl="1" w:tplc="E3EA20E6">
      <w:start w:val="1"/>
      <w:numFmt w:val="bullet"/>
      <w:lvlText w:val="o"/>
      <w:lvlJc w:val="left"/>
      <w:pPr>
        <w:ind w:left="1440" w:hanging="360"/>
      </w:pPr>
      <w:rPr>
        <w:rFonts w:ascii="Courier New" w:hAnsi="Courier New" w:hint="default"/>
      </w:rPr>
    </w:lvl>
    <w:lvl w:ilvl="2" w:tplc="692AF5A4">
      <w:start w:val="1"/>
      <w:numFmt w:val="bullet"/>
      <w:lvlText w:val=""/>
      <w:lvlJc w:val="left"/>
      <w:pPr>
        <w:ind w:left="2160" w:hanging="360"/>
      </w:pPr>
      <w:rPr>
        <w:rFonts w:ascii="Wingdings" w:hAnsi="Wingdings" w:hint="default"/>
      </w:rPr>
    </w:lvl>
    <w:lvl w:ilvl="3" w:tplc="323C71AE">
      <w:start w:val="1"/>
      <w:numFmt w:val="bullet"/>
      <w:lvlText w:val=""/>
      <w:lvlJc w:val="left"/>
      <w:pPr>
        <w:ind w:left="2880" w:hanging="360"/>
      </w:pPr>
      <w:rPr>
        <w:rFonts w:ascii="Symbol" w:hAnsi="Symbol" w:hint="default"/>
      </w:rPr>
    </w:lvl>
    <w:lvl w:ilvl="4" w:tplc="845A0EE6">
      <w:start w:val="1"/>
      <w:numFmt w:val="bullet"/>
      <w:lvlText w:val="o"/>
      <w:lvlJc w:val="left"/>
      <w:pPr>
        <w:ind w:left="3600" w:hanging="360"/>
      </w:pPr>
      <w:rPr>
        <w:rFonts w:ascii="Courier New" w:hAnsi="Courier New" w:hint="default"/>
      </w:rPr>
    </w:lvl>
    <w:lvl w:ilvl="5" w:tplc="F21CBFFE">
      <w:start w:val="1"/>
      <w:numFmt w:val="bullet"/>
      <w:lvlText w:val=""/>
      <w:lvlJc w:val="left"/>
      <w:pPr>
        <w:ind w:left="4320" w:hanging="360"/>
      </w:pPr>
      <w:rPr>
        <w:rFonts w:ascii="Wingdings" w:hAnsi="Wingdings" w:hint="default"/>
      </w:rPr>
    </w:lvl>
    <w:lvl w:ilvl="6" w:tplc="E306DB3E">
      <w:start w:val="1"/>
      <w:numFmt w:val="bullet"/>
      <w:lvlText w:val=""/>
      <w:lvlJc w:val="left"/>
      <w:pPr>
        <w:ind w:left="5040" w:hanging="360"/>
      </w:pPr>
      <w:rPr>
        <w:rFonts w:ascii="Symbol" w:hAnsi="Symbol" w:hint="default"/>
      </w:rPr>
    </w:lvl>
    <w:lvl w:ilvl="7" w:tplc="52B8BFEA">
      <w:start w:val="1"/>
      <w:numFmt w:val="bullet"/>
      <w:lvlText w:val="o"/>
      <w:lvlJc w:val="left"/>
      <w:pPr>
        <w:ind w:left="5760" w:hanging="360"/>
      </w:pPr>
      <w:rPr>
        <w:rFonts w:ascii="Courier New" w:hAnsi="Courier New" w:hint="default"/>
      </w:rPr>
    </w:lvl>
    <w:lvl w:ilvl="8" w:tplc="0A4A1E90">
      <w:start w:val="1"/>
      <w:numFmt w:val="bullet"/>
      <w:lvlText w:val=""/>
      <w:lvlJc w:val="left"/>
      <w:pPr>
        <w:ind w:left="6480" w:hanging="360"/>
      </w:pPr>
      <w:rPr>
        <w:rFonts w:ascii="Wingdings" w:hAnsi="Wingdings" w:hint="default"/>
      </w:rPr>
    </w:lvl>
  </w:abstractNum>
  <w:abstractNum w:abstractNumId="39"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5C706F"/>
    <w:multiLevelType w:val="multilevel"/>
    <w:tmpl w:val="55D4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0E5EB4"/>
    <w:multiLevelType w:val="multilevel"/>
    <w:tmpl w:val="BCFC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3" w15:restartNumberingAfterBreak="0">
    <w:nsid w:val="611B0D72"/>
    <w:multiLevelType w:val="multilevel"/>
    <w:tmpl w:val="E64E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A1D2199"/>
    <w:multiLevelType w:val="multilevel"/>
    <w:tmpl w:val="47D0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DF64FD2"/>
    <w:multiLevelType w:val="multilevel"/>
    <w:tmpl w:val="03BA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0E9648D"/>
    <w:multiLevelType w:val="multilevel"/>
    <w:tmpl w:val="67CED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0"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1" w15:restartNumberingAfterBreak="0">
    <w:nsid w:val="7B9C5A93"/>
    <w:multiLevelType w:val="multilevel"/>
    <w:tmpl w:val="EC46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53"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5"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2055229985">
    <w:abstractNumId w:val="8"/>
  </w:num>
  <w:num w:numId="2" w16cid:durableId="994450209">
    <w:abstractNumId w:val="18"/>
  </w:num>
  <w:num w:numId="3" w16cid:durableId="1705518357">
    <w:abstractNumId w:val="38"/>
  </w:num>
  <w:num w:numId="4" w16cid:durableId="1723560403">
    <w:abstractNumId w:val="17"/>
  </w:num>
  <w:num w:numId="5" w16cid:durableId="951670299">
    <w:abstractNumId w:val="15"/>
  </w:num>
  <w:num w:numId="6" w16cid:durableId="839126770">
    <w:abstractNumId w:val="11"/>
  </w:num>
  <w:num w:numId="7" w16cid:durableId="1324820333">
    <w:abstractNumId w:val="29"/>
  </w:num>
  <w:num w:numId="8" w16cid:durableId="1612588875">
    <w:abstractNumId w:val="23"/>
  </w:num>
  <w:num w:numId="9" w16cid:durableId="139006662">
    <w:abstractNumId w:val="6"/>
  </w:num>
  <w:num w:numId="10" w16cid:durableId="785123892">
    <w:abstractNumId w:val="42"/>
  </w:num>
  <w:num w:numId="11" w16cid:durableId="1157575156">
    <w:abstractNumId w:val="55"/>
  </w:num>
  <w:num w:numId="12" w16cid:durableId="1612587344">
    <w:abstractNumId w:val="49"/>
  </w:num>
  <w:num w:numId="13" w16cid:durableId="1905682849">
    <w:abstractNumId w:val="22"/>
  </w:num>
  <w:num w:numId="14" w16cid:durableId="1495991546">
    <w:abstractNumId w:val="50"/>
  </w:num>
  <w:num w:numId="15" w16cid:durableId="731732805">
    <w:abstractNumId w:val="14"/>
  </w:num>
  <w:num w:numId="16" w16cid:durableId="251085991">
    <w:abstractNumId w:val="1"/>
  </w:num>
  <w:num w:numId="17" w16cid:durableId="1395197216">
    <w:abstractNumId w:val="54"/>
  </w:num>
  <w:num w:numId="18" w16cid:durableId="1175879451">
    <w:abstractNumId w:val="10"/>
  </w:num>
  <w:num w:numId="19" w16cid:durableId="1965770853">
    <w:abstractNumId w:val="39"/>
  </w:num>
  <w:num w:numId="20" w16cid:durableId="895164059">
    <w:abstractNumId w:val="44"/>
  </w:num>
  <w:num w:numId="21" w16cid:durableId="287855451">
    <w:abstractNumId w:val="4"/>
  </w:num>
  <w:num w:numId="22" w16cid:durableId="1791779666">
    <w:abstractNumId w:val="0"/>
  </w:num>
  <w:num w:numId="23" w16cid:durableId="2083217234">
    <w:abstractNumId w:val="33"/>
  </w:num>
  <w:num w:numId="24" w16cid:durableId="726413697">
    <w:abstractNumId w:val="48"/>
  </w:num>
  <w:num w:numId="25" w16cid:durableId="852767194">
    <w:abstractNumId w:val="28"/>
  </w:num>
  <w:num w:numId="26" w16cid:durableId="543099633">
    <w:abstractNumId w:val="7"/>
  </w:num>
  <w:num w:numId="27" w16cid:durableId="134228300">
    <w:abstractNumId w:val="9"/>
  </w:num>
  <w:num w:numId="28" w16cid:durableId="751774223">
    <w:abstractNumId w:val="53"/>
  </w:num>
  <w:num w:numId="29" w16cid:durableId="1192378333">
    <w:abstractNumId w:val="19"/>
  </w:num>
  <w:num w:numId="30" w16cid:durableId="1953123443">
    <w:abstractNumId w:val="48"/>
  </w:num>
  <w:num w:numId="31" w16cid:durableId="20282186">
    <w:abstractNumId w:val="52"/>
  </w:num>
  <w:num w:numId="32" w16cid:durableId="105540212">
    <w:abstractNumId w:val="24"/>
  </w:num>
  <w:num w:numId="33" w16cid:durableId="1070544556">
    <w:abstractNumId w:val="20"/>
  </w:num>
  <w:num w:numId="34" w16cid:durableId="1987396123">
    <w:abstractNumId w:val="27"/>
  </w:num>
  <w:num w:numId="35" w16cid:durableId="604925816">
    <w:abstractNumId w:val="5"/>
  </w:num>
  <w:num w:numId="36" w16cid:durableId="1946572375">
    <w:abstractNumId w:val="26"/>
  </w:num>
  <w:num w:numId="37" w16cid:durableId="508788293">
    <w:abstractNumId w:val="21"/>
  </w:num>
  <w:num w:numId="38" w16cid:durableId="46615245">
    <w:abstractNumId w:val="45"/>
  </w:num>
  <w:num w:numId="39" w16cid:durableId="1746994198">
    <w:abstractNumId w:val="46"/>
  </w:num>
  <w:num w:numId="40" w16cid:durableId="999118772">
    <w:abstractNumId w:val="37"/>
  </w:num>
  <w:num w:numId="41" w16cid:durableId="1403409397">
    <w:abstractNumId w:val="16"/>
  </w:num>
  <w:num w:numId="42" w16cid:durableId="11225032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29075399">
    <w:abstractNumId w:val="34"/>
  </w:num>
  <w:num w:numId="44" w16cid:durableId="573587652">
    <w:abstractNumId w:val="47"/>
  </w:num>
  <w:num w:numId="45" w16cid:durableId="2127194194">
    <w:abstractNumId w:val="2"/>
  </w:num>
  <w:num w:numId="46" w16cid:durableId="683480307">
    <w:abstractNumId w:val="36"/>
  </w:num>
  <w:num w:numId="47" w16cid:durableId="1625191789">
    <w:abstractNumId w:val="13"/>
  </w:num>
  <w:num w:numId="48" w16cid:durableId="1935480960">
    <w:abstractNumId w:val="32"/>
  </w:num>
  <w:num w:numId="49" w16cid:durableId="1564827654">
    <w:abstractNumId w:val="30"/>
  </w:num>
  <w:num w:numId="50" w16cid:durableId="1632712509">
    <w:abstractNumId w:val="3"/>
  </w:num>
  <w:num w:numId="51" w16cid:durableId="51732287">
    <w:abstractNumId w:val="35"/>
  </w:num>
  <w:num w:numId="52" w16cid:durableId="1877505708">
    <w:abstractNumId w:val="25"/>
  </w:num>
  <w:num w:numId="53" w16cid:durableId="1833131914">
    <w:abstractNumId w:val="51"/>
  </w:num>
  <w:num w:numId="54" w16cid:durableId="1020353897">
    <w:abstractNumId w:val="31"/>
  </w:num>
  <w:num w:numId="55" w16cid:durableId="311369927">
    <w:abstractNumId w:val="43"/>
  </w:num>
  <w:num w:numId="56" w16cid:durableId="798230355">
    <w:abstractNumId w:val="41"/>
  </w:num>
  <w:num w:numId="57" w16cid:durableId="7864389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0567A"/>
    <w:rsid w:val="000100AC"/>
    <w:rsid w:val="00013719"/>
    <w:rsid w:val="00022CC7"/>
    <w:rsid w:val="00026170"/>
    <w:rsid w:val="00026A93"/>
    <w:rsid w:val="00027223"/>
    <w:rsid w:val="000331E9"/>
    <w:rsid w:val="00034D86"/>
    <w:rsid w:val="000453C4"/>
    <w:rsid w:val="00045DB2"/>
    <w:rsid w:val="000461EA"/>
    <w:rsid w:val="00050A7B"/>
    <w:rsid w:val="0006228A"/>
    <w:rsid w:val="00064C34"/>
    <w:rsid w:val="000650A0"/>
    <w:rsid w:val="00067162"/>
    <w:rsid w:val="0007080C"/>
    <w:rsid w:val="000749F7"/>
    <w:rsid w:val="00076823"/>
    <w:rsid w:val="00076B0F"/>
    <w:rsid w:val="0008031B"/>
    <w:rsid w:val="00083B91"/>
    <w:rsid w:val="00086706"/>
    <w:rsid w:val="0008683D"/>
    <w:rsid w:val="000917D0"/>
    <w:rsid w:val="00092D65"/>
    <w:rsid w:val="00094078"/>
    <w:rsid w:val="000A0E1E"/>
    <w:rsid w:val="000C0F26"/>
    <w:rsid w:val="000C3428"/>
    <w:rsid w:val="000C3D0B"/>
    <w:rsid w:val="000C4537"/>
    <w:rsid w:val="000C50DE"/>
    <w:rsid w:val="000C63ED"/>
    <w:rsid w:val="000C6B80"/>
    <w:rsid w:val="000D31AB"/>
    <w:rsid w:val="000D5C16"/>
    <w:rsid w:val="000D66EF"/>
    <w:rsid w:val="000E0C72"/>
    <w:rsid w:val="000F033C"/>
    <w:rsid w:val="000F401B"/>
    <w:rsid w:val="000F67AF"/>
    <w:rsid w:val="00100E06"/>
    <w:rsid w:val="00104207"/>
    <w:rsid w:val="0010562D"/>
    <w:rsid w:val="00105FEB"/>
    <w:rsid w:val="001065C8"/>
    <w:rsid w:val="00112EB7"/>
    <w:rsid w:val="00124CFC"/>
    <w:rsid w:val="00127170"/>
    <w:rsid w:val="00127AAE"/>
    <w:rsid w:val="001304F3"/>
    <w:rsid w:val="001308B5"/>
    <w:rsid w:val="00130909"/>
    <w:rsid w:val="001332E4"/>
    <w:rsid w:val="0013508B"/>
    <w:rsid w:val="001428E8"/>
    <w:rsid w:val="00144959"/>
    <w:rsid w:val="001558EB"/>
    <w:rsid w:val="00156B2F"/>
    <w:rsid w:val="00161355"/>
    <w:rsid w:val="001618B0"/>
    <w:rsid w:val="001631FA"/>
    <w:rsid w:val="00163339"/>
    <w:rsid w:val="001637B0"/>
    <w:rsid w:val="001640D7"/>
    <w:rsid w:val="001645D6"/>
    <w:rsid w:val="00167459"/>
    <w:rsid w:val="0017309C"/>
    <w:rsid w:val="00173E2A"/>
    <w:rsid w:val="00176214"/>
    <w:rsid w:val="00181E4C"/>
    <w:rsid w:val="0019007F"/>
    <w:rsid w:val="00192467"/>
    <w:rsid w:val="00192B2A"/>
    <w:rsid w:val="00193B44"/>
    <w:rsid w:val="001947FC"/>
    <w:rsid w:val="001A1163"/>
    <w:rsid w:val="001A11AC"/>
    <w:rsid w:val="001A552A"/>
    <w:rsid w:val="001A5A9D"/>
    <w:rsid w:val="001A663D"/>
    <w:rsid w:val="001B38A9"/>
    <w:rsid w:val="001B40B0"/>
    <w:rsid w:val="001C1EA3"/>
    <w:rsid w:val="001C41E9"/>
    <w:rsid w:val="001D1CAD"/>
    <w:rsid w:val="001D7125"/>
    <w:rsid w:val="001D75BD"/>
    <w:rsid w:val="001E2EAE"/>
    <w:rsid w:val="001E5779"/>
    <w:rsid w:val="001E698A"/>
    <w:rsid w:val="001F2D4B"/>
    <w:rsid w:val="001F55E1"/>
    <w:rsid w:val="001F7988"/>
    <w:rsid w:val="00201C6C"/>
    <w:rsid w:val="00205733"/>
    <w:rsid w:val="002144BF"/>
    <w:rsid w:val="00215CA1"/>
    <w:rsid w:val="002222B0"/>
    <w:rsid w:val="00233F64"/>
    <w:rsid w:val="00236029"/>
    <w:rsid w:val="002375DD"/>
    <w:rsid w:val="00243E23"/>
    <w:rsid w:val="00244BCC"/>
    <w:rsid w:val="002457EE"/>
    <w:rsid w:val="00245814"/>
    <w:rsid w:val="002510DF"/>
    <w:rsid w:val="00255A30"/>
    <w:rsid w:val="00255B51"/>
    <w:rsid w:val="00260DC5"/>
    <w:rsid w:val="00262909"/>
    <w:rsid w:val="00263919"/>
    <w:rsid w:val="00264F5C"/>
    <w:rsid w:val="002674BE"/>
    <w:rsid w:val="00280BD3"/>
    <w:rsid w:val="002848F5"/>
    <w:rsid w:val="00285865"/>
    <w:rsid w:val="00285A1C"/>
    <w:rsid w:val="002A2030"/>
    <w:rsid w:val="002A3040"/>
    <w:rsid w:val="002A36F4"/>
    <w:rsid w:val="002A56E0"/>
    <w:rsid w:val="002A5FBB"/>
    <w:rsid w:val="002A6DAC"/>
    <w:rsid w:val="002A6E21"/>
    <w:rsid w:val="002B24C5"/>
    <w:rsid w:val="002C1F5E"/>
    <w:rsid w:val="002C605B"/>
    <w:rsid w:val="002C6853"/>
    <w:rsid w:val="002C6A31"/>
    <w:rsid w:val="002C7B6C"/>
    <w:rsid w:val="002D3EF2"/>
    <w:rsid w:val="002D516D"/>
    <w:rsid w:val="002D7254"/>
    <w:rsid w:val="002E0073"/>
    <w:rsid w:val="002E6492"/>
    <w:rsid w:val="002E7999"/>
    <w:rsid w:val="002F7AFC"/>
    <w:rsid w:val="00300830"/>
    <w:rsid w:val="003044D3"/>
    <w:rsid w:val="00306AD6"/>
    <w:rsid w:val="00307484"/>
    <w:rsid w:val="00311236"/>
    <w:rsid w:val="00317587"/>
    <w:rsid w:val="003213A4"/>
    <w:rsid w:val="00325D69"/>
    <w:rsid w:val="0033501C"/>
    <w:rsid w:val="00336E5A"/>
    <w:rsid w:val="00337EA1"/>
    <w:rsid w:val="0034090C"/>
    <w:rsid w:val="00343285"/>
    <w:rsid w:val="00344D40"/>
    <w:rsid w:val="00344D6B"/>
    <w:rsid w:val="00350220"/>
    <w:rsid w:val="003539A2"/>
    <w:rsid w:val="003722ED"/>
    <w:rsid w:val="00385881"/>
    <w:rsid w:val="00387978"/>
    <w:rsid w:val="00387C08"/>
    <w:rsid w:val="00391082"/>
    <w:rsid w:val="003A27AD"/>
    <w:rsid w:val="003A3718"/>
    <w:rsid w:val="003A705C"/>
    <w:rsid w:val="003B1F5C"/>
    <w:rsid w:val="003B2F15"/>
    <w:rsid w:val="003C1102"/>
    <w:rsid w:val="003C2750"/>
    <w:rsid w:val="003C57C0"/>
    <w:rsid w:val="003C78C9"/>
    <w:rsid w:val="003D5429"/>
    <w:rsid w:val="003D5619"/>
    <w:rsid w:val="003D6000"/>
    <w:rsid w:val="003D603D"/>
    <w:rsid w:val="003E59F1"/>
    <w:rsid w:val="003E66B7"/>
    <w:rsid w:val="003F06F4"/>
    <w:rsid w:val="00401080"/>
    <w:rsid w:val="0040263E"/>
    <w:rsid w:val="00411CFE"/>
    <w:rsid w:val="00413C53"/>
    <w:rsid w:val="00417B10"/>
    <w:rsid w:val="004221D8"/>
    <w:rsid w:val="00436D2A"/>
    <w:rsid w:val="004474E4"/>
    <w:rsid w:val="0045063F"/>
    <w:rsid w:val="00451C0D"/>
    <w:rsid w:val="00463365"/>
    <w:rsid w:val="004633E7"/>
    <w:rsid w:val="00470501"/>
    <w:rsid w:val="00470666"/>
    <w:rsid w:val="00470BA7"/>
    <w:rsid w:val="00472962"/>
    <w:rsid w:val="00475CEA"/>
    <w:rsid w:val="004762FF"/>
    <w:rsid w:val="00476685"/>
    <w:rsid w:val="00477D96"/>
    <w:rsid w:val="004813B4"/>
    <w:rsid w:val="00484ADC"/>
    <w:rsid w:val="004876B9"/>
    <w:rsid w:val="00490ACB"/>
    <w:rsid w:val="00490E47"/>
    <w:rsid w:val="00492275"/>
    <w:rsid w:val="004A12EA"/>
    <w:rsid w:val="004A2889"/>
    <w:rsid w:val="004A2EB1"/>
    <w:rsid w:val="004A603F"/>
    <w:rsid w:val="004A71A2"/>
    <w:rsid w:val="004B0866"/>
    <w:rsid w:val="004B195A"/>
    <w:rsid w:val="004B40B7"/>
    <w:rsid w:val="004B6C0B"/>
    <w:rsid w:val="004D3C99"/>
    <w:rsid w:val="004D69D2"/>
    <w:rsid w:val="004E0EA8"/>
    <w:rsid w:val="004E2CB8"/>
    <w:rsid w:val="004E6791"/>
    <w:rsid w:val="004E6EC8"/>
    <w:rsid w:val="004F1CF1"/>
    <w:rsid w:val="0050016A"/>
    <w:rsid w:val="00500295"/>
    <w:rsid w:val="00504A29"/>
    <w:rsid w:val="00504BDE"/>
    <w:rsid w:val="00510140"/>
    <w:rsid w:val="0051073A"/>
    <w:rsid w:val="00510F4D"/>
    <w:rsid w:val="00512DF3"/>
    <w:rsid w:val="005139FC"/>
    <w:rsid w:val="00515F13"/>
    <w:rsid w:val="0052163A"/>
    <w:rsid w:val="005253B9"/>
    <w:rsid w:val="00526B89"/>
    <w:rsid w:val="00532B0D"/>
    <w:rsid w:val="005359E0"/>
    <w:rsid w:val="00540F6F"/>
    <w:rsid w:val="0055144D"/>
    <w:rsid w:val="005523DA"/>
    <w:rsid w:val="005545CC"/>
    <w:rsid w:val="00557142"/>
    <w:rsid w:val="00563BDF"/>
    <w:rsid w:val="00564780"/>
    <w:rsid w:val="00564B79"/>
    <w:rsid w:val="00567DDE"/>
    <w:rsid w:val="0057010F"/>
    <w:rsid w:val="005733C9"/>
    <w:rsid w:val="005753B7"/>
    <w:rsid w:val="00581441"/>
    <w:rsid w:val="00583466"/>
    <w:rsid w:val="00585079"/>
    <w:rsid w:val="00592D04"/>
    <w:rsid w:val="00593CBC"/>
    <w:rsid w:val="00597224"/>
    <w:rsid w:val="005A3BD2"/>
    <w:rsid w:val="005A7627"/>
    <w:rsid w:val="005B4844"/>
    <w:rsid w:val="005B6B1D"/>
    <w:rsid w:val="005C25A6"/>
    <w:rsid w:val="005C4CA3"/>
    <w:rsid w:val="005D41F4"/>
    <w:rsid w:val="005D4548"/>
    <w:rsid w:val="005E3AD5"/>
    <w:rsid w:val="005E479E"/>
    <w:rsid w:val="005E49E2"/>
    <w:rsid w:val="005E5608"/>
    <w:rsid w:val="005F0072"/>
    <w:rsid w:val="005F6516"/>
    <w:rsid w:val="00604B9F"/>
    <w:rsid w:val="00604E47"/>
    <w:rsid w:val="00610B7D"/>
    <w:rsid w:val="00613E8B"/>
    <w:rsid w:val="006169A8"/>
    <w:rsid w:val="00617EB7"/>
    <w:rsid w:val="006242D3"/>
    <w:rsid w:val="006343F4"/>
    <w:rsid w:val="006350BF"/>
    <w:rsid w:val="00651FA4"/>
    <w:rsid w:val="00653AFA"/>
    <w:rsid w:val="00653EDB"/>
    <w:rsid w:val="006557C9"/>
    <w:rsid w:val="006579E5"/>
    <w:rsid w:val="00657B4E"/>
    <w:rsid w:val="00657CE2"/>
    <w:rsid w:val="0066031A"/>
    <w:rsid w:val="0066385B"/>
    <w:rsid w:val="00663F6E"/>
    <w:rsid w:val="006641DB"/>
    <w:rsid w:val="00666C04"/>
    <w:rsid w:val="00670667"/>
    <w:rsid w:val="00670B53"/>
    <w:rsid w:val="00671A3F"/>
    <w:rsid w:val="006720CA"/>
    <w:rsid w:val="00674F88"/>
    <w:rsid w:val="00675023"/>
    <w:rsid w:val="0068048F"/>
    <w:rsid w:val="006804B3"/>
    <w:rsid w:val="0068067D"/>
    <w:rsid w:val="00680B3B"/>
    <w:rsid w:val="0068113E"/>
    <w:rsid w:val="00681539"/>
    <w:rsid w:val="006835E2"/>
    <w:rsid w:val="00685EB2"/>
    <w:rsid w:val="006968A8"/>
    <w:rsid w:val="006A5B21"/>
    <w:rsid w:val="006A7C4B"/>
    <w:rsid w:val="006B7149"/>
    <w:rsid w:val="006C23A9"/>
    <w:rsid w:val="006C329A"/>
    <w:rsid w:val="006C4093"/>
    <w:rsid w:val="006C5746"/>
    <w:rsid w:val="006C5E3B"/>
    <w:rsid w:val="006C7785"/>
    <w:rsid w:val="006D00B1"/>
    <w:rsid w:val="006D2A23"/>
    <w:rsid w:val="006D3CEF"/>
    <w:rsid w:val="006E736F"/>
    <w:rsid w:val="006F4D2A"/>
    <w:rsid w:val="00703A83"/>
    <w:rsid w:val="00704508"/>
    <w:rsid w:val="007107FB"/>
    <w:rsid w:val="00711943"/>
    <w:rsid w:val="00713057"/>
    <w:rsid w:val="00717B1C"/>
    <w:rsid w:val="0072015F"/>
    <w:rsid w:val="0072034B"/>
    <w:rsid w:val="00721B52"/>
    <w:rsid w:val="00721EBD"/>
    <w:rsid w:val="007233AF"/>
    <w:rsid w:val="007253BB"/>
    <w:rsid w:val="0073222F"/>
    <w:rsid w:val="00733832"/>
    <w:rsid w:val="007403D1"/>
    <w:rsid w:val="00740AF7"/>
    <w:rsid w:val="00743C06"/>
    <w:rsid w:val="00747876"/>
    <w:rsid w:val="00751E94"/>
    <w:rsid w:val="00753725"/>
    <w:rsid w:val="007557A0"/>
    <w:rsid w:val="00755FD1"/>
    <w:rsid w:val="00756B8B"/>
    <w:rsid w:val="0076121D"/>
    <w:rsid w:val="00764A12"/>
    <w:rsid w:val="0077183C"/>
    <w:rsid w:val="00773F77"/>
    <w:rsid w:val="007753F3"/>
    <w:rsid w:val="0077559D"/>
    <w:rsid w:val="00783F44"/>
    <w:rsid w:val="00791951"/>
    <w:rsid w:val="007A4190"/>
    <w:rsid w:val="007A64F5"/>
    <w:rsid w:val="007A6A79"/>
    <w:rsid w:val="007B1FCE"/>
    <w:rsid w:val="007B2946"/>
    <w:rsid w:val="007B4B6F"/>
    <w:rsid w:val="007B4ED4"/>
    <w:rsid w:val="007C0083"/>
    <w:rsid w:val="007C0CEF"/>
    <w:rsid w:val="007C4D52"/>
    <w:rsid w:val="007D04D3"/>
    <w:rsid w:val="007D2DE9"/>
    <w:rsid w:val="007D5222"/>
    <w:rsid w:val="007D7FE5"/>
    <w:rsid w:val="007E05E0"/>
    <w:rsid w:val="007E3F94"/>
    <w:rsid w:val="007E5CF6"/>
    <w:rsid w:val="007F3234"/>
    <w:rsid w:val="007F3B32"/>
    <w:rsid w:val="007F779A"/>
    <w:rsid w:val="008033F6"/>
    <w:rsid w:val="00803944"/>
    <w:rsid w:val="00803A03"/>
    <w:rsid w:val="00804E6A"/>
    <w:rsid w:val="00815B3D"/>
    <w:rsid w:val="0082114B"/>
    <w:rsid w:val="00822422"/>
    <w:rsid w:val="00832B19"/>
    <w:rsid w:val="008338B3"/>
    <w:rsid w:val="0083472A"/>
    <w:rsid w:val="00835188"/>
    <w:rsid w:val="00837B5D"/>
    <w:rsid w:val="008450AF"/>
    <w:rsid w:val="00846DE8"/>
    <w:rsid w:val="00850F42"/>
    <w:rsid w:val="008514A0"/>
    <w:rsid w:val="00854FE8"/>
    <w:rsid w:val="0086098F"/>
    <w:rsid w:val="00864CE9"/>
    <w:rsid w:val="00865960"/>
    <w:rsid w:val="008673FA"/>
    <w:rsid w:val="00870866"/>
    <w:rsid w:val="00875741"/>
    <w:rsid w:val="008778E1"/>
    <w:rsid w:val="00880E02"/>
    <w:rsid w:val="00883DEF"/>
    <w:rsid w:val="00885242"/>
    <w:rsid w:val="00885BA9"/>
    <w:rsid w:val="00887446"/>
    <w:rsid w:val="00887783"/>
    <w:rsid w:val="0089178C"/>
    <w:rsid w:val="00891EAA"/>
    <w:rsid w:val="00892F04"/>
    <w:rsid w:val="00894783"/>
    <w:rsid w:val="00896392"/>
    <w:rsid w:val="008A2CD8"/>
    <w:rsid w:val="008A59D3"/>
    <w:rsid w:val="008A6833"/>
    <w:rsid w:val="008A6882"/>
    <w:rsid w:val="008A6C78"/>
    <w:rsid w:val="008B0FFC"/>
    <w:rsid w:val="008B7F44"/>
    <w:rsid w:val="008C024D"/>
    <w:rsid w:val="008C2FE4"/>
    <w:rsid w:val="008C78CA"/>
    <w:rsid w:val="008D3CA6"/>
    <w:rsid w:val="008D3F1F"/>
    <w:rsid w:val="008D71C8"/>
    <w:rsid w:val="008E30BA"/>
    <w:rsid w:val="008E386A"/>
    <w:rsid w:val="008E4EBA"/>
    <w:rsid w:val="008F1D0D"/>
    <w:rsid w:val="008F1EBD"/>
    <w:rsid w:val="008F490E"/>
    <w:rsid w:val="009005DE"/>
    <w:rsid w:val="0090244F"/>
    <w:rsid w:val="0090362D"/>
    <w:rsid w:val="00903883"/>
    <w:rsid w:val="00912E48"/>
    <w:rsid w:val="00921B17"/>
    <w:rsid w:val="009324B9"/>
    <w:rsid w:val="009351DC"/>
    <w:rsid w:val="00936F93"/>
    <w:rsid w:val="009432AB"/>
    <w:rsid w:val="00944F03"/>
    <w:rsid w:val="009505EF"/>
    <w:rsid w:val="009518CA"/>
    <w:rsid w:val="0095215D"/>
    <w:rsid w:val="00955EEB"/>
    <w:rsid w:val="009576D2"/>
    <w:rsid w:val="0096383B"/>
    <w:rsid w:val="00964D93"/>
    <w:rsid w:val="00966CC3"/>
    <w:rsid w:val="00973F4F"/>
    <w:rsid w:val="00990450"/>
    <w:rsid w:val="0099358F"/>
    <w:rsid w:val="0099548C"/>
    <w:rsid w:val="009A0676"/>
    <w:rsid w:val="009A17D4"/>
    <w:rsid w:val="009A310D"/>
    <w:rsid w:val="009A4200"/>
    <w:rsid w:val="009B145C"/>
    <w:rsid w:val="009B62B5"/>
    <w:rsid w:val="009C0DC8"/>
    <w:rsid w:val="009C202D"/>
    <w:rsid w:val="009C4B91"/>
    <w:rsid w:val="009C785B"/>
    <w:rsid w:val="009D5799"/>
    <w:rsid w:val="009E32F2"/>
    <w:rsid w:val="009E60EA"/>
    <w:rsid w:val="009F1622"/>
    <w:rsid w:val="009F3B0E"/>
    <w:rsid w:val="009F4966"/>
    <w:rsid w:val="009F5480"/>
    <w:rsid w:val="009F5C02"/>
    <w:rsid w:val="009F6C66"/>
    <w:rsid w:val="00A00D2E"/>
    <w:rsid w:val="00A014AE"/>
    <w:rsid w:val="00A01F3D"/>
    <w:rsid w:val="00A0223C"/>
    <w:rsid w:val="00A0385D"/>
    <w:rsid w:val="00A06B1F"/>
    <w:rsid w:val="00A22803"/>
    <w:rsid w:val="00A24718"/>
    <w:rsid w:val="00A261C0"/>
    <w:rsid w:val="00A30E78"/>
    <w:rsid w:val="00A361DE"/>
    <w:rsid w:val="00A41C9E"/>
    <w:rsid w:val="00A42064"/>
    <w:rsid w:val="00A51A39"/>
    <w:rsid w:val="00A550C6"/>
    <w:rsid w:val="00A5528C"/>
    <w:rsid w:val="00A55908"/>
    <w:rsid w:val="00A56ED0"/>
    <w:rsid w:val="00A649EF"/>
    <w:rsid w:val="00A668F5"/>
    <w:rsid w:val="00A72CB2"/>
    <w:rsid w:val="00A74BC3"/>
    <w:rsid w:val="00A91D04"/>
    <w:rsid w:val="00A92B1A"/>
    <w:rsid w:val="00A9412C"/>
    <w:rsid w:val="00A96E07"/>
    <w:rsid w:val="00AB017D"/>
    <w:rsid w:val="00AB384C"/>
    <w:rsid w:val="00AC0014"/>
    <w:rsid w:val="00AC4918"/>
    <w:rsid w:val="00AC6F20"/>
    <w:rsid w:val="00AC7FEF"/>
    <w:rsid w:val="00AD6B0E"/>
    <w:rsid w:val="00AE4077"/>
    <w:rsid w:val="00AE5905"/>
    <w:rsid w:val="00AE5A0F"/>
    <w:rsid w:val="00B01593"/>
    <w:rsid w:val="00B019D0"/>
    <w:rsid w:val="00B11EE7"/>
    <w:rsid w:val="00B13ED5"/>
    <w:rsid w:val="00B1460A"/>
    <w:rsid w:val="00B1555C"/>
    <w:rsid w:val="00B21CA8"/>
    <w:rsid w:val="00B225E9"/>
    <w:rsid w:val="00B302EC"/>
    <w:rsid w:val="00B3071B"/>
    <w:rsid w:val="00B3143E"/>
    <w:rsid w:val="00B347E6"/>
    <w:rsid w:val="00B3574C"/>
    <w:rsid w:val="00B37768"/>
    <w:rsid w:val="00B4188D"/>
    <w:rsid w:val="00B474ED"/>
    <w:rsid w:val="00B4788C"/>
    <w:rsid w:val="00B55DD3"/>
    <w:rsid w:val="00B66227"/>
    <w:rsid w:val="00B66C1A"/>
    <w:rsid w:val="00B73A10"/>
    <w:rsid w:val="00B74444"/>
    <w:rsid w:val="00B80860"/>
    <w:rsid w:val="00B83B36"/>
    <w:rsid w:val="00B85B53"/>
    <w:rsid w:val="00B95C76"/>
    <w:rsid w:val="00B95C8D"/>
    <w:rsid w:val="00B95E9B"/>
    <w:rsid w:val="00BA0665"/>
    <w:rsid w:val="00BA15A3"/>
    <w:rsid w:val="00BA5BE1"/>
    <w:rsid w:val="00BB5BD2"/>
    <w:rsid w:val="00BC05FC"/>
    <w:rsid w:val="00BC6546"/>
    <w:rsid w:val="00BD60D3"/>
    <w:rsid w:val="00BD6F44"/>
    <w:rsid w:val="00BE654E"/>
    <w:rsid w:val="00BF22A7"/>
    <w:rsid w:val="00BF7B0F"/>
    <w:rsid w:val="00BF7FA3"/>
    <w:rsid w:val="00C04D86"/>
    <w:rsid w:val="00C14566"/>
    <w:rsid w:val="00C146B9"/>
    <w:rsid w:val="00C149F6"/>
    <w:rsid w:val="00C155A0"/>
    <w:rsid w:val="00C215DA"/>
    <w:rsid w:val="00C22C6A"/>
    <w:rsid w:val="00C238B9"/>
    <w:rsid w:val="00C270DC"/>
    <w:rsid w:val="00C34EF9"/>
    <w:rsid w:val="00C440C5"/>
    <w:rsid w:val="00C463B5"/>
    <w:rsid w:val="00C526AD"/>
    <w:rsid w:val="00C55740"/>
    <w:rsid w:val="00C55DA1"/>
    <w:rsid w:val="00C6669B"/>
    <w:rsid w:val="00C75646"/>
    <w:rsid w:val="00C76A8D"/>
    <w:rsid w:val="00C836BB"/>
    <w:rsid w:val="00C83B7E"/>
    <w:rsid w:val="00C858D0"/>
    <w:rsid w:val="00C95DC7"/>
    <w:rsid w:val="00CA1FB1"/>
    <w:rsid w:val="00CA7378"/>
    <w:rsid w:val="00CA73C6"/>
    <w:rsid w:val="00CA781B"/>
    <w:rsid w:val="00CB26D4"/>
    <w:rsid w:val="00CB2F7F"/>
    <w:rsid w:val="00CB309F"/>
    <w:rsid w:val="00CB6C95"/>
    <w:rsid w:val="00CC54F1"/>
    <w:rsid w:val="00CC5775"/>
    <w:rsid w:val="00CC5A7C"/>
    <w:rsid w:val="00CC7B4D"/>
    <w:rsid w:val="00CD089E"/>
    <w:rsid w:val="00CD5779"/>
    <w:rsid w:val="00CE41BD"/>
    <w:rsid w:val="00CE50EB"/>
    <w:rsid w:val="00CE6F88"/>
    <w:rsid w:val="00CF1703"/>
    <w:rsid w:val="00CF186B"/>
    <w:rsid w:val="00CF3201"/>
    <w:rsid w:val="00CF5991"/>
    <w:rsid w:val="00CF79EB"/>
    <w:rsid w:val="00D009CF"/>
    <w:rsid w:val="00D01CA1"/>
    <w:rsid w:val="00D06028"/>
    <w:rsid w:val="00D07148"/>
    <w:rsid w:val="00D11BBA"/>
    <w:rsid w:val="00D14175"/>
    <w:rsid w:val="00D17472"/>
    <w:rsid w:val="00D2185B"/>
    <w:rsid w:val="00D22073"/>
    <w:rsid w:val="00D2270F"/>
    <w:rsid w:val="00D26B02"/>
    <w:rsid w:val="00D31520"/>
    <w:rsid w:val="00D37016"/>
    <w:rsid w:val="00D41109"/>
    <w:rsid w:val="00D471D1"/>
    <w:rsid w:val="00D53939"/>
    <w:rsid w:val="00D62221"/>
    <w:rsid w:val="00D625E7"/>
    <w:rsid w:val="00D6267F"/>
    <w:rsid w:val="00D72A91"/>
    <w:rsid w:val="00D72D46"/>
    <w:rsid w:val="00D72D4F"/>
    <w:rsid w:val="00D80B35"/>
    <w:rsid w:val="00D8546C"/>
    <w:rsid w:val="00D863DC"/>
    <w:rsid w:val="00D871EA"/>
    <w:rsid w:val="00D9027E"/>
    <w:rsid w:val="00D93E45"/>
    <w:rsid w:val="00D97947"/>
    <w:rsid w:val="00DA32B3"/>
    <w:rsid w:val="00DA4109"/>
    <w:rsid w:val="00DA6A36"/>
    <w:rsid w:val="00DB520E"/>
    <w:rsid w:val="00DC1266"/>
    <w:rsid w:val="00DC12A9"/>
    <w:rsid w:val="00DC1924"/>
    <w:rsid w:val="00DC4DBD"/>
    <w:rsid w:val="00DC5957"/>
    <w:rsid w:val="00DC7371"/>
    <w:rsid w:val="00DD0520"/>
    <w:rsid w:val="00DD36F0"/>
    <w:rsid w:val="00DD62CD"/>
    <w:rsid w:val="00DE1E8D"/>
    <w:rsid w:val="00DE2FF7"/>
    <w:rsid w:val="00DE5B0E"/>
    <w:rsid w:val="00DF2E36"/>
    <w:rsid w:val="00E004A8"/>
    <w:rsid w:val="00E02201"/>
    <w:rsid w:val="00E050A6"/>
    <w:rsid w:val="00E103E8"/>
    <w:rsid w:val="00E104E2"/>
    <w:rsid w:val="00E1080D"/>
    <w:rsid w:val="00E13076"/>
    <w:rsid w:val="00E1593D"/>
    <w:rsid w:val="00E17700"/>
    <w:rsid w:val="00E21B8C"/>
    <w:rsid w:val="00E2227A"/>
    <w:rsid w:val="00E23DD3"/>
    <w:rsid w:val="00E32A53"/>
    <w:rsid w:val="00E360B2"/>
    <w:rsid w:val="00E36769"/>
    <w:rsid w:val="00E37081"/>
    <w:rsid w:val="00E413F8"/>
    <w:rsid w:val="00E474B1"/>
    <w:rsid w:val="00E538F8"/>
    <w:rsid w:val="00E6242A"/>
    <w:rsid w:val="00E65F0F"/>
    <w:rsid w:val="00E7025F"/>
    <w:rsid w:val="00E7097E"/>
    <w:rsid w:val="00E71BFE"/>
    <w:rsid w:val="00E71F54"/>
    <w:rsid w:val="00E74C14"/>
    <w:rsid w:val="00E75955"/>
    <w:rsid w:val="00E75CAC"/>
    <w:rsid w:val="00E75E25"/>
    <w:rsid w:val="00E859FF"/>
    <w:rsid w:val="00E871FC"/>
    <w:rsid w:val="00E91C4B"/>
    <w:rsid w:val="00E941A2"/>
    <w:rsid w:val="00E95918"/>
    <w:rsid w:val="00EA28E4"/>
    <w:rsid w:val="00EA5C4F"/>
    <w:rsid w:val="00EB133F"/>
    <w:rsid w:val="00EB1704"/>
    <w:rsid w:val="00EC085E"/>
    <w:rsid w:val="00EC20A7"/>
    <w:rsid w:val="00EC5C07"/>
    <w:rsid w:val="00EC5D78"/>
    <w:rsid w:val="00ECB721"/>
    <w:rsid w:val="00ED014A"/>
    <w:rsid w:val="00ED2C87"/>
    <w:rsid w:val="00ED38D3"/>
    <w:rsid w:val="00ED3ECB"/>
    <w:rsid w:val="00ED6213"/>
    <w:rsid w:val="00ED6445"/>
    <w:rsid w:val="00ED6468"/>
    <w:rsid w:val="00EE2976"/>
    <w:rsid w:val="00EE49E5"/>
    <w:rsid w:val="00EE5B08"/>
    <w:rsid w:val="00EE6360"/>
    <w:rsid w:val="00EF0F9A"/>
    <w:rsid w:val="00EF460C"/>
    <w:rsid w:val="00F0153A"/>
    <w:rsid w:val="00F03086"/>
    <w:rsid w:val="00F04612"/>
    <w:rsid w:val="00F05588"/>
    <w:rsid w:val="00F067FE"/>
    <w:rsid w:val="00F07262"/>
    <w:rsid w:val="00F170E8"/>
    <w:rsid w:val="00F21587"/>
    <w:rsid w:val="00F317BA"/>
    <w:rsid w:val="00F31F5C"/>
    <w:rsid w:val="00F33887"/>
    <w:rsid w:val="00F379B1"/>
    <w:rsid w:val="00F4757C"/>
    <w:rsid w:val="00F5059A"/>
    <w:rsid w:val="00F50868"/>
    <w:rsid w:val="00F5273A"/>
    <w:rsid w:val="00F54A72"/>
    <w:rsid w:val="00F6084E"/>
    <w:rsid w:val="00F61194"/>
    <w:rsid w:val="00F6145F"/>
    <w:rsid w:val="00F63BE7"/>
    <w:rsid w:val="00F6489B"/>
    <w:rsid w:val="00F65C2C"/>
    <w:rsid w:val="00F65EF5"/>
    <w:rsid w:val="00F73EE2"/>
    <w:rsid w:val="00F74BCB"/>
    <w:rsid w:val="00F7502C"/>
    <w:rsid w:val="00F762C0"/>
    <w:rsid w:val="00F762CE"/>
    <w:rsid w:val="00F76748"/>
    <w:rsid w:val="00F77E66"/>
    <w:rsid w:val="00F81A55"/>
    <w:rsid w:val="00F82E55"/>
    <w:rsid w:val="00F831C8"/>
    <w:rsid w:val="00F86ACF"/>
    <w:rsid w:val="00F86D2D"/>
    <w:rsid w:val="00F918E0"/>
    <w:rsid w:val="00F92F7C"/>
    <w:rsid w:val="00F94678"/>
    <w:rsid w:val="00FA06EE"/>
    <w:rsid w:val="00FA2A0A"/>
    <w:rsid w:val="00FA2E7E"/>
    <w:rsid w:val="00FA68D5"/>
    <w:rsid w:val="00FB1B0A"/>
    <w:rsid w:val="00FB1E10"/>
    <w:rsid w:val="00FB545E"/>
    <w:rsid w:val="00FB5FF6"/>
    <w:rsid w:val="00FC3B7E"/>
    <w:rsid w:val="00FC4715"/>
    <w:rsid w:val="00FC5B0D"/>
    <w:rsid w:val="00FE328B"/>
    <w:rsid w:val="00FE3402"/>
    <w:rsid w:val="00FE5F90"/>
    <w:rsid w:val="00FE60AC"/>
    <w:rsid w:val="00FF4CD7"/>
    <w:rsid w:val="00FF570D"/>
    <w:rsid w:val="02461090"/>
    <w:rsid w:val="035E4928"/>
    <w:rsid w:val="04207465"/>
    <w:rsid w:val="04399CC2"/>
    <w:rsid w:val="0479E0BF"/>
    <w:rsid w:val="04970BD9"/>
    <w:rsid w:val="04FD6001"/>
    <w:rsid w:val="05292CE9"/>
    <w:rsid w:val="05638873"/>
    <w:rsid w:val="05F78E74"/>
    <w:rsid w:val="064CCA53"/>
    <w:rsid w:val="06BA858F"/>
    <w:rsid w:val="06C072A0"/>
    <w:rsid w:val="06DDB8A4"/>
    <w:rsid w:val="07935ED5"/>
    <w:rsid w:val="07BAFF82"/>
    <w:rsid w:val="086B67DB"/>
    <w:rsid w:val="092AFD34"/>
    <w:rsid w:val="096CAF6A"/>
    <w:rsid w:val="09AE89A2"/>
    <w:rsid w:val="0A0B5DD5"/>
    <w:rsid w:val="0AD23E09"/>
    <w:rsid w:val="0C36746A"/>
    <w:rsid w:val="0C552FF1"/>
    <w:rsid w:val="0C8597C5"/>
    <w:rsid w:val="0CAA6598"/>
    <w:rsid w:val="0DE3D743"/>
    <w:rsid w:val="0F47B4FF"/>
    <w:rsid w:val="0F623574"/>
    <w:rsid w:val="0F8548CF"/>
    <w:rsid w:val="1050ADD5"/>
    <w:rsid w:val="105FA800"/>
    <w:rsid w:val="106BFDBF"/>
    <w:rsid w:val="10D68D72"/>
    <w:rsid w:val="1183336E"/>
    <w:rsid w:val="13476EE7"/>
    <w:rsid w:val="135F2F5F"/>
    <w:rsid w:val="14C4556F"/>
    <w:rsid w:val="15469B91"/>
    <w:rsid w:val="15A40BC1"/>
    <w:rsid w:val="16664CF2"/>
    <w:rsid w:val="1770A692"/>
    <w:rsid w:val="17F14624"/>
    <w:rsid w:val="1808344B"/>
    <w:rsid w:val="198509E3"/>
    <w:rsid w:val="1A34B818"/>
    <w:rsid w:val="1A6D9685"/>
    <w:rsid w:val="1B1BFC58"/>
    <w:rsid w:val="1B997527"/>
    <w:rsid w:val="1BD6A733"/>
    <w:rsid w:val="1C98840E"/>
    <w:rsid w:val="1DB432FC"/>
    <w:rsid w:val="1DBB56C4"/>
    <w:rsid w:val="1DF9D498"/>
    <w:rsid w:val="1E7C6DFD"/>
    <w:rsid w:val="1F37B87E"/>
    <w:rsid w:val="20183E5E"/>
    <w:rsid w:val="2021BE47"/>
    <w:rsid w:val="206EE3F2"/>
    <w:rsid w:val="20C7DC93"/>
    <w:rsid w:val="20D388DF"/>
    <w:rsid w:val="20E20753"/>
    <w:rsid w:val="20ECB13C"/>
    <w:rsid w:val="210C8036"/>
    <w:rsid w:val="2181F565"/>
    <w:rsid w:val="21DA81D8"/>
    <w:rsid w:val="233DC5BB"/>
    <w:rsid w:val="2484471E"/>
    <w:rsid w:val="2498717E"/>
    <w:rsid w:val="24A33C04"/>
    <w:rsid w:val="250830EA"/>
    <w:rsid w:val="252664F7"/>
    <w:rsid w:val="25276E26"/>
    <w:rsid w:val="265C64D4"/>
    <w:rsid w:val="26BB5C1D"/>
    <w:rsid w:val="26F9D9CB"/>
    <w:rsid w:val="272AD71A"/>
    <w:rsid w:val="277B42D5"/>
    <w:rsid w:val="27AA32E0"/>
    <w:rsid w:val="2820E7FD"/>
    <w:rsid w:val="2853B060"/>
    <w:rsid w:val="295D4741"/>
    <w:rsid w:val="2A18B701"/>
    <w:rsid w:val="2AA65BAB"/>
    <w:rsid w:val="2AB2E397"/>
    <w:rsid w:val="2B7FCB70"/>
    <w:rsid w:val="2BCC11CB"/>
    <w:rsid w:val="2CEB7F6B"/>
    <w:rsid w:val="2D00E827"/>
    <w:rsid w:val="2F650686"/>
    <w:rsid w:val="2F898B0F"/>
    <w:rsid w:val="3073E8F6"/>
    <w:rsid w:val="3105AEF2"/>
    <w:rsid w:val="310FBFE3"/>
    <w:rsid w:val="312A43EB"/>
    <w:rsid w:val="315CDA91"/>
    <w:rsid w:val="32F33B7B"/>
    <w:rsid w:val="330C07E6"/>
    <w:rsid w:val="34107D5F"/>
    <w:rsid w:val="3462BDAE"/>
    <w:rsid w:val="3464ABAA"/>
    <w:rsid w:val="3547844A"/>
    <w:rsid w:val="369984EE"/>
    <w:rsid w:val="36B0E0BF"/>
    <w:rsid w:val="36BF9192"/>
    <w:rsid w:val="37384410"/>
    <w:rsid w:val="3779ECBC"/>
    <w:rsid w:val="3790DA4F"/>
    <w:rsid w:val="37C13C7C"/>
    <w:rsid w:val="38070AD7"/>
    <w:rsid w:val="384CB120"/>
    <w:rsid w:val="39097B41"/>
    <w:rsid w:val="391FDD67"/>
    <w:rsid w:val="39306D55"/>
    <w:rsid w:val="394D90C6"/>
    <w:rsid w:val="3A6DF791"/>
    <w:rsid w:val="3B039CC4"/>
    <w:rsid w:val="3C459926"/>
    <w:rsid w:val="3DA720ED"/>
    <w:rsid w:val="3E120ECA"/>
    <w:rsid w:val="41585525"/>
    <w:rsid w:val="438C35CF"/>
    <w:rsid w:val="440949C2"/>
    <w:rsid w:val="4542634C"/>
    <w:rsid w:val="456FFFD4"/>
    <w:rsid w:val="46BC30D9"/>
    <w:rsid w:val="46DD4215"/>
    <w:rsid w:val="47B30CED"/>
    <w:rsid w:val="48D91334"/>
    <w:rsid w:val="49164627"/>
    <w:rsid w:val="49D4E7C2"/>
    <w:rsid w:val="4A6ED149"/>
    <w:rsid w:val="4AEE48D2"/>
    <w:rsid w:val="4B526416"/>
    <w:rsid w:val="4C799F32"/>
    <w:rsid w:val="4CB8C810"/>
    <w:rsid w:val="4CE0D34C"/>
    <w:rsid w:val="4DCA8E17"/>
    <w:rsid w:val="4EDBAA3C"/>
    <w:rsid w:val="4F01B4EB"/>
    <w:rsid w:val="4F6B6B69"/>
    <w:rsid w:val="50357616"/>
    <w:rsid w:val="503C6682"/>
    <w:rsid w:val="5060E90C"/>
    <w:rsid w:val="5077BFA7"/>
    <w:rsid w:val="5134C858"/>
    <w:rsid w:val="51E50BDB"/>
    <w:rsid w:val="52A14438"/>
    <w:rsid w:val="52E42FDD"/>
    <w:rsid w:val="55123911"/>
    <w:rsid w:val="55301D1B"/>
    <w:rsid w:val="556CDF3C"/>
    <w:rsid w:val="55AF19BE"/>
    <w:rsid w:val="55B1094A"/>
    <w:rsid w:val="56325C80"/>
    <w:rsid w:val="56549750"/>
    <w:rsid w:val="56AA7916"/>
    <w:rsid w:val="56BE3038"/>
    <w:rsid w:val="56D3D521"/>
    <w:rsid w:val="570465EE"/>
    <w:rsid w:val="580E6003"/>
    <w:rsid w:val="58AC81FB"/>
    <w:rsid w:val="592D6208"/>
    <w:rsid w:val="595B80D0"/>
    <w:rsid w:val="597FFF78"/>
    <w:rsid w:val="5A750807"/>
    <w:rsid w:val="5A8A5A17"/>
    <w:rsid w:val="5AAF8756"/>
    <w:rsid w:val="5AC0D8B6"/>
    <w:rsid w:val="5B37C848"/>
    <w:rsid w:val="5BB68DC3"/>
    <w:rsid w:val="5CB7990F"/>
    <w:rsid w:val="5CC8903A"/>
    <w:rsid w:val="5D0561BE"/>
    <w:rsid w:val="5D5A7F15"/>
    <w:rsid w:val="5D6563B7"/>
    <w:rsid w:val="5E05DC4E"/>
    <w:rsid w:val="5E075864"/>
    <w:rsid w:val="5E4A224F"/>
    <w:rsid w:val="5E688AB8"/>
    <w:rsid w:val="5EF64F76"/>
    <w:rsid w:val="5EFEB058"/>
    <w:rsid w:val="5FC48FD5"/>
    <w:rsid w:val="60F04E8D"/>
    <w:rsid w:val="60F28209"/>
    <w:rsid w:val="616692B5"/>
    <w:rsid w:val="61BF48F3"/>
    <w:rsid w:val="61EEB152"/>
    <w:rsid w:val="626608CF"/>
    <w:rsid w:val="62AB9F01"/>
    <w:rsid w:val="63443800"/>
    <w:rsid w:val="63CB6F3A"/>
    <w:rsid w:val="63CBFA1B"/>
    <w:rsid w:val="6448D123"/>
    <w:rsid w:val="64F801CE"/>
    <w:rsid w:val="654F2606"/>
    <w:rsid w:val="659067FC"/>
    <w:rsid w:val="65B18253"/>
    <w:rsid w:val="6620EE32"/>
    <w:rsid w:val="66B7E60C"/>
    <w:rsid w:val="66CDE7C4"/>
    <w:rsid w:val="66F9406A"/>
    <w:rsid w:val="6753710F"/>
    <w:rsid w:val="67DA78A6"/>
    <w:rsid w:val="67DC6832"/>
    <w:rsid w:val="67F10495"/>
    <w:rsid w:val="67FF183E"/>
    <w:rsid w:val="68318415"/>
    <w:rsid w:val="683AED4D"/>
    <w:rsid w:val="6897DDEA"/>
    <w:rsid w:val="68DD5BF1"/>
    <w:rsid w:val="6944D8EE"/>
    <w:rsid w:val="69C3BA48"/>
    <w:rsid w:val="6AE88D08"/>
    <w:rsid w:val="6B6DF2BE"/>
    <w:rsid w:val="6B7C7FAE"/>
    <w:rsid w:val="6BE1BAA1"/>
    <w:rsid w:val="6D0E202C"/>
    <w:rsid w:val="6F2D925F"/>
    <w:rsid w:val="6F363820"/>
    <w:rsid w:val="7011D658"/>
    <w:rsid w:val="705E9058"/>
    <w:rsid w:val="70731285"/>
    <w:rsid w:val="70B89209"/>
    <w:rsid w:val="7120B1A4"/>
    <w:rsid w:val="71C4E8C0"/>
    <w:rsid w:val="71CA3B07"/>
    <w:rsid w:val="71D888CE"/>
    <w:rsid w:val="721D5358"/>
    <w:rsid w:val="7254626A"/>
    <w:rsid w:val="72A2744B"/>
    <w:rsid w:val="72B5EB28"/>
    <w:rsid w:val="72D8E1A2"/>
    <w:rsid w:val="733EC5CC"/>
    <w:rsid w:val="734ED19F"/>
    <w:rsid w:val="73773E36"/>
    <w:rsid w:val="73DFB0F8"/>
    <w:rsid w:val="744D7E67"/>
    <w:rsid w:val="747C4B2F"/>
    <w:rsid w:val="74A31C6A"/>
    <w:rsid w:val="74F67E59"/>
    <w:rsid w:val="7525E14A"/>
    <w:rsid w:val="757B8159"/>
    <w:rsid w:val="75B8BF8A"/>
    <w:rsid w:val="763EECCB"/>
    <w:rsid w:val="774373AF"/>
    <w:rsid w:val="78729E04"/>
    <w:rsid w:val="78EBF51D"/>
    <w:rsid w:val="78F86E7F"/>
    <w:rsid w:val="7B082E53"/>
    <w:rsid w:val="7D1176FF"/>
    <w:rsid w:val="7DCDF7CE"/>
    <w:rsid w:val="7E31411E"/>
    <w:rsid w:val="7E49FEB0"/>
    <w:rsid w:val="7E7BF989"/>
    <w:rsid w:val="7EF121D0"/>
    <w:rsid w:val="7FC2819E"/>
    <w:rsid w:val="7FE5C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15"/>
  </w:style>
  <w:style w:type="paragraph" w:styleId="Heading1">
    <w:name w:val="heading 1"/>
    <w:basedOn w:val="Normal"/>
    <w:next w:val="Normal"/>
    <w:link w:val="Heading1Char"/>
    <w:uiPriority w:val="9"/>
    <w:qFormat/>
    <w:rsid w:val="00193B44"/>
    <w:pPr>
      <w:keepNext/>
      <w:keepLines/>
      <w:spacing w:line="480" w:lineRule="auto"/>
      <w:jc w:val="center"/>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1C1EA3"/>
    <w:pPr>
      <w:keepNext/>
      <w:keepLines/>
      <w:spacing w:line="480" w:lineRule="auto"/>
      <w:outlineLvl w:val="1"/>
    </w:pPr>
    <w:rPr>
      <w:rFonts w:asciiTheme="majorHAnsi" w:eastAsiaTheme="majorEastAsia" w:hAnsiTheme="majorHAnsi" w:cstheme="majorBidi"/>
      <w:b/>
      <w:bCs/>
      <w:color w:val="000000" w:themeColor="text1"/>
      <w:sz w:val="24"/>
      <w:szCs w:val="24"/>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93B44"/>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1C1EA3"/>
    <w:rPr>
      <w:rFonts w:asciiTheme="majorHAnsi" w:eastAsiaTheme="majorEastAsia" w:hAnsiTheme="majorHAnsi" w:cstheme="majorBidi"/>
      <w:b/>
      <w:bCs/>
      <w:color w:val="000000" w:themeColor="text1"/>
      <w:sz w:val="24"/>
      <w:szCs w:val="24"/>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Spacing">
    <w:name w:val="No Spacing"/>
    <w:uiPriority w:val="1"/>
    <w:qFormat/>
    <w:rsid w:val="00205733"/>
  </w:style>
  <w:style w:type="paragraph" w:styleId="NormalWeb">
    <w:name w:val="Normal (Web)"/>
    <w:basedOn w:val="Normal"/>
    <w:uiPriority w:val="99"/>
    <w:semiHidden/>
    <w:unhideWhenUsed/>
    <w:rsid w:val="00BF7B0F"/>
    <w:pPr>
      <w:spacing w:before="100" w:beforeAutospacing="1" w:after="100" w:afterAutospacing="1"/>
    </w:pPr>
    <w:rPr>
      <w:sz w:val="24"/>
      <w:szCs w:val="24"/>
    </w:rPr>
  </w:style>
  <w:style w:type="character" w:styleId="HTMLCode">
    <w:name w:val="HTML Code"/>
    <w:basedOn w:val="DefaultParagraphFont"/>
    <w:uiPriority w:val="99"/>
    <w:semiHidden/>
    <w:unhideWhenUsed/>
    <w:rsid w:val="00490A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92009">
      <w:bodyDiv w:val="1"/>
      <w:marLeft w:val="0"/>
      <w:marRight w:val="0"/>
      <w:marTop w:val="0"/>
      <w:marBottom w:val="0"/>
      <w:divBdr>
        <w:top w:val="none" w:sz="0" w:space="0" w:color="auto"/>
        <w:left w:val="none" w:sz="0" w:space="0" w:color="auto"/>
        <w:bottom w:val="none" w:sz="0" w:space="0" w:color="auto"/>
        <w:right w:val="none" w:sz="0" w:space="0" w:color="auto"/>
      </w:divBdr>
    </w:div>
    <w:div w:id="58358727">
      <w:bodyDiv w:val="1"/>
      <w:marLeft w:val="0"/>
      <w:marRight w:val="0"/>
      <w:marTop w:val="0"/>
      <w:marBottom w:val="0"/>
      <w:divBdr>
        <w:top w:val="none" w:sz="0" w:space="0" w:color="auto"/>
        <w:left w:val="none" w:sz="0" w:space="0" w:color="auto"/>
        <w:bottom w:val="none" w:sz="0" w:space="0" w:color="auto"/>
        <w:right w:val="none" w:sz="0" w:space="0" w:color="auto"/>
      </w:divBdr>
    </w:div>
    <w:div w:id="61683388">
      <w:bodyDiv w:val="1"/>
      <w:marLeft w:val="0"/>
      <w:marRight w:val="0"/>
      <w:marTop w:val="0"/>
      <w:marBottom w:val="0"/>
      <w:divBdr>
        <w:top w:val="none" w:sz="0" w:space="0" w:color="auto"/>
        <w:left w:val="none" w:sz="0" w:space="0" w:color="auto"/>
        <w:bottom w:val="none" w:sz="0" w:space="0" w:color="auto"/>
        <w:right w:val="none" w:sz="0" w:space="0" w:color="auto"/>
      </w:divBdr>
    </w:div>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100421983">
      <w:bodyDiv w:val="1"/>
      <w:marLeft w:val="0"/>
      <w:marRight w:val="0"/>
      <w:marTop w:val="0"/>
      <w:marBottom w:val="0"/>
      <w:divBdr>
        <w:top w:val="none" w:sz="0" w:space="0" w:color="auto"/>
        <w:left w:val="none" w:sz="0" w:space="0" w:color="auto"/>
        <w:bottom w:val="none" w:sz="0" w:space="0" w:color="auto"/>
        <w:right w:val="none" w:sz="0" w:space="0" w:color="auto"/>
      </w:divBdr>
    </w:div>
    <w:div w:id="12330584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148074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387534258">
      <w:bodyDiv w:val="1"/>
      <w:marLeft w:val="0"/>
      <w:marRight w:val="0"/>
      <w:marTop w:val="0"/>
      <w:marBottom w:val="0"/>
      <w:divBdr>
        <w:top w:val="none" w:sz="0" w:space="0" w:color="auto"/>
        <w:left w:val="none" w:sz="0" w:space="0" w:color="auto"/>
        <w:bottom w:val="none" w:sz="0" w:space="0" w:color="auto"/>
        <w:right w:val="none" w:sz="0" w:space="0" w:color="auto"/>
      </w:divBdr>
      <w:divsChild>
        <w:div w:id="2134247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454447421">
      <w:bodyDiv w:val="1"/>
      <w:marLeft w:val="0"/>
      <w:marRight w:val="0"/>
      <w:marTop w:val="0"/>
      <w:marBottom w:val="0"/>
      <w:divBdr>
        <w:top w:val="none" w:sz="0" w:space="0" w:color="auto"/>
        <w:left w:val="none" w:sz="0" w:space="0" w:color="auto"/>
        <w:bottom w:val="none" w:sz="0" w:space="0" w:color="auto"/>
        <w:right w:val="none" w:sz="0" w:space="0" w:color="auto"/>
      </w:divBdr>
      <w:divsChild>
        <w:div w:id="178004726">
          <w:marLeft w:val="0"/>
          <w:marRight w:val="0"/>
          <w:marTop w:val="0"/>
          <w:marBottom w:val="0"/>
          <w:divBdr>
            <w:top w:val="none" w:sz="0" w:space="0" w:color="auto"/>
            <w:left w:val="none" w:sz="0" w:space="0" w:color="auto"/>
            <w:bottom w:val="none" w:sz="0" w:space="0" w:color="auto"/>
            <w:right w:val="none" w:sz="0" w:space="0" w:color="auto"/>
          </w:divBdr>
          <w:divsChild>
            <w:div w:id="14166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73802281">
      <w:bodyDiv w:val="1"/>
      <w:marLeft w:val="0"/>
      <w:marRight w:val="0"/>
      <w:marTop w:val="0"/>
      <w:marBottom w:val="0"/>
      <w:divBdr>
        <w:top w:val="none" w:sz="0" w:space="0" w:color="auto"/>
        <w:left w:val="none" w:sz="0" w:space="0" w:color="auto"/>
        <w:bottom w:val="none" w:sz="0" w:space="0" w:color="auto"/>
        <w:right w:val="none" w:sz="0" w:space="0" w:color="auto"/>
      </w:divBdr>
      <w:divsChild>
        <w:div w:id="1711878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07798184">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759448837">
      <w:bodyDiv w:val="1"/>
      <w:marLeft w:val="0"/>
      <w:marRight w:val="0"/>
      <w:marTop w:val="0"/>
      <w:marBottom w:val="0"/>
      <w:divBdr>
        <w:top w:val="none" w:sz="0" w:space="0" w:color="auto"/>
        <w:left w:val="none" w:sz="0" w:space="0" w:color="auto"/>
        <w:bottom w:val="none" w:sz="0" w:space="0" w:color="auto"/>
        <w:right w:val="none" w:sz="0" w:space="0" w:color="auto"/>
      </w:divBdr>
    </w:div>
    <w:div w:id="76423161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87735209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078289143">
      <w:bodyDiv w:val="1"/>
      <w:marLeft w:val="0"/>
      <w:marRight w:val="0"/>
      <w:marTop w:val="0"/>
      <w:marBottom w:val="0"/>
      <w:divBdr>
        <w:top w:val="none" w:sz="0" w:space="0" w:color="auto"/>
        <w:left w:val="none" w:sz="0" w:space="0" w:color="auto"/>
        <w:bottom w:val="none" w:sz="0" w:space="0" w:color="auto"/>
        <w:right w:val="none" w:sz="0" w:space="0" w:color="auto"/>
      </w:divBdr>
      <w:divsChild>
        <w:div w:id="1695305018">
          <w:marLeft w:val="0"/>
          <w:marRight w:val="0"/>
          <w:marTop w:val="0"/>
          <w:marBottom w:val="0"/>
          <w:divBdr>
            <w:top w:val="none" w:sz="0" w:space="0" w:color="auto"/>
            <w:left w:val="none" w:sz="0" w:space="0" w:color="auto"/>
            <w:bottom w:val="none" w:sz="0" w:space="0" w:color="auto"/>
            <w:right w:val="none" w:sz="0" w:space="0" w:color="auto"/>
          </w:divBdr>
          <w:divsChild>
            <w:div w:id="8248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159225114">
      <w:bodyDiv w:val="1"/>
      <w:marLeft w:val="0"/>
      <w:marRight w:val="0"/>
      <w:marTop w:val="0"/>
      <w:marBottom w:val="0"/>
      <w:divBdr>
        <w:top w:val="none" w:sz="0" w:space="0" w:color="auto"/>
        <w:left w:val="none" w:sz="0" w:space="0" w:color="auto"/>
        <w:bottom w:val="none" w:sz="0" w:space="0" w:color="auto"/>
        <w:right w:val="none" w:sz="0" w:space="0" w:color="auto"/>
      </w:divBdr>
    </w:div>
    <w:div w:id="1205022878">
      <w:bodyDiv w:val="1"/>
      <w:marLeft w:val="0"/>
      <w:marRight w:val="0"/>
      <w:marTop w:val="0"/>
      <w:marBottom w:val="0"/>
      <w:divBdr>
        <w:top w:val="none" w:sz="0" w:space="0" w:color="auto"/>
        <w:left w:val="none" w:sz="0" w:space="0" w:color="auto"/>
        <w:bottom w:val="none" w:sz="0" w:space="0" w:color="auto"/>
        <w:right w:val="none" w:sz="0" w:space="0" w:color="auto"/>
      </w:divBdr>
    </w:div>
    <w:div w:id="1208489906">
      <w:bodyDiv w:val="1"/>
      <w:marLeft w:val="0"/>
      <w:marRight w:val="0"/>
      <w:marTop w:val="0"/>
      <w:marBottom w:val="0"/>
      <w:divBdr>
        <w:top w:val="none" w:sz="0" w:space="0" w:color="auto"/>
        <w:left w:val="none" w:sz="0" w:space="0" w:color="auto"/>
        <w:bottom w:val="none" w:sz="0" w:space="0" w:color="auto"/>
        <w:right w:val="none" w:sz="0" w:space="0" w:color="auto"/>
      </w:divBdr>
    </w:div>
    <w:div w:id="1240945254">
      <w:bodyDiv w:val="1"/>
      <w:marLeft w:val="0"/>
      <w:marRight w:val="0"/>
      <w:marTop w:val="0"/>
      <w:marBottom w:val="0"/>
      <w:divBdr>
        <w:top w:val="none" w:sz="0" w:space="0" w:color="auto"/>
        <w:left w:val="none" w:sz="0" w:space="0" w:color="auto"/>
        <w:bottom w:val="none" w:sz="0" w:space="0" w:color="auto"/>
        <w:right w:val="none" w:sz="0" w:space="0" w:color="auto"/>
      </w:divBdr>
    </w:div>
    <w:div w:id="1284114348">
      <w:bodyDiv w:val="1"/>
      <w:marLeft w:val="0"/>
      <w:marRight w:val="0"/>
      <w:marTop w:val="0"/>
      <w:marBottom w:val="0"/>
      <w:divBdr>
        <w:top w:val="none" w:sz="0" w:space="0" w:color="auto"/>
        <w:left w:val="none" w:sz="0" w:space="0" w:color="auto"/>
        <w:bottom w:val="none" w:sz="0" w:space="0" w:color="auto"/>
        <w:right w:val="none" w:sz="0" w:space="0" w:color="auto"/>
      </w:divBdr>
    </w:div>
    <w:div w:id="1307318535">
      <w:bodyDiv w:val="1"/>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sChild>
            <w:div w:id="1351295352">
              <w:marLeft w:val="0"/>
              <w:marRight w:val="0"/>
              <w:marTop w:val="0"/>
              <w:marBottom w:val="0"/>
              <w:divBdr>
                <w:top w:val="none" w:sz="0" w:space="0" w:color="auto"/>
                <w:left w:val="none" w:sz="0" w:space="0" w:color="auto"/>
                <w:bottom w:val="none" w:sz="0" w:space="0" w:color="auto"/>
                <w:right w:val="none" w:sz="0" w:space="0" w:color="auto"/>
              </w:divBdr>
            </w:div>
            <w:div w:id="1401830596">
              <w:marLeft w:val="0"/>
              <w:marRight w:val="0"/>
              <w:marTop w:val="0"/>
              <w:marBottom w:val="0"/>
              <w:divBdr>
                <w:top w:val="none" w:sz="0" w:space="0" w:color="auto"/>
                <w:left w:val="none" w:sz="0" w:space="0" w:color="auto"/>
                <w:bottom w:val="none" w:sz="0" w:space="0" w:color="auto"/>
                <w:right w:val="none" w:sz="0" w:space="0" w:color="auto"/>
              </w:divBdr>
            </w:div>
          </w:divsChild>
        </w:div>
        <w:div w:id="729772933">
          <w:marLeft w:val="0"/>
          <w:marRight w:val="0"/>
          <w:marTop w:val="0"/>
          <w:marBottom w:val="0"/>
          <w:divBdr>
            <w:top w:val="none" w:sz="0" w:space="0" w:color="auto"/>
            <w:left w:val="none" w:sz="0" w:space="0" w:color="auto"/>
            <w:bottom w:val="none" w:sz="0" w:space="0" w:color="auto"/>
            <w:right w:val="none" w:sz="0" w:space="0" w:color="auto"/>
          </w:divBdr>
          <w:divsChild>
            <w:div w:id="877014339">
              <w:marLeft w:val="0"/>
              <w:marRight w:val="0"/>
              <w:marTop w:val="0"/>
              <w:marBottom w:val="0"/>
              <w:divBdr>
                <w:top w:val="none" w:sz="0" w:space="0" w:color="auto"/>
                <w:left w:val="none" w:sz="0" w:space="0" w:color="auto"/>
                <w:bottom w:val="none" w:sz="0" w:space="0" w:color="auto"/>
                <w:right w:val="none" w:sz="0" w:space="0" w:color="auto"/>
              </w:divBdr>
            </w:div>
            <w:div w:id="53160482">
              <w:marLeft w:val="0"/>
              <w:marRight w:val="0"/>
              <w:marTop w:val="0"/>
              <w:marBottom w:val="0"/>
              <w:divBdr>
                <w:top w:val="none" w:sz="0" w:space="0" w:color="auto"/>
                <w:left w:val="none" w:sz="0" w:space="0" w:color="auto"/>
                <w:bottom w:val="none" w:sz="0" w:space="0" w:color="auto"/>
                <w:right w:val="none" w:sz="0" w:space="0" w:color="auto"/>
              </w:divBdr>
            </w:div>
            <w:div w:id="768549111">
              <w:marLeft w:val="0"/>
              <w:marRight w:val="0"/>
              <w:marTop w:val="0"/>
              <w:marBottom w:val="0"/>
              <w:divBdr>
                <w:top w:val="none" w:sz="0" w:space="0" w:color="auto"/>
                <w:left w:val="none" w:sz="0" w:space="0" w:color="auto"/>
                <w:bottom w:val="none" w:sz="0" w:space="0" w:color="auto"/>
                <w:right w:val="none" w:sz="0" w:space="0" w:color="auto"/>
              </w:divBdr>
            </w:div>
          </w:divsChild>
        </w:div>
        <w:div w:id="151680244">
          <w:marLeft w:val="0"/>
          <w:marRight w:val="0"/>
          <w:marTop w:val="0"/>
          <w:marBottom w:val="0"/>
          <w:divBdr>
            <w:top w:val="none" w:sz="0" w:space="0" w:color="auto"/>
            <w:left w:val="none" w:sz="0" w:space="0" w:color="auto"/>
            <w:bottom w:val="none" w:sz="0" w:space="0" w:color="auto"/>
            <w:right w:val="none" w:sz="0" w:space="0" w:color="auto"/>
          </w:divBdr>
          <w:divsChild>
            <w:div w:id="3395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391490460">
      <w:bodyDiv w:val="1"/>
      <w:marLeft w:val="0"/>
      <w:marRight w:val="0"/>
      <w:marTop w:val="0"/>
      <w:marBottom w:val="0"/>
      <w:divBdr>
        <w:top w:val="none" w:sz="0" w:space="0" w:color="auto"/>
        <w:left w:val="none" w:sz="0" w:space="0" w:color="auto"/>
        <w:bottom w:val="none" w:sz="0" w:space="0" w:color="auto"/>
        <w:right w:val="none" w:sz="0" w:space="0" w:color="auto"/>
      </w:divBdr>
    </w:div>
    <w:div w:id="1404139861">
      <w:bodyDiv w:val="1"/>
      <w:marLeft w:val="0"/>
      <w:marRight w:val="0"/>
      <w:marTop w:val="0"/>
      <w:marBottom w:val="0"/>
      <w:divBdr>
        <w:top w:val="none" w:sz="0" w:space="0" w:color="auto"/>
        <w:left w:val="none" w:sz="0" w:space="0" w:color="auto"/>
        <w:bottom w:val="none" w:sz="0" w:space="0" w:color="auto"/>
        <w:right w:val="none" w:sz="0" w:space="0" w:color="auto"/>
      </w:divBdr>
      <w:divsChild>
        <w:div w:id="84111582">
          <w:marLeft w:val="0"/>
          <w:marRight w:val="0"/>
          <w:marTop w:val="0"/>
          <w:marBottom w:val="0"/>
          <w:divBdr>
            <w:top w:val="none" w:sz="0" w:space="0" w:color="auto"/>
            <w:left w:val="none" w:sz="0" w:space="0" w:color="auto"/>
            <w:bottom w:val="none" w:sz="0" w:space="0" w:color="auto"/>
            <w:right w:val="none" w:sz="0" w:space="0" w:color="auto"/>
          </w:divBdr>
          <w:divsChild>
            <w:div w:id="574053657">
              <w:marLeft w:val="0"/>
              <w:marRight w:val="0"/>
              <w:marTop w:val="0"/>
              <w:marBottom w:val="0"/>
              <w:divBdr>
                <w:top w:val="none" w:sz="0" w:space="0" w:color="auto"/>
                <w:left w:val="none" w:sz="0" w:space="0" w:color="auto"/>
                <w:bottom w:val="none" w:sz="0" w:space="0" w:color="auto"/>
                <w:right w:val="none" w:sz="0" w:space="0" w:color="auto"/>
              </w:divBdr>
            </w:div>
            <w:div w:id="561520359">
              <w:marLeft w:val="0"/>
              <w:marRight w:val="0"/>
              <w:marTop w:val="0"/>
              <w:marBottom w:val="0"/>
              <w:divBdr>
                <w:top w:val="none" w:sz="0" w:space="0" w:color="auto"/>
                <w:left w:val="none" w:sz="0" w:space="0" w:color="auto"/>
                <w:bottom w:val="none" w:sz="0" w:space="0" w:color="auto"/>
                <w:right w:val="none" w:sz="0" w:space="0" w:color="auto"/>
              </w:divBdr>
            </w:div>
          </w:divsChild>
        </w:div>
        <w:div w:id="594359970">
          <w:marLeft w:val="0"/>
          <w:marRight w:val="0"/>
          <w:marTop w:val="0"/>
          <w:marBottom w:val="0"/>
          <w:divBdr>
            <w:top w:val="none" w:sz="0" w:space="0" w:color="auto"/>
            <w:left w:val="none" w:sz="0" w:space="0" w:color="auto"/>
            <w:bottom w:val="none" w:sz="0" w:space="0" w:color="auto"/>
            <w:right w:val="none" w:sz="0" w:space="0" w:color="auto"/>
          </w:divBdr>
          <w:divsChild>
            <w:div w:id="952516083">
              <w:marLeft w:val="0"/>
              <w:marRight w:val="0"/>
              <w:marTop w:val="0"/>
              <w:marBottom w:val="0"/>
              <w:divBdr>
                <w:top w:val="none" w:sz="0" w:space="0" w:color="auto"/>
                <w:left w:val="none" w:sz="0" w:space="0" w:color="auto"/>
                <w:bottom w:val="none" w:sz="0" w:space="0" w:color="auto"/>
                <w:right w:val="none" w:sz="0" w:space="0" w:color="auto"/>
              </w:divBdr>
            </w:div>
            <w:div w:id="738408895">
              <w:marLeft w:val="0"/>
              <w:marRight w:val="0"/>
              <w:marTop w:val="0"/>
              <w:marBottom w:val="0"/>
              <w:divBdr>
                <w:top w:val="none" w:sz="0" w:space="0" w:color="auto"/>
                <w:left w:val="none" w:sz="0" w:space="0" w:color="auto"/>
                <w:bottom w:val="none" w:sz="0" w:space="0" w:color="auto"/>
                <w:right w:val="none" w:sz="0" w:space="0" w:color="auto"/>
              </w:divBdr>
            </w:div>
            <w:div w:id="2061705382">
              <w:marLeft w:val="0"/>
              <w:marRight w:val="0"/>
              <w:marTop w:val="0"/>
              <w:marBottom w:val="0"/>
              <w:divBdr>
                <w:top w:val="none" w:sz="0" w:space="0" w:color="auto"/>
                <w:left w:val="none" w:sz="0" w:space="0" w:color="auto"/>
                <w:bottom w:val="none" w:sz="0" w:space="0" w:color="auto"/>
                <w:right w:val="none" w:sz="0" w:space="0" w:color="auto"/>
              </w:divBdr>
            </w:div>
          </w:divsChild>
        </w:div>
        <w:div w:id="1743212578">
          <w:marLeft w:val="0"/>
          <w:marRight w:val="0"/>
          <w:marTop w:val="0"/>
          <w:marBottom w:val="0"/>
          <w:divBdr>
            <w:top w:val="none" w:sz="0" w:space="0" w:color="auto"/>
            <w:left w:val="none" w:sz="0" w:space="0" w:color="auto"/>
            <w:bottom w:val="none" w:sz="0" w:space="0" w:color="auto"/>
            <w:right w:val="none" w:sz="0" w:space="0" w:color="auto"/>
          </w:divBdr>
          <w:divsChild>
            <w:div w:id="2192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9333">
      <w:bodyDiv w:val="1"/>
      <w:marLeft w:val="0"/>
      <w:marRight w:val="0"/>
      <w:marTop w:val="0"/>
      <w:marBottom w:val="0"/>
      <w:divBdr>
        <w:top w:val="none" w:sz="0" w:space="0" w:color="auto"/>
        <w:left w:val="none" w:sz="0" w:space="0" w:color="auto"/>
        <w:bottom w:val="none" w:sz="0" w:space="0" w:color="auto"/>
        <w:right w:val="none" w:sz="0" w:space="0" w:color="auto"/>
      </w:divBdr>
    </w:div>
    <w:div w:id="1463887503">
      <w:bodyDiv w:val="1"/>
      <w:marLeft w:val="0"/>
      <w:marRight w:val="0"/>
      <w:marTop w:val="0"/>
      <w:marBottom w:val="0"/>
      <w:divBdr>
        <w:top w:val="none" w:sz="0" w:space="0" w:color="auto"/>
        <w:left w:val="none" w:sz="0" w:space="0" w:color="auto"/>
        <w:bottom w:val="none" w:sz="0" w:space="0" w:color="auto"/>
        <w:right w:val="none" w:sz="0" w:space="0" w:color="auto"/>
      </w:divBdr>
    </w:div>
    <w:div w:id="1483695098">
      <w:bodyDiv w:val="1"/>
      <w:marLeft w:val="0"/>
      <w:marRight w:val="0"/>
      <w:marTop w:val="0"/>
      <w:marBottom w:val="0"/>
      <w:divBdr>
        <w:top w:val="none" w:sz="0" w:space="0" w:color="auto"/>
        <w:left w:val="none" w:sz="0" w:space="0" w:color="auto"/>
        <w:bottom w:val="none" w:sz="0" w:space="0" w:color="auto"/>
        <w:right w:val="none" w:sz="0" w:space="0" w:color="auto"/>
      </w:divBdr>
    </w:div>
    <w:div w:id="1491628721">
      <w:bodyDiv w:val="1"/>
      <w:marLeft w:val="0"/>
      <w:marRight w:val="0"/>
      <w:marTop w:val="0"/>
      <w:marBottom w:val="0"/>
      <w:divBdr>
        <w:top w:val="none" w:sz="0" w:space="0" w:color="auto"/>
        <w:left w:val="none" w:sz="0" w:space="0" w:color="auto"/>
        <w:bottom w:val="none" w:sz="0" w:space="0" w:color="auto"/>
        <w:right w:val="none" w:sz="0" w:space="0" w:color="auto"/>
      </w:divBdr>
    </w:div>
    <w:div w:id="1525630343">
      <w:bodyDiv w:val="1"/>
      <w:marLeft w:val="0"/>
      <w:marRight w:val="0"/>
      <w:marTop w:val="0"/>
      <w:marBottom w:val="0"/>
      <w:divBdr>
        <w:top w:val="none" w:sz="0" w:space="0" w:color="auto"/>
        <w:left w:val="none" w:sz="0" w:space="0" w:color="auto"/>
        <w:bottom w:val="none" w:sz="0" w:space="0" w:color="auto"/>
        <w:right w:val="none" w:sz="0" w:space="0" w:color="auto"/>
      </w:divBdr>
    </w:div>
    <w:div w:id="1591354609">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596940906">
      <w:bodyDiv w:val="1"/>
      <w:marLeft w:val="0"/>
      <w:marRight w:val="0"/>
      <w:marTop w:val="0"/>
      <w:marBottom w:val="0"/>
      <w:divBdr>
        <w:top w:val="none" w:sz="0" w:space="0" w:color="auto"/>
        <w:left w:val="none" w:sz="0" w:space="0" w:color="auto"/>
        <w:bottom w:val="none" w:sz="0" w:space="0" w:color="auto"/>
        <w:right w:val="none" w:sz="0" w:space="0" w:color="auto"/>
      </w:divBdr>
    </w:div>
    <w:div w:id="1596984583">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037584912">
      <w:bodyDiv w:val="1"/>
      <w:marLeft w:val="0"/>
      <w:marRight w:val="0"/>
      <w:marTop w:val="0"/>
      <w:marBottom w:val="0"/>
      <w:divBdr>
        <w:top w:val="none" w:sz="0" w:space="0" w:color="auto"/>
        <w:left w:val="none" w:sz="0" w:space="0" w:color="auto"/>
        <w:bottom w:val="none" w:sz="0" w:space="0" w:color="auto"/>
        <w:right w:val="none" w:sz="0" w:space="0" w:color="auto"/>
      </w:divBdr>
    </w:div>
    <w:div w:id="2040927541">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eia.gov/outlooks/aeo/"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access.nhh.no/nhh-xmlui/bitstream/handle/11250/164625/R31_01.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15</Pages>
  <Words>3687</Words>
  <Characters>21537</Characters>
  <Application>Microsoft Office Word</Application>
  <DocSecurity>0</DocSecurity>
  <Lines>512</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Trent Cooper</cp:lastModifiedBy>
  <cp:revision>5</cp:revision>
  <dcterms:created xsi:type="dcterms:W3CDTF">2025-07-21T05:32:00Z</dcterms:created>
  <dcterms:modified xsi:type="dcterms:W3CDTF">2025-07-26T09:26:00Z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