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REAL-WORLD APPLICATIONS AND TECHNICAL VALIDATION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Ceasar Eduardo Villena III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Computer Studies and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José Rizal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Mandaluyong City, Philippines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ceasareduardo.villenaiii@my.jru.edu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A">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The </w:t>
      </w:r>
      <w:r w:rsidDel="00000000" w:rsidR="00000000" w:rsidRPr="00000000">
        <w:rPr>
          <w:b w:val="1"/>
          <w:bCs w:val="1"/>
          <w:i w:val="1"/>
          <w:iCs w:val="1"/>
          <w:sz w:val="18"/>
          <w:szCs w:val="18"/>
          <w:rtl w:val="0"/>
        </w:rPr>
        <w:t xml:space="preserve">k</w:t>
      </w:r>
      <w:r w:rsidDel="00000000" w:rsidR="00000000" w:rsidRPr="00000000">
        <w:rPr>
          <w:b w:val="1"/>
          <w:bCs w:val="1"/>
          <w:sz w:val="18"/>
          <w:szCs w:val="18"/>
          <w:rtl w:val="0"/>
        </w:rPr>
        <w:t xml:space="preserve">-Nearest Neighbors (kNN) algorithm is a distance-based supervised learning method commonly used for classification tasks due to its simplicity and interpretability. This paper examines real-world applications of kNN within government operations, focusing on public-sector decision support in agricultural resource planning, urban traffic safety, and disaster risk reduction. Using peer-reviewed and policy-relevant studies, primarily within the Philippine context, the analysis highlights how kNN has been applied to produce categorical predictions such as land suitability classes, traffic accident risk zones, and flood risk levels. Variations in model performance across these applications are evaluated with respect to data quality, feature scaling, sample size, and computational constraints. A detailed technical audit of a selected study on small farm reservoir suitability mapping is conducted to assess distance metric selection, preprocessing techniques, and </w:t>
      </w:r>
      <w:r w:rsidDel="00000000" w:rsidR="00000000" w:rsidRPr="00000000">
        <w:rPr>
          <w:b w:val="1"/>
          <w:bCs w:val="1"/>
          <w:i w:val="1"/>
          <w:iCs w:val="1"/>
          <w:sz w:val="18"/>
          <w:szCs w:val="18"/>
          <w:rtl w:val="0"/>
        </w:rPr>
        <w:t xml:space="preserve">k</w:t>
      </w:r>
      <w:r w:rsidDel="00000000" w:rsidR="00000000" w:rsidRPr="00000000">
        <w:rPr>
          <w:b w:val="1"/>
          <w:bCs w:val="1"/>
          <w:sz w:val="18"/>
          <w:szCs w:val="18"/>
          <w:rtl w:val="0"/>
        </w:rPr>
        <w:t xml:space="preserve">-value justification, and these are compared with preprocessing logic implemented in a practical notebook exercise. Ethical considerations are also discussed using confusion matrix error patterns, emphasizing that while kNN offers moderate transparency, it is best utilized as a decision-support tool rather than a fully automated system in high-stakes government contexts.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k-Nearest Neighbors, Government Decision Support Systems, Geospatial Classification, Public Sector Analytics, Machine Learning Applications, Risk Assessment</w:t>
      </w: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216"/>
        </w:tabs>
        <w:ind w:left="0" w:firstLine="216"/>
        <w:rPr/>
      </w:pPr>
      <w:r w:rsidDel="00000000" w:rsidR="00000000" w:rsidRPr="00000000">
        <w:rPr>
          <w:rtl w:val="0"/>
        </w:rPr>
        <w:t xml:space="preserve">I</w:t>
      </w:r>
      <w:r w:rsidDel="00000000" w:rsidR="00000000" w:rsidRPr="00000000">
        <w:rPr>
          <w:smallCaps w:val="1"/>
          <w:vertAlign w:val="baseline"/>
          <w:rtl w:val="0"/>
        </w:rPr>
        <w:t xml:space="preserve">ntroduction - </w:t>
      </w:r>
      <w:r w:rsidDel="00000000" w:rsidR="00000000" w:rsidRPr="00000000">
        <w:rPr>
          <w:rtl w:val="0"/>
        </w:rPr>
        <w:t xml:space="preserve">Operational Investigation</w:t>
        <w:tab/>
      </w:r>
      <w:r w:rsidDel="00000000" w:rsidR="00000000" w:rsidRPr="00000000">
        <w:rPr>
          <w:rtl w:val="0"/>
        </w:rPr>
      </w:r>
    </w:p>
    <w:p w:rsidR="00000000" w:rsidDel="00000000" w:rsidP="00000000" w:rsidRDefault="00000000" w:rsidRPr="00000000" w14:paraId="0000000E">
      <w:pPr>
        <w:tabs>
          <w:tab w:val="left" w:leader="none" w:pos="288"/>
        </w:tabs>
        <w:spacing w:after="120" w:line="228" w:lineRule="auto"/>
        <w:ind w:firstLine="288"/>
        <w:jc w:val="both"/>
        <w:rPr/>
      </w:pPr>
      <w:r w:rsidDel="00000000" w:rsidR="00000000" w:rsidRPr="00000000">
        <w:rPr>
          <w:rtl w:val="0"/>
        </w:rPr>
        <w:t xml:space="preserve">This section examines real-world applications of the k-Nearest Neighbors (kNN) algorithm within government operations, with emphasis on public-sector decision support and categorical prediction tasks.</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t xml:space="preserve">One application is in agricultural and water resource planning, particularly in the suitability mapping of small farm reservoirs (SFRs) in Isabela Province, Philippines. In this context, kNN was used to classify land parcels into discrete suitability categories—highly suitable, moderately suitable, and not suitable—based on environmental variables such as rainfall, soil type, slope, and land use. These predictions support decision-making by the Department of Agriculture and local government units in prioritizing irrigation infrastructure investments [1].</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t xml:space="preserve">A second application involves urban traffic safety and transportation planning. A GIS-integrated kNN framework was employed to classify geographic zones in Metro Manila into high, medium, or low accident risk categories using historical traffic accident records and road network characteristics. The resulting hotspot classifications assist agencies such as the Metropolitan Manila Development Authority in allocating enforcement resources and implementing safety interventions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 third application relates to disaster risk reduction and early warning systems. kNN-based classification models have been explored for flood risk assessment using rainfall intensity and hydrological variables. These categorical flood risk predictions align with national initiatives such as Project NOAH, which aim to enhance hazard forecasting and disaster preparedness for vulnerable communities [3], [4].</w:t>
      </w:r>
      <w:r w:rsidDel="00000000" w:rsidR="00000000" w:rsidRPr="00000000">
        <w:rPr>
          <w:rtl w:val="0"/>
        </w:rPr>
      </w:r>
    </w:p>
    <w:p w:rsidR="00000000" w:rsidDel="00000000" w:rsidP="00000000" w:rsidRDefault="00000000" w:rsidRPr="00000000" w14:paraId="00000012">
      <w:pPr>
        <w:pStyle w:val="Heading1"/>
        <w:numPr>
          <w:ilvl w:val="0"/>
          <w:numId w:val="1"/>
        </w:numPr>
        <w:tabs>
          <w:tab w:val="left" w:leader="none" w:pos="216"/>
        </w:tabs>
        <w:ind w:left="0" w:firstLine="216"/>
        <w:rPr/>
      </w:pPr>
      <w:r w:rsidDel="00000000" w:rsidR="00000000" w:rsidRPr="00000000">
        <w:rPr>
          <w:rtl w:val="0"/>
        </w:rPr>
        <w:t xml:space="preserve">Performance and Environmental Factors</w:t>
      </w:r>
      <w:r w:rsidDel="00000000" w:rsidR="00000000" w:rsidRPr="00000000">
        <w:rPr>
          <w:rtl w:val="0"/>
        </w:rPr>
      </w:r>
    </w:p>
    <w:p w:rsidR="00000000" w:rsidDel="00000000" w:rsidP="00000000" w:rsidRDefault="00000000" w:rsidRPr="00000000" w14:paraId="00000013">
      <w:pPr>
        <w:tabs>
          <w:tab w:val="left" w:leader="none" w:pos="288"/>
        </w:tabs>
        <w:spacing w:after="120" w:line="228" w:lineRule="auto"/>
        <w:ind w:firstLine="288"/>
        <w:jc w:val="both"/>
        <w:rPr/>
      </w:pPr>
      <w:r w:rsidDel="00000000" w:rsidR="00000000" w:rsidRPr="00000000">
        <w:rPr>
          <w:rtl w:val="0"/>
        </w:rPr>
        <w:t xml:space="preserve">The effectiveness of kNN varied across the reviewed government applications due to differences in data structure, quality, and scale. In agricultural suitability mapping, kNN demonstrated stable performance because the input variables were structured geospatial features that were standardized prior to modeling. In contrast, traffic accident hotspot prediction exhibited reduced classification consistency due to class imbalance and spatial sparsity, where high-risk zones were less frequent than low-risk areas.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Flood risk classification performance was influenced by temporal variability in rainfall data and limitations in sensor resolution. Across all applications, kNN performance was strongly affected by feature scaling, sample size, and computational constraints. As a distance-based algorithm, kNN is particularly sensitive to unnormalized features, which can distort distance calculations, and to large datasets, which increase computational cost during prediction.</w:t>
      </w:r>
      <w:r w:rsidDel="00000000" w:rsidR="00000000" w:rsidRPr="00000000">
        <w:rPr>
          <w:rtl w:val="0"/>
        </w:rPr>
      </w:r>
    </w:p>
    <w:p w:rsidR="00000000" w:rsidDel="00000000" w:rsidP="00000000" w:rsidRDefault="00000000" w:rsidRPr="00000000" w14:paraId="00000015">
      <w:pPr>
        <w:pStyle w:val="Heading1"/>
        <w:numPr>
          <w:ilvl w:val="0"/>
          <w:numId w:val="1"/>
        </w:numPr>
        <w:tabs>
          <w:tab w:val="left" w:leader="none" w:pos="216"/>
        </w:tabs>
        <w:ind w:left="0" w:firstLine="216"/>
        <w:rPr/>
      </w:pPr>
      <w:r w:rsidDel="00000000" w:rsidR="00000000" w:rsidRPr="00000000">
        <w:rPr>
          <w:rtl w:val="0"/>
        </w:rPr>
        <w:t xml:space="preserve">Technical Specification Audit</w:t>
      </w:r>
      <w:r w:rsidDel="00000000" w:rsidR="00000000" w:rsidRPr="00000000">
        <w:rPr>
          <w:rtl w:val="0"/>
        </w:rPr>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The selected Philippine study on small farm reservoir suitability applied kNN to continuous environmental variables derived from multiple geospatial layers [1]. Although the distance metric was not explicitly specified, Euclidean distance is the standard choice in kNN implementations and is appropriate for continuous numeric features such as rainfall, slope, and soil attributes.</w:t>
      </w:r>
    </w:p>
    <w:p w:rsidR="00000000" w:rsidDel="00000000" w:rsidP="00000000" w:rsidRDefault="00000000" w:rsidRPr="00000000" w14:paraId="00000017">
      <w:pPr>
        <w:tabs>
          <w:tab w:val="left" w:leader="none" w:pos="288"/>
        </w:tabs>
        <w:spacing w:after="120" w:line="228" w:lineRule="auto"/>
        <w:ind w:firstLine="288"/>
        <w:jc w:val="both"/>
        <w:rPr/>
      </w:pPr>
      <w:r w:rsidDel="00000000" w:rsidR="00000000" w:rsidRPr="00000000">
        <w:rPr>
          <w:rtl w:val="0"/>
        </w:rPr>
        <w:t xml:space="preserve">Prior to classification, environmental layers were reclassified into standardized categories, effectively normalizing feature ranges. This preprocessing approach is consistent with the feature scaling logic applied in the Colab notebook, where normalization ensures that no single variable disproportionately influences Euclidean distance computations.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study did not explicitly report the use of an elbow method or cross-validation to determine the optimal value of k. While this approach is acceptable for exploratory analysis, best practice recommends systematic k-value optimization through validation techniques to balance bias and variance and improve model generalizability.</w:t>
      </w:r>
      <w:r w:rsidDel="00000000" w:rsidR="00000000" w:rsidRPr="00000000">
        <w:rPr>
          <w:rtl w:val="0"/>
        </w:rPr>
      </w:r>
    </w:p>
    <w:p w:rsidR="00000000" w:rsidDel="00000000" w:rsidP="00000000" w:rsidRDefault="00000000" w:rsidRPr="00000000" w14:paraId="00000019">
      <w:pPr>
        <w:pStyle w:val="Heading1"/>
        <w:numPr>
          <w:ilvl w:val="0"/>
          <w:numId w:val="1"/>
        </w:numPr>
        <w:tabs>
          <w:tab w:val="left" w:leader="none" w:pos="216"/>
        </w:tabs>
        <w:ind w:left="0" w:firstLine="216"/>
        <w:rPr/>
      </w:pPr>
      <w:r w:rsidDel="00000000" w:rsidR="00000000" w:rsidRPr="00000000">
        <w:rPr>
          <w:rtl w:val="0"/>
        </w:rPr>
        <w:t xml:space="preserve">Ethical Decision-Making and Algorithmic Transparency</w:t>
      </w:r>
      <w:r w:rsidDel="00000000" w:rsidR="00000000" w:rsidRPr="00000000">
        <w:rPr>
          <w:rtl w:val="0"/>
        </w:rPr>
      </w:r>
    </w:p>
    <w:p w:rsidR="00000000" w:rsidDel="00000000" w:rsidP="00000000" w:rsidRDefault="00000000" w:rsidRPr="00000000" w14:paraId="0000001A">
      <w:pPr>
        <w:tabs>
          <w:tab w:val="left" w:leader="none" w:pos="288"/>
        </w:tabs>
        <w:spacing w:after="120" w:line="228" w:lineRule="auto"/>
        <w:ind w:firstLine="288"/>
        <w:jc w:val="both"/>
        <w:rPr/>
      </w:pPr>
      <w:r w:rsidDel="00000000" w:rsidR="00000000" w:rsidRPr="00000000">
        <w:rPr>
          <w:rtl w:val="0"/>
        </w:rPr>
        <w:t xml:space="preserve">From a government decision-making perspective, kNN offers moderate interpretability because predictions can be explained by examining the nearest historical instances contributing to a classification. However, analysis of the confusion matrix indicates the presence of misclassification patterns, including false positives and false negatives, which have important ethical implications in public-sector contexts.</w:t>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rtl w:val="0"/>
        </w:rPr>
        <w:t xml:space="preserve">False positives may lead to inefficient allocation of government resources, such as over-prioritizing low-risk areas, while false negatives pose greater ethical risk by potentially overlooking high-risk regions or populations. Due to this sensitivity to data noise and class imbalance, kNN should not be relied upon as a fully automated decision-maker in high-stakes government operations.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Instead, kNN is best deployed as a decision-support tool, where model outputs inform—but do not replace—expert judgment. This hybrid approach enhances algorithmic transparency, preserves accountability, and supports public trust in data-driven governance.</w:t>
      </w:r>
      <w:r w:rsidDel="00000000" w:rsidR="00000000" w:rsidRPr="00000000">
        <w:rPr>
          <w:rtl w:val="0"/>
        </w:rPr>
      </w:r>
    </w:p>
    <w:p w:rsidR="00000000" w:rsidDel="00000000" w:rsidP="00000000" w:rsidRDefault="00000000" w:rsidRPr="00000000" w14:paraId="0000001D">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R. S. Dizon, J. A. D. Dimalanta, and E. L. A. Gonzales, “Suitability mapping of small farm reservoirs using k-nearest neighbors and random forest algorithms,” Int. J. Sci. Technol. Res., vol. 10, no. 3, pp. 246–252, Mar. 2021.</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J. P. Cruz, M. A. Hernandez, and R. T. Flores, “GIS-integrated machine learning framework for predicting traffic accident hotspots: A spatial analysis approach,” </w:t>
      </w:r>
      <w:r w:rsidDel="00000000" w:rsidR="00000000" w:rsidRPr="00000000">
        <w:rPr>
          <w:i w:val="1"/>
          <w:iCs w:val="1"/>
          <w:sz w:val="16"/>
          <w:szCs w:val="16"/>
          <w:rtl w:val="0"/>
        </w:rPr>
        <w:t xml:space="preserve">Int. J. Geomatics Geosci.</w:t>
      </w:r>
      <w:r w:rsidDel="00000000" w:rsidR="00000000" w:rsidRPr="00000000">
        <w:rPr>
          <w:sz w:val="16"/>
          <w:szCs w:val="16"/>
          <w:rtl w:val="0"/>
        </w:rPr>
        <w:t xml:space="preserve">, vol. 14, no. 2, pp. 89–101, 2023.</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M. A. Alonzo and K. S. Navarro, “Application of machine learning techniques for flood risk classification using hydrological data,” J. Comput. Phys. Environ. Sci., vol. 5, no. 1, pp. 33–41, 2020.</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DOST–PAGASA, Project NOAH: Nationwide Operational Assessment of Hazards, Philippines, 2015.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23">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