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Pr="009E7AC9" w:rsidRDefault="00835A27">
      <w:pPr>
        <w:jc w:val="center"/>
        <w:rPr>
          <w:rFonts w:ascii="Times New Roman" w:eastAsia="Times New Roman" w:hAnsi="Times New Roman" w:cs="Times New Roman"/>
        </w:rPr>
      </w:pPr>
      <w:r w:rsidRPr="009E7AC9">
        <w:rPr>
          <w:rFonts w:ascii="Times New Roman" w:eastAsia="Times New Roman" w:hAnsi="Times New Roman" w:cs="Times New Roman"/>
          <w:b/>
        </w:rPr>
        <w:t>Lab Report</w:t>
      </w:r>
    </w:p>
    <w:p w14:paraId="34F4CA35" w14:textId="77777777" w:rsidR="001262A6" w:rsidRPr="009E7AC9" w:rsidRDefault="001262A6">
      <w:pPr>
        <w:rPr>
          <w:rFonts w:ascii="Times New Roman" w:eastAsia="Times New Roman" w:hAnsi="Times New Roman" w:cs="Times New Roman"/>
        </w:rPr>
      </w:pPr>
    </w:p>
    <w:p w14:paraId="2DFE2BD2" w14:textId="5499EC88" w:rsidR="001262A6" w:rsidRPr="00D26782" w:rsidRDefault="00835A27">
      <w:pPr>
        <w:rPr>
          <w:rFonts w:ascii="Times New Roman" w:eastAsia="Times New Roman" w:hAnsi="Times New Roman" w:cs="Times New Roman"/>
          <w:iCs/>
          <w:highlight w:val="yellow"/>
        </w:rPr>
      </w:pPr>
      <w:r w:rsidRPr="009E7AC9">
        <w:rPr>
          <w:rFonts w:ascii="Times New Roman" w:eastAsia="Times New Roman" w:hAnsi="Times New Roman" w:cs="Times New Roman"/>
        </w:rPr>
        <w:t xml:space="preserve">Title: </w:t>
      </w:r>
      <w:r w:rsidR="00D26782" w:rsidRPr="00D26782">
        <w:rPr>
          <w:rFonts w:ascii="Times New Roman" w:eastAsia="Times New Roman" w:hAnsi="Times New Roman" w:cs="Times New Roman"/>
        </w:rPr>
        <w:t>Modernizing the Electrical Grid with Environmental Justice: Using</w:t>
      </w:r>
      <w:r w:rsidR="00D26782" w:rsidRPr="00D26782">
        <w:rPr>
          <w:rFonts w:ascii="Times New Roman" w:eastAsia="Times New Roman" w:hAnsi="Times New Roman" w:cs="Times New Roman"/>
          <w:iCs/>
        </w:rPr>
        <w:t xml:space="preserve"> </w:t>
      </w:r>
      <w:r w:rsidR="00A7621D" w:rsidRPr="00D26782">
        <w:rPr>
          <w:rFonts w:ascii="Times New Roman" w:eastAsia="Times New Roman" w:hAnsi="Times New Roman" w:cs="Times New Roman"/>
          <w:iCs/>
        </w:rPr>
        <w:t>Esri Suitability Analysis</w:t>
      </w:r>
      <w:r w:rsidR="00D26782" w:rsidRPr="00D26782">
        <w:rPr>
          <w:rFonts w:ascii="Times New Roman" w:eastAsia="Times New Roman" w:hAnsi="Times New Roman" w:cs="Times New Roman"/>
          <w:iCs/>
        </w:rPr>
        <w:t xml:space="preserve"> to Prioritize Grid Updates</w:t>
      </w:r>
    </w:p>
    <w:p w14:paraId="0AE3E598" w14:textId="77777777" w:rsidR="001262A6" w:rsidRPr="009E7AC9" w:rsidRDefault="00835A27">
      <w:pPr>
        <w:rPr>
          <w:rFonts w:ascii="Times New Roman" w:eastAsia="Times New Roman" w:hAnsi="Times New Roman" w:cs="Times New Roman"/>
        </w:rPr>
      </w:pPr>
      <w:r w:rsidRPr="009E7AC9">
        <w:rPr>
          <w:rFonts w:ascii="Times New Roman" w:eastAsia="Times New Roman" w:hAnsi="Times New Roman" w:cs="Times New Roman"/>
        </w:rPr>
        <w:t>Notice: Dr. Bryan Runck</w:t>
      </w:r>
    </w:p>
    <w:p w14:paraId="63EBA493" w14:textId="24F4F8DE" w:rsidR="001262A6" w:rsidRPr="009E7AC9" w:rsidRDefault="00835A27">
      <w:pPr>
        <w:rPr>
          <w:rFonts w:ascii="Times New Roman" w:eastAsia="Times New Roman" w:hAnsi="Times New Roman" w:cs="Times New Roman"/>
        </w:rPr>
      </w:pPr>
      <w:r w:rsidRPr="009E7AC9">
        <w:rPr>
          <w:rFonts w:ascii="Times New Roman" w:eastAsia="Times New Roman" w:hAnsi="Times New Roman" w:cs="Times New Roman"/>
        </w:rPr>
        <w:t>Author:</w:t>
      </w:r>
      <w:r w:rsidR="008A3A0A" w:rsidRPr="009E7AC9">
        <w:rPr>
          <w:rFonts w:ascii="Times New Roman" w:eastAsia="Times New Roman" w:hAnsi="Times New Roman" w:cs="Times New Roman"/>
        </w:rPr>
        <w:t xml:space="preserve"> Cecelia Isaac</w:t>
      </w:r>
    </w:p>
    <w:p w14:paraId="6215899F" w14:textId="7704886E" w:rsidR="001262A6" w:rsidRPr="009E7AC9" w:rsidRDefault="00835A27">
      <w:pPr>
        <w:rPr>
          <w:rFonts w:ascii="Times New Roman" w:eastAsia="Times New Roman" w:hAnsi="Times New Roman" w:cs="Times New Roman"/>
        </w:rPr>
      </w:pPr>
      <w:r w:rsidRPr="009E7AC9">
        <w:rPr>
          <w:rFonts w:ascii="Times New Roman" w:eastAsia="Times New Roman" w:hAnsi="Times New Roman" w:cs="Times New Roman"/>
        </w:rPr>
        <w:t>Date:</w:t>
      </w:r>
      <w:r w:rsidR="008A3A0A" w:rsidRPr="009E7AC9">
        <w:rPr>
          <w:rFonts w:ascii="Times New Roman" w:eastAsia="Times New Roman" w:hAnsi="Times New Roman" w:cs="Times New Roman"/>
        </w:rPr>
        <w:t xml:space="preserve"> May </w:t>
      </w:r>
      <w:r w:rsidR="00A7621D">
        <w:rPr>
          <w:rFonts w:ascii="Times New Roman" w:eastAsia="Times New Roman" w:hAnsi="Times New Roman" w:cs="Times New Roman"/>
        </w:rPr>
        <w:t>7</w:t>
      </w:r>
      <w:r w:rsidR="008A3A0A" w:rsidRPr="009E7AC9">
        <w:rPr>
          <w:rFonts w:ascii="Times New Roman" w:eastAsia="Times New Roman" w:hAnsi="Times New Roman" w:cs="Times New Roman"/>
        </w:rPr>
        <w:t>, 2021</w:t>
      </w:r>
    </w:p>
    <w:p w14:paraId="6F4D7A04" w14:textId="3BE172BF" w:rsidR="001262A6" w:rsidRPr="009E7AC9" w:rsidRDefault="001262A6">
      <w:pPr>
        <w:rPr>
          <w:rFonts w:ascii="Times New Roman" w:eastAsia="Times New Roman" w:hAnsi="Times New Roman" w:cs="Times New Roman"/>
        </w:rPr>
      </w:pPr>
    </w:p>
    <w:p w14:paraId="52FBE866" w14:textId="190B37AD" w:rsidR="00662213" w:rsidRPr="009E7AC9" w:rsidRDefault="00662213">
      <w:pPr>
        <w:rPr>
          <w:rFonts w:ascii="Times New Roman" w:eastAsia="Times New Roman" w:hAnsi="Times New Roman" w:cs="Times New Roman"/>
        </w:rPr>
      </w:pPr>
      <w:r w:rsidRPr="009E7AC9">
        <w:rPr>
          <w:rFonts w:ascii="Times New Roman" w:eastAsia="Times New Roman" w:hAnsi="Times New Roman" w:cs="Times New Roman"/>
          <w:b/>
          <w:bCs/>
        </w:rPr>
        <w:t>Project Repository</w:t>
      </w:r>
      <w:r w:rsidR="009E7AC9">
        <w:rPr>
          <w:rFonts w:ascii="Times New Roman" w:eastAsia="Times New Roman" w:hAnsi="Times New Roman" w:cs="Times New Roman"/>
          <w:b/>
          <w:bCs/>
        </w:rPr>
        <w:t xml:space="preserve">: </w:t>
      </w:r>
      <w:r w:rsidR="009E7AC9" w:rsidRPr="009E7AC9">
        <w:rPr>
          <w:rFonts w:ascii="Times New Roman" w:eastAsia="Times New Roman" w:hAnsi="Times New Roman" w:cs="Times New Roman"/>
        </w:rPr>
        <w:t>https://github.com/CeceliaAi/GIS5572/tree/master/Final%20Project</w:t>
      </w:r>
    </w:p>
    <w:p w14:paraId="5B0ECA2A" w14:textId="77777777" w:rsidR="00662213" w:rsidRPr="009E7AC9" w:rsidRDefault="00662213">
      <w:pPr>
        <w:rPr>
          <w:rFonts w:ascii="Times New Roman" w:eastAsia="Times New Roman" w:hAnsi="Times New Roman" w:cs="Times New Roman"/>
        </w:rPr>
      </w:pPr>
    </w:p>
    <w:p w14:paraId="0A4EE2D1" w14:textId="77777777" w:rsidR="001262A6" w:rsidRPr="009E7AC9" w:rsidRDefault="00835A27">
      <w:pPr>
        <w:rPr>
          <w:rFonts w:ascii="Times New Roman" w:eastAsia="Times New Roman" w:hAnsi="Times New Roman" w:cs="Times New Roman"/>
        </w:rPr>
      </w:pPr>
      <w:r w:rsidRPr="009E7AC9">
        <w:rPr>
          <w:rFonts w:ascii="Times New Roman" w:eastAsia="Times New Roman" w:hAnsi="Times New Roman" w:cs="Times New Roman"/>
          <w:b/>
        </w:rPr>
        <w:t>Abstract</w:t>
      </w:r>
    </w:p>
    <w:p w14:paraId="2D649B2C" w14:textId="25400F8F" w:rsidR="009E7AC9" w:rsidRDefault="009E7AC9">
      <w:pPr>
        <w:rPr>
          <w:rFonts w:ascii="Times New Roman" w:eastAsia="Times New Roman" w:hAnsi="Times New Roman" w:cs="Times New Roman"/>
        </w:rPr>
      </w:pPr>
      <w:r>
        <w:rPr>
          <w:rFonts w:ascii="Times New Roman" w:eastAsia="Times New Roman" w:hAnsi="Times New Roman" w:cs="Times New Roman"/>
        </w:rPr>
        <w:t xml:space="preserve">In this project, I </w:t>
      </w:r>
      <w:r w:rsidR="00C50705">
        <w:rPr>
          <w:rFonts w:ascii="Times New Roman" w:eastAsia="Times New Roman" w:hAnsi="Times New Roman" w:cs="Times New Roman"/>
        </w:rPr>
        <w:t xml:space="preserve">performed </w:t>
      </w:r>
      <w:r>
        <w:rPr>
          <w:rFonts w:ascii="Times New Roman" w:eastAsia="Times New Roman" w:hAnsi="Times New Roman" w:cs="Times New Roman"/>
        </w:rPr>
        <w:t xml:space="preserve">a suitability analysis in ArcGIS Pro to </w:t>
      </w:r>
      <w:r w:rsidR="009E55F0">
        <w:rPr>
          <w:rFonts w:ascii="Times New Roman" w:eastAsia="Times New Roman" w:hAnsi="Times New Roman" w:cs="Times New Roman"/>
        </w:rPr>
        <w:t xml:space="preserve">determine the counties most in need of electrical energy infrastructure updates or installation. This project uses a variety of </w:t>
      </w:r>
      <w:r w:rsidR="00B86B9E">
        <w:rPr>
          <w:rFonts w:ascii="Times New Roman" w:eastAsia="Times New Roman" w:hAnsi="Times New Roman" w:cs="Times New Roman"/>
        </w:rPr>
        <w:t>criteria</w:t>
      </w:r>
      <w:r w:rsidR="009E55F0">
        <w:rPr>
          <w:rFonts w:ascii="Times New Roman" w:eastAsia="Times New Roman" w:hAnsi="Times New Roman" w:cs="Times New Roman"/>
        </w:rPr>
        <w:t xml:space="preserve"> to determine suitability, including NR</w:t>
      </w:r>
      <w:r w:rsidR="0074263C">
        <w:rPr>
          <w:rFonts w:ascii="Times New Roman" w:eastAsia="Times New Roman" w:hAnsi="Times New Roman" w:cs="Times New Roman"/>
        </w:rPr>
        <w:t>I</w:t>
      </w:r>
      <w:r w:rsidR="009E55F0">
        <w:rPr>
          <w:rFonts w:ascii="Times New Roman" w:eastAsia="Times New Roman" w:hAnsi="Times New Roman" w:cs="Times New Roman"/>
        </w:rPr>
        <w:t xml:space="preserve"> Risk </w:t>
      </w:r>
      <w:r w:rsidR="0074263C">
        <w:rPr>
          <w:rFonts w:ascii="Times New Roman" w:eastAsia="Times New Roman" w:hAnsi="Times New Roman" w:cs="Times New Roman"/>
        </w:rPr>
        <w:t>Score</w:t>
      </w:r>
      <w:r w:rsidR="009E55F0">
        <w:rPr>
          <w:rFonts w:ascii="Times New Roman" w:eastAsia="Times New Roman" w:hAnsi="Times New Roman" w:cs="Times New Roman"/>
        </w:rPr>
        <w:t>, population demographics, and renewable energy potential. Beginning with a table of high-need counties, I used Suitability Analysis tools to c</w:t>
      </w:r>
      <w:r w:rsidR="00C50705">
        <w:rPr>
          <w:rFonts w:ascii="Times New Roman" w:eastAsia="Times New Roman" w:hAnsi="Times New Roman" w:cs="Times New Roman"/>
        </w:rPr>
        <w:t>alculate</w:t>
      </w:r>
      <w:r w:rsidR="009E55F0">
        <w:rPr>
          <w:rFonts w:ascii="Times New Roman" w:eastAsia="Times New Roman" w:hAnsi="Times New Roman" w:cs="Times New Roman"/>
        </w:rPr>
        <w:t xml:space="preserve"> a suitability layer, a polygon </w:t>
      </w:r>
      <w:r w:rsidR="00C50705">
        <w:rPr>
          <w:rFonts w:ascii="Times New Roman" w:eastAsia="Times New Roman" w:hAnsi="Times New Roman" w:cs="Times New Roman"/>
        </w:rPr>
        <w:t>layer of georeferenced counties symbolized by priority</w:t>
      </w:r>
      <w:r w:rsidR="00A46F4A">
        <w:rPr>
          <w:rFonts w:ascii="Times New Roman" w:eastAsia="Times New Roman" w:hAnsi="Times New Roman" w:cs="Times New Roman"/>
        </w:rPr>
        <w:t xml:space="preserve">. The data I used was weighted by importance to the final output. The table of high-need counties was previously created by me to find counties with </w:t>
      </w:r>
      <w:r w:rsidR="003A2A03">
        <w:rPr>
          <w:rFonts w:ascii="Times New Roman" w:eastAsia="Times New Roman" w:hAnsi="Times New Roman" w:cs="Times New Roman"/>
        </w:rPr>
        <w:t>low</w:t>
      </w:r>
      <w:r w:rsidR="00A46F4A">
        <w:rPr>
          <w:rFonts w:ascii="Times New Roman" w:eastAsia="Times New Roman" w:hAnsi="Times New Roman" w:cs="Times New Roman"/>
        </w:rPr>
        <w:t xml:space="preserve"> infrastructure</w:t>
      </w:r>
      <w:r w:rsidR="003A2A03">
        <w:rPr>
          <w:rFonts w:ascii="Times New Roman" w:eastAsia="Times New Roman" w:hAnsi="Times New Roman" w:cs="Times New Roman"/>
        </w:rPr>
        <w:t xml:space="preserve"> per capita</w:t>
      </w:r>
      <w:r w:rsidR="00A46F4A">
        <w:rPr>
          <w:rFonts w:ascii="Times New Roman" w:eastAsia="Times New Roman" w:hAnsi="Times New Roman" w:cs="Times New Roman"/>
        </w:rPr>
        <w:t xml:space="preserve">. </w:t>
      </w:r>
      <w:r w:rsidR="00344678">
        <w:rPr>
          <w:rFonts w:ascii="Times New Roman" w:eastAsia="Times New Roman" w:hAnsi="Times New Roman" w:cs="Times New Roman"/>
        </w:rPr>
        <w:t>An important piece of this project was getting disparate information in one place, and in that the project was successful and the results accurate. One important factor in accurate results would have been data about most re</w:t>
      </w:r>
      <w:r w:rsidR="00F65D9F">
        <w:rPr>
          <w:rFonts w:ascii="Times New Roman" w:eastAsia="Times New Roman" w:hAnsi="Times New Roman" w:cs="Times New Roman"/>
        </w:rPr>
        <w:t xml:space="preserve">cent upgrades, which would be a significant factor in prioritizing future upgrades. </w:t>
      </w:r>
      <w:r w:rsidR="009F6CC0">
        <w:rPr>
          <w:rFonts w:ascii="Times New Roman" w:eastAsia="Times New Roman" w:hAnsi="Times New Roman" w:cs="Times New Roman"/>
        </w:rPr>
        <w:t xml:space="preserve">While the suitability analysis was successful, the argument could easily be made to include more factors, </w:t>
      </w:r>
      <w:r w:rsidR="00C50705">
        <w:rPr>
          <w:rFonts w:ascii="Times New Roman" w:eastAsia="Times New Roman" w:hAnsi="Times New Roman" w:cs="Times New Roman"/>
        </w:rPr>
        <w:t xml:space="preserve">and further discussion could be had about how the criteria were weighted. </w:t>
      </w:r>
      <w:r w:rsidR="009F6CC0">
        <w:rPr>
          <w:rFonts w:ascii="Times New Roman" w:eastAsia="Times New Roman" w:hAnsi="Times New Roman" w:cs="Times New Roman"/>
        </w:rPr>
        <w:t xml:space="preserve"> </w:t>
      </w:r>
      <w:r w:rsidR="003F15A1">
        <w:rPr>
          <w:rFonts w:ascii="Times New Roman" w:eastAsia="Times New Roman" w:hAnsi="Times New Roman" w:cs="Times New Roman"/>
        </w:rPr>
        <w:t xml:space="preserve"> </w:t>
      </w:r>
    </w:p>
    <w:p w14:paraId="49BC5597" w14:textId="77777777" w:rsidR="001262A6" w:rsidRPr="009E7AC9" w:rsidRDefault="001262A6">
      <w:pPr>
        <w:rPr>
          <w:rFonts w:ascii="Times New Roman" w:eastAsia="Times New Roman" w:hAnsi="Times New Roman" w:cs="Times New Roman"/>
        </w:rPr>
      </w:pPr>
    </w:p>
    <w:p w14:paraId="592C5FD0" w14:textId="77777777" w:rsidR="001262A6" w:rsidRPr="009E7AC9" w:rsidRDefault="00835A27">
      <w:pPr>
        <w:rPr>
          <w:rFonts w:ascii="Times New Roman" w:eastAsia="Times New Roman" w:hAnsi="Times New Roman" w:cs="Times New Roman"/>
          <w:b/>
        </w:rPr>
      </w:pPr>
      <w:r w:rsidRPr="009E7AC9">
        <w:rPr>
          <w:rFonts w:ascii="Times New Roman" w:eastAsia="Times New Roman" w:hAnsi="Times New Roman" w:cs="Times New Roman"/>
          <w:b/>
        </w:rPr>
        <w:t>Problem Statement</w:t>
      </w:r>
    </w:p>
    <w:p w14:paraId="2EBF4562" w14:textId="77F06C65" w:rsidR="009E7AC9" w:rsidRPr="009E7AC9" w:rsidRDefault="009A3BF7" w:rsidP="009E7AC9">
      <w:pPr>
        <w:rPr>
          <w:rFonts w:ascii="Times New Roman" w:eastAsia="Times New Roman" w:hAnsi="Times New Roman" w:cs="Times New Roman"/>
        </w:rPr>
      </w:pPr>
      <w:r>
        <w:rPr>
          <w:rFonts w:ascii="Times New Roman" w:eastAsia="Times New Roman" w:hAnsi="Times New Roman" w:cs="Times New Roman"/>
        </w:rPr>
        <w:t xml:space="preserve">The problem is to prioritize counties in need of electrical infrastructure based on their demographic profile. To do this, I ran a suitability analysis, beginning with a base table of counties in need of physical infrastructure, and adding in demographics variables. </w:t>
      </w:r>
      <w:r w:rsidR="00EE7F0F">
        <w:rPr>
          <w:rFonts w:ascii="Times New Roman" w:eastAsia="Times New Roman" w:hAnsi="Times New Roman" w:cs="Times New Roman"/>
        </w:rPr>
        <w:t>The tools are simple to run. The real difficulty of using the suitability layer to appropriately weight the variables. Table 1 shows only rows for the two major steps, but each one requires iterative testing of the data, specifically the weighting of each criterion.</w:t>
      </w:r>
    </w:p>
    <w:p w14:paraId="2E49B59F" w14:textId="77777777" w:rsidR="001262A6" w:rsidRPr="009E7AC9" w:rsidRDefault="001262A6">
      <w:pPr>
        <w:rPr>
          <w:rFonts w:ascii="Times New Roman" w:eastAsia="Times New Roman" w:hAnsi="Times New Roman" w:cs="Times New Roman"/>
          <w:sz w:val="20"/>
          <w:szCs w:val="20"/>
        </w:rPr>
      </w:pPr>
    </w:p>
    <w:p w14:paraId="5CC9513A" w14:textId="77777777" w:rsidR="001262A6" w:rsidRPr="009E7AC9" w:rsidRDefault="001262A6">
      <w:pPr>
        <w:rPr>
          <w:rFonts w:ascii="Times New Roman" w:eastAsia="Times New Roman" w:hAnsi="Times New Roman" w:cs="Times New Roman"/>
          <w:i/>
          <w:sz w:val="20"/>
          <w:szCs w:val="20"/>
        </w:rPr>
      </w:pPr>
    </w:p>
    <w:p w14:paraId="323E0E50" w14:textId="57D31A0D" w:rsidR="001262A6" w:rsidRPr="009E7AC9" w:rsidRDefault="00835A27">
      <w:pPr>
        <w:rPr>
          <w:rFonts w:ascii="Times New Roman" w:eastAsia="Times New Roman" w:hAnsi="Times New Roman" w:cs="Times New Roman"/>
          <w:i/>
          <w:sz w:val="20"/>
          <w:szCs w:val="20"/>
        </w:rPr>
      </w:pPr>
      <w:r w:rsidRPr="009E7AC9">
        <w:rPr>
          <w:rFonts w:ascii="Times New Roman" w:eastAsia="Times New Roman" w:hAnsi="Times New Roman" w:cs="Times New Roman"/>
          <w:i/>
          <w:sz w:val="20"/>
          <w:szCs w:val="20"/>
        </w:rPr>
        <w:t>Table 1.</w:t>
      </w:r>
      <w:r w:rsidR="00C34180">
        <w:rPr>
          <w:rFonts w:ascii="Times New Roman" w:eastAsia="Times New Roman" w:hAnsi="Times New Roman" w:cs="Times New Roman"/>
          <w:i/>
          <w:sz w:val="20"/>
          <w:szCs w:val="20"/>
        </w:rPr>
        <w:t xml:space="preserve"> </w:t>
      </w:r>
      <w:r w:rsidR="008E419D">
        <w:rPr>
          <w:rFonts w:ascii="Times New Roman" w:eastAsia="Times New Roman" w:hAnsi="Times New Roman" w:cs="Times New Roman"/>
          <w:i/>
          <w:sz w:val="20"/>
          <w:szCs w:val="20"/>
        </w:rPr>
        <w:t>Data requirements</w:t>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324"/>
      </w:tblGrid>
      <w:tr w:rsidR="009E7AC9" w:rsidRPr="009E7AC9" w14:paraId="2BB1AB83" w14:textId="77777777" w:rsidTr="00393467">
        <w:tc>
          <w:tcPr>
            <w:tcW w:w="340" w:type="dxa"/>
          </w:tcPr>
          <w:p w14:paraId="11B7F0A7"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w:t>
            </w:r>
          </w:p>
        </w:tc>
        <w:tc>
          <w:tcPr>
            <w:tcW w:w="1365" w:type="dxa"/>
          </w:tcPr>
          <w:p w14:paraId="5897E51F"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Requirement</w:t>
            </w:r>
          </w:p>
        </w:tc>
        <w:tc>
          <w:tcPr>
            <w:tcW w:w="2382" w:type="dxa"/>
          </w:tcPr>
          <w:p w14:paraId="563DC7C7"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Defined As</w:t>
            </w:r>
          </w:p>
        </w:tc>
        <w:tc>
          <w:tcPr>
            <w:tcW w:w="1575" w:type="dxa"/>
          </w:tcPr>
          <w:p w14:paraId="1B25FE41"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Spatial Data</w:t>
            </w:r>
          </w:p>
        </w:tc>
        <w:tc>
          <w:tcPr>
            <w:tcW w:w="1356" w:type="dxa"/>
          </w:tcPr>
          <w:p w14:paraId="1B97B8BD"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Attribute Data</w:t>
            </w:r>
          </w:p>
        </w:tc>
        <w:tc>
          <w:tcPr>
            <w:tcW w:w="1193" w:type="dxa"/>
          </w:tcPr>
          <w:p w14:paraId="2696FC2F"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Dataset</w:t>
            </w:r>
          </w:p>
        </w:tc>
        <w:tc>
          <w:tcPr>
            <w:tcW w:w="1324" w:type="dxa"/>
          </w:tcPr>
          <w:p w14:paraId="09556288"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Preparation</w:t>
            </w:r>
          </w:p>
        </w:tc>
      </w:tr>
      <w:tr w:rsidR="009E7AC9" w:rsidRPr="009E7AC9" w14:paraId="36960BA8" w14:textId="77777777" w:rsidTr="00393467">
        <w:tc>
          <w:tcPr>
            <w:tcW w:w="340" w:type="dxa"/>
          </w:tcPr>
          <w:p w14:paraId="5A0D8B98" w14:textId="77777777" w:rsidR="001262A6" w:rsidRPr="009E7AC9" w:rsidRDefault="00835A27">
            <w:pPr>
              <w:rPr>
                <w:rFonts w:ascii="Times New Roman" w:eastAsia="Times New Roman" w:hAnsi="Times New Roman" w:cs="Times New Roman"/>
                <w:sz w:val="20"/>
                <w:szCs w:val="20"/>
              </w:rPr>
            </w:pPr>
            <w:r w:rsidRPr="009E7AC9">
              <w:rPr>
                <w:rFonts w:ascii="Times New Roman" w:eastAsia="Times New Roman" w:hAnsi="Times New Roman" w:cs="Times New Roman"/>
                <w:sz w:val="20"/>
                <w:szCs w:val="20"/>
              </w:rPr>
              <w:t>1</w:t>
            </w:r>
          </w:p>
        </w:tc>
        <w:tc>
          <w:tcPr>
            <w:tcW w:w="1365" w:type="dxa"/>
          </w:tcPr>
          <w:p w14:paraId="54B1193D" w14:textId="70D69E53" w:rsidR="001262A6" w:rsidRPr="009E7AC9" w:rsidRDefault="0074263C">
            <w:pPr>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 sites</w:t>
            </w:r>
            <w:r w:rsidR="00C34180">
              <w:rPr>
                <w:rFonts w:ascii="Times New Roman" w:eastAsia="Times New Roman" w:hAnsi="Times New Roman" w:cs="Times New Roman"/>
                <w:sz w:val="20"/>
                <w:szCs w:val="20"/>
              </w:rPr>
              <w:t xml:space="preserve"> as suitability layer</w:t>
            </w:r>
          </w:p>
        </w:tc>
        <w:tc>
          <w:tcPr>
            <w:tcW w:w="2382" w:type="dxa"/>
          </w:tcPr>
          <w:p w14:paraId="29221CE4" w14:textId="014D1E65"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of </w:t>
            </w:r>
            <w:r w:rsidR="00C34180">
              <w:rPr>
                <w:rFonts w:ascii="Times New Roman" w:eastAsia="Times New Roman" w:hAnsi="Times New Roman" w:cs="Times New Roman"/>
                <w:sz w:val="20"/>
                <w:szCs w:val="20"/>
              </w:rPr>
              <w:t>high-need counties</w:t>
            </w:r>
          </w:p>
        </w:tc>
        <w:tc>
          <w:tcPr>
            <w:tcW w:w="1575" w:type="dxa"/>
          </w:tcPr>
          <w:p w14:paraId="1CBB279A" w14:textId="2251EA1B"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Polygons</w:t>
            </w:r>
          </w:p>
        </w:tc>
        <w:tc>
          <w:tcPr>
            <w:tcW w:w="1356" w:type="dxa"/>
          </w:tcPr>
          <w:p w14:paraId="52EB1171" w14:textId="009DAA06" w:rsidR="001262A6" w:rsidRPr="009E7AC9" w:rsidRDefault="00C34180">
            <w:pPr>
              <w:rPr>
                <w:rFonts w:ascii="Times New Roman" w:eastAsia="Times New Roman" w:hAnsi="Times New Roman" w:cs="Times New Roman"/>
                <w:sz w:val="20"/>
                <w:szCs w:val="20"/>
              </w:rPr>
            </w:pPr>
            <w:r>
              <w:rPr>
                <w:rFonts w:ascii="Times New Roman" w:eastAsia="Times New Roman" w:hAnsi="Times New Roman" w:cs="Times New Roman"/>
                <w:sz w:val="20"/>
                <w:szCs w:val="20"/>
              </w:rPr>
              <w:t>County assets</w:t>
            </w:r>
          </w:p>
        </w:tc>
        <w:tc>
          <w:tcPr>
            <w:tcW w:w="1193" w:type="dxa"/>
          </w:tcPr>
          <w:p w14:paraId="1F08F55E" w14:textId="3C381DF2" w:rsidR="001262A6" w:rsidRPr="009E7AC9" w:rsidRDefault="008E419D">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r w:rsidR="00393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Need</w:t>
            </w:r>
            <w:r w:rsidR="003934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Counties</w:t>
            </w:r>
          </w:p>
        </w:tc>
        <w:tc>
          <w:tcPr>
            <w:tcW w:w="1324" w:type="dxa"/>
          </w:tcPr>
          <w:p w14:paraId="35B9DE68" w14:textId="523EE709" w:rsidR="001262A6" w:rsidRPr="009E7AC9" w:rsidRDefault="00C34180">
            <w:pPr>
              <w:rPr>
                <w:rFonts w:ascii="Times New Roman" w:eastAsia="Times New Roman" w:hAnsi="Times New Roman" w:cs="Times New Roman"/>
                <w:sz w:val="20"/>
                <w:szCs w:val="20"/>
              </w:rPr>
            </w:pPr>
            <w:r>
              <w:rPr>
                <w:rFonts w:ascii="Times New Roman" w:eastAsia="Times New Roman" w:hAnsi="Times New Roman" w:cs="Times New Roman"/>
                <w:sz w:val="20"/>
                <w:szCs w:val="20"/>
              </w:rPr>
              <w:t>Previously prepared</w:t>
            </w:r>
          </w:p>
        </w:tc>
      </w:tr>
      <w:tr w:rsidR="009E7AC9" w:rsidRPr="009E7AC9" w14:paraId="0850F9AF" w14:textId="77777777" w:rsidTr="00393467">
        <w:tc>
          <w:tcPr>
            <w:tcW w:w="340" w:type="dxa"/>
          </w:tcPr>
          <w:p w14:paraId="3549F7A3" w14:textId="77777777" w:rsidR="001262A6" w:rsidRPr="009E7AC9" w:rsidRDefault="00835A27">
            <w:pPr>
              <w:rPr>
                <w:rFonts w:ascii="Times New Roman" w:eastAsia="Times New Roman" w:hAnsi="Times New Roman" w:cs="Times New Roman"/>
                <w:sz w:val="20"/>
                <w:szCs w:val="20"/>
              </w:rPr>
            </w:pPr>
            <w:r w:rsidRPr="009E7AC9">
              <w:rPr>
                <w:rFonts w:ascii="Times New Roman" w:eastAsia="Times New Roman" w:hAnsi="Times New Roman" w:cs="Times New Roman"/>
                <w:sz w:val="20"/>
                <w:szCs w:val="20"/>
              </w:rPr>
              <w:t>2</w:t>
            </w:r>
          </w:p>
        </w:tc>
        <w:tc>
          <w:tcPr>
            <w:tcW w:w="1365" w:type="dxa"/>
          </w:tcPr>
          <w:p w14:paraId="71ADE641" w14:textId="13FD634A"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Suitability </w:t>
            </w:r>
            <w:r w:rsidR="00C34180">
              <w:rPr>
                <w:rFonts w:ascii="Times New Roman" w:eastAsia="Times New Roman" w:hAnsi="Times New Roman" w:cs="Times New Roman"/>
                <w:sz w:val="20"/>
                <w:szCs w:val="20"/>
              </w:rPr>
              <w:t>analysis</w:t>
            </w:r>
          </w:p>
        </w:tc>
        <w:tc>
          <w:tcPr>
            <w:tcW w:w="2382" w:type="dxa"/>
          </w:tcPr>
          <w:p w14:paraId="376734BD" w14:textId="366DC688" w:rsidR="001262A6" w:rsidRPr="009E7AC9" w:rsidRDefault="0074263C">
            <w:pPr>
              <w:rPr>
                <w:rFonts w:ascii="Times New Roman" w:eastAsia="Times New Roman" w:hAnsi="Times New Roman" w:cs="Times New Roman"/>
                <w:sz w:val="20"/>
                <w:szCs w:val="20"/>
              </w:rPr>
            </w:pPr>
            <w:r>
              <w:rPr>
                <w:rFonts w:ascii="Times New Roman" w:eastAsia="Times New Roman" w:hAnsi="Times New Roman" w:cs="Times New Roman"/>
                <w:sz w:val="20"/>
                <w:szCs w:val="20"/>
              </w:rPr>
              <w:t>NRI Risk Score</w:t>
            </w:r>
            <w:r w:rsidR="00B86B9E">
              <w:rPr>
                <w:rFonts w:ascii="Times New Roman" w:eastAsia="Times New Roman" w:hAnsi="Times New Roman" w:cs="Times New Roman"/>
                <w:sz w:val="20"/>
                <w:szCs w:val="20"/>
              </w:rPr>
              <w:t xml:space="preserve">, </w:t>
            </w:r>
            <w:r w:rsidR="00C34180">
              <w:rPr>
                <w:rFonts w:ascii="Times New Roman" w:eastAsia="Times New Roman" w:hAnsi="Times New Roman" w:cs="Times New Roman"/>
                <w:sz w:val="20"/>
                <w:szCs w:val="20"/>
              </w:rPr>
              <w:t>demographic data, and renewable energy potential</w:t>
            </w:r>
          </w:p>
        </w:tc>
        <w:tc>
          <w:tcPr>
            <w:tcW w:w="1575" w:type="dxa"/>
          </w:tcPr>
          <w:p w14:paraId="0D5F0A82" w14:textId="3EED11A5" w:rsidR="001262A6" w:rsidRPr="009E7AC9" w:rsidRDefault="00C50705">
            <w:pPr>
              <w:rPr>
                <w:rFonts w:ascii="Times New Roman" w:eastAsia="Times New Roman" w:hAnsi="Times New Roman" w:cs="Times New Roman"/>
                <w:sz w:val="20"/>
                <w:szCs w:val="20"/>
              </w:rPr>
            </w:pPr>
            <w:r>
              <w:rPr>
                <w:rFonts w:ascii="Times New Roman" w:eastAsia="Times New Roman" w:hAnsi="Times New Roman" w:cs="Times New Roman"/>
                <w:sz w:val="20"/>
                <w:szCs w:val="20"/>
              </w:rPr>
              <w:t>Shapefiles organized by county</w:t>
            </w:r>
          </w:p>
        </w:tc>
        <w:tc>
          <w:tcPr>
            <w:tcW w:w="1356" w:type="dxa"/>
          </w:tcPr>
          <w:p w14:paraId="1222DA85" w14:textId="7ACA496C" w:rsidR="001262A6" w:rsidRPr="009E7AC9" w:rsidRDefault="00C34180">
            <w:pPr>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w:t>
            </w:r>
          </w:p>
        </w:tc>
        <w:tc>
          <w:tcPr>
            <w:tcW w:w="1193" w:type="dxa"/>
          </w:tcPr>
          <w:p w14:paraId="5E25EA1F" w14:textId="7887BECC" w:rsidR="001262A6" w:rsidRPr="009E7AC9" w:rsidRDefault="00C34180">
            <w:pPr>
              <w:rPr>
                <w:rFonts w:ascii="Times New Roman" w:eastAsia="Times New Roman" w:hAnsi="Times New Roman" w:cs="Times New Roman"/>
                <w:sz w:val="20"/>
                <w:szCs w:val="20"/>
              </w:rPr>
            </w:pPr>
            <w:r>
              <w:rPr>
                <w:rFonts w:ascii="Times New Roman" w:eastAsia="Times New Roman" w:hAnsi="Times New Roman" w:cs="Times New Roman"/>
                <w:sz w:val="20"/>
                <w:szCs w:val="20"/>
              </w:rPr>
              <w:t>Multiple; see next table</w:t>
            </w:r>
          </w:p>
        </w:tc>
        <w:tc>
          <w:tcPr>
            <w:tcW w:w="1324" w:type="dxa"/>
          </w:tcPr>
          <w:p w14:paraId="6F937DE0" w14:textId="32C6A457" w:rsidR="001262A6" w:rsidRPr="009E7AC9" w:rsidRDefault="00C34180">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Grouped by county, joined to shapefile</w:t>
            </w:r>
          </w:p>
        </w:tc>
      </w:tr>
    </w:tbl>
    <w:p w14:paraId="3290FE05" w14:textId="77777777" w:rsidR="001262A6" w:rsidRPr="009E7AC9" w:rsidRDefault="001262A6">
      <w:pPr>
        <w:rPr>
          <w:rFonts w:ascii="Times New Roman" w:eastAsia="Times New Roman" w:hAnsi="Times New Roman" w:cs="Times New Roman"/>
          <w:sz w:val="20"/>
          <w:szCs w:val="20"/>
        </w:rPr>
      </w:pPr>
    </w:p>
    <w:p w14:paraId="7F6DE0B3" w14:textId="77777777" w:rsidR="001262A6" w:rsidRPr="009E7AC9" w:rsidRDefault="001262A6">
      <w:pPr>
        <w:rPr>
          <w:rFonts w:ascii="Times New Roman" w:eastAsia="Times New Roman" w:hAnsi="Times New Roman" w:cs="Times New Roman"/>
          <w:sz w:val="20"/>
          <w:szCs w:val="20"/>
        </w:rPr>
      </w:pPr>
    </w:p>
    <w:p w14:paraId="35523FE5" w14:textId="77777777" w:rsidR="001262A6" w:rsidRPr="009E7AC9" w:rsidRDefault="001262A6">
      <w:pPr>
        <w:rPr>
          <w:rFonts w:ascii="Times New Roman" w:eastAsia="Times New Roman" w:hAnsi="Times New Roman" w:cs="Times New Roman"/>
          <w:sz w:val="20"/>
          <w:szCs w:val="20"/>
        </w:rPr>
      </w:pPr>
    </w:p>
    <w:p w14:paraId="2F69FA40" w14:textId="77777777" w:rsidR="001262A6" w:rsidRPr="009E7AC9" w:rsidRDefault="00835A27">
      <w:pPr>
        <w:rPr>
          <w:rFonts w:ascii="Times New Roman" w:eastAsia="Times New Roman" w:hAnsi="Times New Roman" w:cs="Times New Roman"/>
          <w:b/>
        </w:rPr>
      </w:pPr>
      <w:r w:rsidRPr="009E7AC9">
        <w:rPr>
          <w:rFonts w:ascii="Times New Roman" w:eastAsia="Times New Roman" w:hAnsi="Times New Roman" w:cs="Times New Roman"/>
          <w:b/>
        </w:rPr>
        <w:t>Input Data</w:t>
      </w:r>
    </w:p>
    <w:p w14:paraId="2759307D" w14:textId="4C77E180" w:rsidR="00C34180" w:rsidRPr="009E7AC9" w:rsidRDefault="003F4C57" w:rsidP="009E7AC9">
      <w:pPr>
        <w:rPr>
          <w:rFonts w:ascii="Times New Roman" w:eastAsia="Times New Roman" w:hAnsi="Times New Roman" w:cs="Times New Roman"/>
        </w:rPr>
      </w:pPr>
      <w:r>
        <w:rPr>
          <w:rFonts w:ascii="Times New Roman" w:eastAsia="Times New Roman" w:hAnsi="Times New Roman" w:cs="Times New Roman"/>
        </w:rPr>
        <w:lastRenderedPageBreak/>
        <w:t>Th</w:t>
      </w:r>
      <w:r w:rsidR="00BA0523">
        <w:rPr>
          <w:rFonts w:ascii="Times New Roman" w:eastAsia="Times New Roman" w:hAnsi="Times New Roman" w:cs="Times New Roman"/>
        </w:rPr>
        <w:t xml:space="preserve">e </w:t>
      </w:r>
      <w:r w:rsidR="00C50705">
        <w:rPr>
          <w:rFonts w:ascii="Times New Roman" w:eastAsia="Times New Roman" w:hAnsi="Times New Roman" w:cs="Times New Roman"/>
        </w:rPr>
        <w:t xml:space="preserve">number </w:t>
      </w:r>
      <w:r w:rsidR="00BA0523">
        <w:rPr>
          <w:rFonts w:ascii="Times New Roman" w:eastAsia="Times New Roman" w:hAnsi="Times New Roman" w:cs="Times New Roman"/>
        </w:rPr>
        <w:t>of variables that could be used for a suitability analysis is infinite. My cutoff was based on what data was available country-wide at a county level. First</w:t>
      </w:r>
      <w:r w:rsidR="00A91218">
        <w:rPr>
          <w:rFonts w:ascii="Times New Roman" w:eastAsia="Times New Roman" w:hAnsi="Times New Roman" w:cs="Times New Roman"/>
        </w:rPr>
        <w:t>,</w:t>
      </w:r>
      <w:r w:rsidR="00BA0523">
        <w:rPr>
          <w:rFonts w:ascii="Times New Roman" w:eastAsia="Times New Roman" w:hAnsi="Times New Roman" w:cs="Times New Roman"/>
        </w:rPr>
        <w:t xml:space="preserve"> I created a table of infrastructure needs that tracked physical county assets (High Need Counties). This dataset includes electrical power plants, substations, and transmission lines. It also factors in current energy consumption. For my suitability analysis, I used demographic data, population growth, and income data from Esri’s data browser, and renewable energy potential from USGS. The last piece of data was the NRI Risk Score for each county, which determines risk from natural hazards. </w:t>
      </w:r>
    </w:p>
    <w:p w14:paraId="43D04605" w14:textId="77777777" w:rsidR="001262A6" w:rsidRPr="009E7AC9" w:rsidRDefault="001262A6">
      <w:pPr>
        <w:rPr>
          <w:rFonts w:ascii="Times New Roman" w:eastAsia="Times New Roman" w:hAnsi="Times New Roman" w:cs="Times New Roman"/>
          <w:i/>
          <w:sz w:val="20"/>
          <w:szCs w:val="20"/>
        </w:rPr>
      </w:pPr>
    </w:p>
    <w:p w14:paraId="281B0C3A" w14:textId="2CD4BF18" w:rsidR="001262A6" w:rsidRPr="009E7AC9" w:rsidRDefault="00835A27">
      <w:pPr>
        <w:rPr>
          <w:rFonts w:ascii="Times New Roman" w:eastAsia="Times New Roman" w:hAnsi="Times New Roman" w:cs="Times New Roman"/>
          <w:i/>
          <w:sz w:val="20"/>
          <w:szCs w:val="20"/>
        </w:rPr>
      </w:pPr>
      <w:r w:rsidRPr="009E7AC9">
        <w:rPr>
          <w:rFonts w:ascii="Times New Roman" w:eastAsia="Times New Roman" w:hAnsi="Times New Roman" w:cs="Times New Roman"/>
          <w:i/>
          <w:sz w:val="20"/>
          <w:szCs w:val="20"/>
        </w:rPr>
        <w:t xml:space="preserve">Table 2. </w:t>
      </w:r>
      <w:r w:rsidR="00C34180">
        <w:rPr>
          <w:rFonts w:ascii="Times New Roman" w:eastAsia="Times New Roman" w:hAnsi="Times New Roman" w:cs="Times New Roman"/>
          <w:i/>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9E7AC9" w:rsidRPr="009E7AC9" w14:paraId="748F5CD3" w14:textId="77777777">
        <w:tc>
          <w:tcPr>
            <w:tcW w:w="383" w:type="dxa"/>
          </w:tcPr>
          <w:p w14:paraId="30B0E1D1"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w:t>
            </w:r>
          </w:p>
        </w:tc>
        <w:tc>
          <w:tcPr>
            <w:tcW w:w="1952" w:type="dxa"/>
          </w:tcPr>
          <w:p w14:paraId="0CD3D31D"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Title</w:t>
            </w:r>
          </w:p>
        </w:tc>
        <w:tc>
          <w:tcPr>
            <w:tcW w:w="4590" w:type="dxa"/>
          </w:tcPr>
          <w:p w14:paraId="3556BE40"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Purpose in Analysis</w:t>
            </w:r>
          </w:p>
        </w:tc>
        <w:tc>
          <w:tcPr>
            <w:tcW w:w="2425" w:type="dxa"/>
          </w:tcPr>
          <w:p w14:paraId="5BCD785D" w14:textId="77777777" w:rsidR="001262A6" w:rsidRPr="009E7AC9" w:rsidRDefault="00835A27">
            <w:pPr>
              <w:rPr>
                <w:rFonts w:ascii="Times New Roman" w:eastAsia="Times New Roman" w:hAnsi="Times New Roman" w:cs="Times New Roman"/>
                <w:b/>
                <w:bCs/>
                <w:sz w:val="20"/>
                <w:szCs w:val="20"/>
              </w:rPr>
            </w:pPr>
            <w:r w:rsidRPr="009E7AC9">
              <w:rPr>
                <w:rFonts w:ascii="Times New Roman" w:eastAsia="Times New Roman" w:hAnsi="Times New Roman" w:cs="Times New Roman"/>
                <w:b/>
                <w:bCs/>
                <w:sz w:val="20"/>
                <w:szCs w:val="20"/>
              </w:rPr>
              <w:t>Link to Source</w:t>
            </w:r>
          </w:p>
        </w:tc>
      </w:tr>
      <w:tr w:rsidR="009E7AC9" w:rsidRPr="009E7AC9" w14:paraId="7992BC85" w14:textId="77777777">
        <w:tc>
          <w:tcPr>
            <w:tcW w:w="383" w:type="dxa"/>
          </w:tcPr>
          <w:p w14:paraId="3AE91113" w14:textId="77777777" w:rsidR="001262A6" w:rsidRPr="009E7AC9" w:rsidRDefault="00835A27">
            <w:pPr>
              <w:rPr>
                <w:rFonts w:ascii="Times New Roman" w:eastAsia="Times New Roman" w:hAnsi="Times New Roman" w:cs="Times New Roman"/>
                <w:sz w:val="20"/>
                <w:szCs w:val="20"/>
              </w:rPr>
            </w:pPr>
            <w:r w:rsidRPr="009E7AC9">
              <w:rPr>
                <w:rFonts w:ascii="Times New Roman" w:eastAsia="Times New Roman" w:hAnsi="Times New Roman" w:cs="Times New Roman"/>
                <w:sz w:val="20"/>
                <w:szCs w:val="20"/>
              </w:rPr>
              <w:t>1</w:t>
            </w:r>
          </w:p>
        </w:tc>
        <w:tc>
          <w:tcPr>
            <w:tcW w:w="1952" w:type="dxa"/>
          </w:tcPr>
          <w:p w14:paraId="1A40DAA6" w14:textId="201EC182" w:rsidR="001262A6" w:rsidRPr="009E7AC9" w:rsidRDefault="00BA0523">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 Need Counties Table</w:t>
            </w:r>
          </w:p>
        </w:tc>
        <w:tc>
          <w:tcPr>
            <w:tcW w:w="4590" w:type="dxa"/>
          </w:tcPr>
          <w:p w14:paraId="4510D67D" w14:textId="7FD0AA08" w:rsidR="001262A6" w:rsidRPr="009E7AC9" w:rsidRDefault="00952B1A">
            <w:pPr>
              <w:rPr>
                <w:rFonts w:ascii="Times New Roman" w:eastAsia="Times New Roman" w:hAnsi="Times New Roman" w:cs="Times New Roman"/>
                <w:sz w:val="20"/>
                <w:szCs w:val="20"/>
              </w:rPr>
            </w:pPr>
            <w:r>
              <w:rPr>
                <w:rFonts w:ascii="Times New Roman" w:eastAsia="Times New Roman" w:hAnsi="Times New Roman" w:cs="Times New Roman"/>
                <w:sz w:val="20"/>
                <w:szCs w:val="20"/>
              </w:rPr>
              <w:t>Base layer to make the suitability analysis layer</w:t>
            </w:r>
          </w:p>
        </w:tc>
        <w:tc>
          <w:tcPr>
            <w:tcW w:w="2425" w:type="dxa"/>
          </w:tcPr>
          <w:p w14:paraId="32015E7D" w14:textId="6ACD9338" w:rsidR="001262A6" w:rsidRPr="009E7AC9" w:rsidRDefault="00423853">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myself, sources are in References section</w:t>
            </w:r>
          </w:p>
        </w:tc>
      </w:tr>
      <w:tr w:rsidR="009E7AC9" w:rsidRPr="009E7AC9" w14:paraId="034D10DF" w14:textId="77777777">
        <w:tc>
          <w:tcPr>
            <w:tcW w:w="383" w:type="dxa"/>
          </w:tcPr>
          <w:p w14:paraId="0D5735BA" w14:textId="77777777" w:rsidR="001262A6" w:rsidRPr="009E7AC9" w:rsidRDefault="00835A27">
            <w:pPr>
              <w:rPr>
                <w:rFonts w:ascii="Times New Roman" w:eastAsia="Times New Roman" w:hAnsi="Times New Roman" w:cs="Times New Roman"/>
                <w:sz w:val="20"/>
                <w:szCs w:val="20"/>
              </w:rPr>
            </w:pPr>
            <w:r w:rsidRPr="009E7AC9">
              <w:rPr>
                <w:rFonts w:ascii="Times New Roman" w:eastAsia="Times New Roman" w:hAnsi="Times New Roman" w:cs="Times New Roman"/>
                <w:sz w:val="20"/>
                <w:szCs w:val="20"/>
              </w:rPr>
              <w:t>2</w:t>
            </w:r>
          </w:p>
        </w:tc>
        <w:tc>
          <w:tcPr>
            <w:tcW w:w="1952" w:type="dxa"/>
          </w:tcPr>
          <w:p w14:paraId="65B4DA57" w14:textId="4DEBE7A3"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NRI Risk Score</w:t>
            </w:r>
          </w:p>
        </w:tc>
        <w:tc>
          <w:tcPr>
            <w:tcW w:w="4590" w:type="dxa"/>
          </w:tcPr>
          <w:p w14:paraId="6629172A" w14:textId="139A60EE" w:rsidR="001262A6" w:rsidRPr="009E7AC9" w:rsidRDefault="00C50705">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which counties are at risk of natural disasters</w:t>
            </w:r>
          </w:p>
        </w:tc>
        <w:tc>
          <w:tcPr>
            <w:tcW w:w="2425" w:type="dxa"/>
          </w:tcPr>
          <w:p w14:paraId="516AA51C" w14:textId="21595FA2" w:rsidR="001262A6" w:rsidRPr="009E7AC9" w:rsidRDefault="0025720F">
            <w:pPr>
              <w:rPr>
                <w:rFonts w:ascii="Times New Roman" w:eastAsia="Times New Roman" w:hAnsi="Times New Roman" w:cs="Times New Roman"/>
                <w:sz w:val="20"/>
                <w:szCs w:val="20"/>
              </w:rPr>
            </w:pPr>
            <w:hyperlink r:id="rId7" w:history="1">
              <w:r w:rsidR="00423853" w:rsidRPr="00C50705">
                <w:rPr>
                  <w:rStyle w:val="Hyperlink"/>
                  <w:rFonts w:ascii="Times New Roman" w:eastAsia="Times New Roman" w:hAnsi="Times New Roman" w:cs="Times New Roman"/>
                  <w:sz w:val="20"/>
                  <w:szCs w:val="20"/>
                </w:rPr>
                <w:t>NRI</w:t>
              </w:r>
            </w:hyperlink>
          </w:p>
        </w:tc>
      </w:tr>
      <w:tr w:rsidR="009E7AC9" w:rsidRPr="009E7AC9" w14:paraId="60C6A36C" w14:textId="77777777">
        <w:tc>
          <w:tcPr>
            <w:tcW w:w="383" w:type="dxa"/>
          </w:tcPr>
          <w:p w14:paraId="3E8CEB7E" w14:textId="77777777" w:rsidR="001262A6" w:rsidRPr="009E7AC9" w:rsidRDefault="00835A27">
            <w:pPr>
              <w:rPr>
                <w:rFonts w:ascii="Times New Roman" w:eastAsia="Times New Roman" w:hAnsi="Times New Roman" w:cs="Times New Roman"/>
                <w:sz w:val="20"/>
                <w:szCs w:val="20"/>
              </w:rPr>
            </w:pPr>
            <w:r w:rsidRPr="009E7AC9">
              <w:rPr>
                <w:rFonts w:ascii="Times New Roman" w:eastAsia="Times New Roman" w:hAnsi="Times New Roman" w:cs="Times New Roman"/>
                <w:sz w:val="20"/>
                <w:szCs w:val="20"/>
              </w:rPr>
              <w:t>3</w:t>
            </w:r>
          </w:p>
        </w:tc>
        <w:tc>
          <w:tcPr>
            <w:tcW w:w="1952" w:type="dxa"/>
          </w:tcPr>
          <w:p w14:paraId="3F330842" w14:textId="3745EC1F"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Growth</w:t>
            </w:r>
          </w:p>
        </w:tc>
        <w:tc>
          <w:tcPr>
            <w:tcW w:w="4590" w:type="dxa"/>
          </w:tcPr>
          <w:p w14:paraId="23D0A166" w14:textId="002F9121" w:rsidR="001262A6" w:rsidRPr="009E7AC9" w:rsidRDefault="00C50705">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demand on the infrastructure in the coming years</w:t>
            </w:r>
          </w:p>
        </w:tc>
        <w:tc>
          <w:tcPr>
            <w:tcW w:w="2425" w:type="dxa"/>
          </w:tcPr>
          <w:p w14:paraId="15CC7C3B" w14:textId="2FED8B9D" w:rsidR="001262A6" w:rsidRPr="009E7AC9" w:rsidRDefault="00423853">
            <w:pPr>
              <w:rPr>
                <w:rFonts w:ascii="Times New Roman" w:eastAsia="Times New Roman" w:hAnsi="Times New Roman" w:cs="Times New Roman"/>
                <w:sz w:val="20"/>
                <w:szCs w:val="20"/>
              </w:rPr>
            </w:pPr>
            <w:r>
              <w:rPr>
                <w:rFonts w:ascii="Times New Roman" w:eastAsia="Times New Roman" w:hAnsi="Times New Roman" w:cs="Times New Roman"/>
                <w:sz w:val="20"/>
                <w:szCs w:val="20"/>
              </w:rPr>
              <w:t>Esri Data Browser</w:t>
            </w:r>
          </w:p>
        </w:tc>
      </w:tr>
      <w:tr w:rsidR="001262A6" w:rsidRPr="009E7AC9" w14:paraId="421C6C16" w14:textId="77777777">
        <w:tc>
          <w:tcPr>
            <w:tcW w:w="383" w:type="dxa"/>
          </w:tcPr>
          <w:p w14:paraId="3F7844B8" w14:textId="0C6BA717"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tcPr>
          <w:p w14:paraId="03F1228F" w14:textId="087A632B" w:rsidR="001262A6"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Racial Demographics</w:t>
            </w:r>
          </w:p>
        </w:tc>
        <w:tc>
          <w:tcPr>
            <w:tcW w:w="4590" w:type="dxa"/>
          </w:tcPr>
          <w:p w14:paraId="54C78803" w14:textId="76A8B4DE" w:rsidR="001262A6" w:rsidRPr="009E7AC9" w:rsidRDefault="00A912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historically marginalized communities</w:t>
            </w:r>
          </w:p>
        </w:tc>
        <w:tc>
          <w:tcPr>
            <w:tcW w:w="2425" w:type="dxa"/>
          </w:tcPr>
          <w:p w14:paraId="05B9C08C" w14:textId="0E884C42" w:rsidR="001262A6" w:rsidRPr="009E7AC9" w:rsidRDefault="00423853">
            <w:pPr>
              <w:rPr>
                <w:rFonts w:ascii="Times New Roman" w:eastAsia="Times New Roman" w:hAnsi="Times New Roman" w:cs="Times New Roman"/>
                <w:sz w:val="20"/>
                <w:szCs w:val="20"/>
              </w:rPr>
            </w:pPr>
            <w:r>
              <w:rPr>
                <w:rFonts w:ascii="Times New Roman" w:eastAsia="Times New Roman" w:hAnsi="Times New Roman" w:cs="Times New Roman"/>
                <w:sz w:val="20"/>
                <w:szCs w:val="20"/>
              </w:rPr>
              <w:t>Esri Data Browser</w:t>
            </w:r>
          </w:p>
        </w:tc>
      </w:tr>
      <w:tr w:rsidR="00B86B9E" w:rsidRPr="009E7AC9" w14:paraId="793F2B09" w14:textId="77777777">
        <w:tc>
          <w:tcPr>
            <w:tcW w:w="383" w:type="dxa"/>
          </w:tcPr>
          <w:p w14:paraId="6DD7CC16" w14:textId="18F5D568"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2" w:type="dxa"/>
          </w:tcPr>
          <w:p w14:paraId="0ABD6CD8" w14:textId="3090E7FC"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Income</w:t>
            </w:r>
          </w:p>
        </w:tc>
        <w:tc>
          <w:tcPr>
            <w:tcW w:w="4590" w:type="dxa"/>
          </w:tcPr>
          <w:p w14:paraId="20054FE5" w14:textId="52D52493" w:rsidR="00B86B9E" w:rsidRPr="009E7AC9" w:rsidRDefault="00A912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low-income (and therefore potentially underfunded) communities</w:t>
            </w:r>
          </w:p>
        </w:tc>
        <w:tc>
          <w:tcPr>
            <w:tcW w:w="2425" w:type="dxa"/>
          </w:tcPr>
          <w:p w14:paraId="06D6CB3A" w14:textId="1DE23268" w:rsidR="00B86B9E" w:rsidRPr="009E7AC9" w:rsidRDefault="00423853">
            <w:pPr>
              <w:rPr>
                <w:rFonts w:ascii="Times New Roman" w:eastAsia="Times New Roman" w:hAnsi="Times New Roman" w:cs="Times New Roman"/>
                <w:sz w:val="20"/>
                <w:szCs w:val="20"/>
              </w:rPr>
            </w:pPr>
            <w:r>
              <w:rPr>
                <w:rFonts w:ascii="Times New Roman" w:eastAsia="Times New Roman" w:hAnsi="Times New Roman" w:cs="Times New Roman"/>
                <w:sz w:val="20"/>
                <w:szCs w:val="20"/>
              </w:rPr>
              <w:t>Esri Data Browser</w:t>
            </w:r>
          </w:p>
        </w:tc>
      </w:tr>
      <w:tr w:rsidR="00B86B9E" w:rsidRPr="009E7AC9" w14:paraId="521FF920" w14:textId="77777777">
        <w:tc>
          <w:tcPr>
            <w:tcW w:w="383" w:type="dxa"/>
          </w:tcPr>
          <w:p w14:paraId="7EA33067" w14:textId="2A08BC28"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952" w:type="dxa"/>
          </w:tcPr>
          <w:p w14:paraId="5584D2E2" w14:textId="46AB2F4E"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Geothermal Potential</w:t>
            </w:r>
          </w:p>
        </w:tc>
        <w:tc>
          <w:tcPr>
            <w:tcW w:w="4590" w:type="dxa"/>
          </w:tcPr>
          <w:p w14:paraId="639AFE7E" w14:textId="2550C802" w:rsidR="00B86B9E" w:rsidRPr="009E7AC9" w:rsidRDefault="00A912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renewable energy potential</w:t>
            </w:r>
          </w:p>
        </w:tc>
        <w:tc>
          <w:tcPr>
            <w:tcW w:w="2425" w:type="dxa"/>
          </w:tcPr>
          <w:p w14:paraId="4C22122C" w14:textId="35F438B1" w:rsidR="00B86B9E" w:rsidRPr="009E7AC9" w:rsidRDefault="0025720F">
            <w:pPr>
              <w:rPr>
                <w:rFonts w:ascii="Times New Roman" w:eastAsia="Times New Roman" w:hAnsi="Times New Roman" w:cs="Times New Roman"/>
                <w:sz w:val="20"/>
                <w:szCs w:val="20"/>
              </w:rPr>
            </w:pPr>
            <w:hyperlink r:id="rId8" w:history="1">
              <w:r w:rsidR="000A2BC7" w:rsidRPr="00C50705">
                <w:rPr>
                  <w:rStyle w:val="Hyperlink"/>
                  <w:rFonts w:ascii="Times New Roman" w:eastAsia="Times New Roman" w:hAnsi="Times New Roman" w:cs="Times New Roman"/>
                  <w:sz w:val="20"/>
                  <w:szCs w:val="20"/>
                </w:rPr>
                <w:t>USGS</w:t>
              </w:r>
            </w:hyperlink>
          </w:p>
        </w:tc>
      </w:tr>
      <w:tr w:rsidR="00B86B9E" w:rsidRPr="009E7AC9" w14:paraId="75567DBE" w14:textId="77777777">
        <w:tc>
          <w:tcPr>
            <w:tcW w:w="383" w:type="dxa"/>
          </w:tcPr>
          <w:p w14:paraId="54BFCCB7" w14:textId="2C271CC4"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952" w:type="dxa"/>
          </w:tcPr>
          <w:p w14:paraId="5D1D7679" w14:textId="6F3146B3" w:rsidR="00B86B9E"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Solar Potential</w:t>
            </w:r>
          </w:p>
        </w:tc>
        <w:tc>
          <w:tcPr>
            <w:tcW w:w="4590" w:type="dxa"/>
          </w:tcPr>
          <w:p w14:paraId="4E56F2AC" w14:textId="625CD57B" w:rsidR="00B86B9E" w:rsidRPr="009E7AC9" w:rsidRDefault="00A912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renewable energy potential</w:t>
            </w:r>
          </w:p>
        </w:tc>
        <w:tc>
          <w:tcPr>
            <w:tcW w:w="2425" w:type="dxa"/>
          </w:tcPr>
          <w:p w14:paraId="78A88DD8" w14:textId="7A0640BD" w:rsidR="00B86B9E" w:rsidRPr="009E7AC9" w:rsidRDefault="0025720F">
            <w:pPr>
              <w:rPr>
                <w:rFonts w:ascii="Times New Roman" w:eastAsia="Times New Roman" w:hAnsi="Times New Roman" w:cs="Times New Roman"/>
                <w:sz w:val="20"/>
                <w:szCs w:val="20"/>
              </w:rPr>
            </w:pPr>
            <w:hyperlink r:id="rId9" w:history="1">
              <w:r w:rsidR="000A2BC7" w:rsidRPr="00C50705">
                <w:rPr>
                  <w:rStyle w:val="Hyperlink"/>
                  <w:rFonts w:ascii="Times New Roman" w:eastAsia="Times New Roman" w:hAnsi="Times New Roman" w:cs="Times New Roman"/>
                  <w:sz w:val="20"/>
                  <w:szCs w:val="20"/>
                </w:rPr>
                <w:t>USGS</w:t>
              </w:r>
            </w:hyperlink>
          </w:p>
        </w:tc>
      </w:tr>
      <w:tr w:rsidR="00B86B9E" w:rsidRPr="009E7AC9" w14:paraId="6132B9E3" w14:textId="77777777">
        <w:tc>
          <w:tcPr>
            <w:tcW w:w="383" w:type="dxa"/>
          </w:tcPr>
          <w:p w14:paraId="08876930" w14:textId="73875F4F"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952" w:type="dxa"/>
          </w:tcPr>
          <w:p w14:paraId="4DDAFCE0" w14:textId="03E4A576" w:rsidR="00B86B9E"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 Generation Potential</w:t>
            </w:r>
          </w:p>
        </w:tc>
        <w:tc>
          <w:tcPr>
            <w:tcW w:w="4590" w:type="dxa"/>
          </w:tcPr>
          <w:p w14:paraId="6523FE2E" w14:textId="4D713BE3" w:rsidR="00B86B9E" w:rsidRPr="009E7AC9" w:rsidRDefault="00A91218">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renewable energy potential</w:t>
            </w:r>
          </w:p>
        </w:tc>
        <w:tc>
          <w:tcPr>
            <w:tcW w:w="2425" w:type="dxa"/>
          </w:tcPr>
          <w:p w14:paraId="30DB1EA0" w14:textId="6B2F8C3A" w:rsidR="00B86B9E" w:rsidRPr="009E7AC9" w:rsidRDefault="0025720F">
            <w:pPr>
              <w:rPr>
                <w:rFonts w:ascii="Times New Roman" w:eastAsia="Times New Roman" w:hAnsi="Times New Roman" w:cs="Times New Roman"/>
                <w:sz w:val="20"/>
                <w:szCs w:val="20"/>
              </w:rPr>
            </w:pPr>
            <w:hyperlink r:id="rId10" w:history="1">
              <w:r w:rsidR="000A2BC7" w:rsidRPr="00C50705">
                <w:rPr>
                  <w:rStyle w:val="Hyperlink"/>
                  <w:rFonts w:ascii="Times New Roman" w:eastAsia="Times New Roman" w:hAnsi="Times New Roman" w:cs="Times New Roman"/>
                  <w:sz w:val="20"/>
                  <w:szCs w:val="20"/>
                </w:rPr>
                <w:t>USGS</w:t>
              </w:r>
            </w:hyperlink>
          </w:p>
        </w:tc>
      </w:tr>
      <w:tr w:rsidR="00B86B9E" w:rsidRPr="009E7AC9" w14:paraId="476F270D" w14:textId="77777777">
        <w:tc>
          <w:tcPr>
            <w:tcW w:w="383" w:type="dxa"/>
          </w:tcPr>
          <w:p w14:paraId="5364F993" w14:textId="2B604290" w:rsidR="00B86B9E" w:rsidRPr="009E7AC9"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952" w:type="dxa"/>
          </w:tcPr>
          <w:p w14:paraId="63C75ABC" w14:textId="0222CEFE" w:rsidR="00B86B9E" w:rsidRDefault="00B86B9E">
            <w:pPr>
              <w:rPr>
                <w:rFonts w:ascii="Times New Roman" w:eastAsia="Times New Roman" w:hAnsi="Times New Roman" w:cs="Times New Roman"/>
                <w:sz w:val="20"/>
                <w:szCs w:val="20"/>
              </w:rPr>
            </w:pPr>
            <w:r>
              <w:rPr>
                <w:rFonts w:ascii="Times New Roman" w:eastAsia="Times New Roman" w:hAnsi="Times New Roman" w:cs="Times New Roman"/>
                <w:sz w:val="20"/>
                <w:szCs w:val="20"/>
              </w:rPr>
              <w:t>County Shapefile</w:t>
            </w:r>
          </w:p>
        </w:tc>
        <w:tc>
          <w:tcPr>
            <w:tcW w:w="4590" w:type="dxa"/>
          </w:tcPr>
          <w:p w14:paraId="71F0D26F" w14:textId="073417D6" w:rsidR="00B86B9E" w:rsidRPr="009E7AC9" w:rsidRDefault="00952B1A">
            <w:pPr>
              <w:rPr>
                <w:rFonts w:ascii="Times New Roman" w:eastAsia="Times New Roman" w:hAnsi="Times New Roman" w:cs="Times New Roman"/>
                <w:sz w:val="20"/>
                <w:szCs w:val="20"/>
              </w:rPr>
            </w:pPr>
            <w:r>
              <w:rPr>
                <w:rFonts w:ascii="Times New Roman" w:eastAsia="Times New Roman" w:hAnsi="Times New Roman" w:cs="Times New Roman"/>
                <w:sz w:val="20"/>
                <w:szCs w:val="20"/>
              </w:rPr>
              <w:t>Base layer shapefile to join tabular data</w:t>
            </w:r>
          </w:p>
        </w:tc>
        <w:tc>
          <w:tcPr>
            <w:tcW w:w="2425" w:type="dxa"/>
          </w:tcPr>
          <w:p w14:paraId="3EC5DAFE" w14:textId="4CA6FEC1" w:rsidR="00B86B9E" w:rsidRPr="009E7AC9" w:rsidRDefault="0025720F">
            <w:pPr>
              <w:rPr>
                <w:rFonts w:ascii="Times New Roman" w:eastAsia="Times New Roman" w:hAnsi="Times New Roman" w:cs="Times New Roman"/>
                <w:sz w:val="20"/>
                <w:szCs w:val="20"/>
              </w:rPr>
            </w:pPr>
            <w:hyperlink r:id="rId11" w:history="1">
              <w:r w:rsidR="00952B1A" w:rsidRPr="00C50705">
                <w:rPr>
                  <w:rStyle w:val="Hyperlink"/>
                  <w:rFonts w:ascii="Times New Roman" w:eastAsia="Times New Roman" w:hAnsi="Times New Roman" w:cs="Times New Roman"/>
                  <w:sz w:val="20"/>
                  <w:szCs w:val="20"/>
                </w:rPr>
                <w:t>NHGIS IPUHMS</w:t>
              </w:r>
            </w:hyperlink>
          </w:p>
        </w:tc>
      </w:tr>
    </w:tbl>
    <w:p w14:paraId="576B6ECB" w14:textId="77777777" w:rsidR="001262A6" w:rsidRPr="009E7AC9" w:rsidRDefault="001262A6">
      <w:pPr>
        <w:rPr>
          <w:rFonts w:ascii="Times New Roman" w:eastAsia="Times New Roman" w:hAnsi="Times New Roman" w:cs="Times New Roman"/>
          <w:sz w:val="20"/>
          <w:szCs w:val="20"/>
        </w:rPr>
      </w:pPr>
    </w:p>
    <w:p w14:paraId="4F8643AD" w14:textId="77777777" w:rsidR="001262A6" w:rsidRPr="009E7AC9" w:rsidRDefault="001262A6">
      <w:pPr>
        <w:rPr>
          <w:rFonts w:ascii="Times New Roman" w:eastAsia="Times New Roman" w:hAnsi="Times New Roman" w:cs="Times New Roman"/>
          <w:i/>
          <w:sz w:val="20"/>
          <w:szCs w:val="20"/>
        </w:rPr>
      </w:pPr>
    </w:p>
    <w:p w14:paraId="4E9425C6" w14:textId="17451AE0" w:rsidR="001262A6" w:rsidRPr="00F65D9F" w:rsidRDefault="00835A27">
      <w:pPr>
        <w:rPr>
          <w:rFonts w:ascii="Times New Roman" w:eastAsia="Times New Roman" w:hAnsi="Times New Roman" w:cs="Times New Roman"/>
          <w:b/>
        </w:rPr>
      </w:pPr>
      <w:r w:rsidRPr="009E7AC9">
        <w:rPr>
          <w:rFonts w:ascii="Times New Roman" w:eastAsia="Times New Roman" w:hAnsi="Times New Roman" w:cs="Times New Roman"/>
          <w:b/>
        </w:rPr>
        <w:t>Methods</w:t>
      </w:r>
    </w:p>
    <w:p w14:paraId="00029C6C" w14:textId="244BD344" w:rsidR="009E7AC9" w:rsidRPr="00A10715" w:rsidRDefault="00A10715">
      <w:pPr>
        <w:rPr>
          <w:rFonts w:ascii="Times New Roman" w:eastAsia="Times New Roman" w:hAnsi="Times New Roman" w:cs="Times New Roman"/>
        </w:rPr>
      </w:pPr>
      <w:r>
        <w:rPr>
          <w:rFonts w:ascii="Times New Roman" w:eastAsia="Times New Roman" w:hAnsi="Times New Roman" w:cs="Times New Roman"/>
        </w:rPr>
        <w:t xml:space="preserve">In the first part of the project, I prepared data in order to run a layer through the Make Suitability Layer </w:t>
      </w:r>
      <w:r w:rsidR="00A91218">
        <w:rPr>
          <w:rFonts w:ascii="Times New Roman" w:eastAsia="Times New Roman" w:hAnsi="Times New Roman" w:cs="Times New Roman"/>
        </w:rPr>
        <w:t xml:space="preserve">tool </w:t>
      </w:r>
      <w:r>
        <w:rPr>
          <w:rFonts w:ascii="Times New Roman" w:eastAsia="Times New Roman" w:hAnsi="Times New Roman" w:cs="Times New Roman"/>
        </w:rPr>
        <w:t xml:space="preserve">(Figure 1). This involved taking all of my line, polygon, or tabular data and joining it to the High Need Counties table. The reason this is necessary is because later, in the Set Criteria Properties step, only point data, variable (Esri) data, and field data can be weighted. Joining the tables beforehand ensured I could easily use the field data later on. </w:t>
      </w:r>
      <w:r w:rsidR="00A91218">
        <w:rPr>
          <w:rFonts w:ascii="Times New Roman" w:eastAsia="Times New Roman" w:hAnsi="Times New Roman" w:cs="Times New Roman"/>
        </w:rPr>
        <w:t xml:space="preserve">This step is not necessary when writing in Python, because the Set Criteria Properties function allows for </w:t>
      </w:r>
      <w:r w:rsidR="003139DB">
        <w:rPr>
          <w:rFonts w:ascii="Times New Roman" w:eastAsia="Times New Roman" w:hAnsi="Times New Roman" w:cs="Times New Roman"/>
        </w:rPr>
        <w:t>more data types.</w:t>
      </w:r>
    </w:p>
    <w:p w14:paraId="0F17A890" w14:textId="77777777" w:rsidR="009E7AC9" w:rsidRPr="009E7AC9" w:rsidRDefault="009E7AC9">
      <w:pPr>
        <w:rPr>
          <w:rFonts w:ascii="Times New Roman" w:eastAsia="Times New Roman" w:hAnsi="Times New Roman" w:cs="Times New Roman"/>
          <w:i/>
          <w:sz w:val="20"/>
          <w:szCs w:val="20"/>
        </w:rPr>
      </w:pPr>
    </w:p>
    <w:p w14:paraId="39222342" w14:textId="77777777" w:rsidR="009E7AC9" w:rsidRPr="009E7AC9" w:rsidRDefault="009E7AC9">
      <w:pPr>
        <w:rPr>
          <w:rFonts w:ascii="Times New Roman" w:eastAsia="Times New Roman" w:hAnsi="Times New Roman" w:cs="Times New Roman"/>
          <w:i/>
          <w:sz w:val="20"/>
          <w:szCs w:val="20"/>
        </w:rPr>
      </w:pPr>
    </w:p>
    <w:p w14:paraId="247A02E9" w14:textId="190FB4DA" w:rsidR="001262A6" w:rsidRDefault="00835A27">
      <w:pPr>
        <w:rPr>
          <w:rFonts w:ascii="Times New Roman" w:eastAsia="Times New Roman" w:hAnsi="Times New Roman" w:cs="Times New Roman"/>
          <w:i/>
          <w:sz w:val="20"/>
          <w:szCs w:val="20"/>
        </w:rPr>
      </w:pPr>
      <w:r w:rsidRPr="009E7AC9">
        <w:rPr>
          <w:rFonts w:ascii="Times New Roman" w:eastAsia="Times New Roman" w:hAnsi="Times New Roman" w:cs="Times New Roman"/>
          <w:i/>
          <w:sz w:val="20"/>
          <w:szCs w:val="20"/>
        </w:rPr>
        <w:t xml:space="preserve">Figure 1. </w:t>
      </w:r>
      <w:r w:rsidR="008E419D">
        <w:rPr>
          <w:rFonts w:ascii="Times New Roman" w:eastAsia="Times New Roman" w:hAnsi="Times New Roman" w:cs="Times New Roman"/>
          <w:i/>
          <w:sz w:val="20"/>
          <w:szCs w:val="20"/>
        </w:rPr>
        <w:t>Process flow diagram part I</w:t>
      </w:r>
    </w:p>
    <w:p w14:paraId="0A99D841" w14:textId="5B70EBEE" w:rsidR="008E419D" w:rsidRDefault="008E419D">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4A2936B5" wp14:editId="4765CB2A">
            <wp:extent cx="3308350" cy="1047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308350" cy="1047750"/>
                    </a:xfrm>
                    <a:prstGeom prst="rect">
                      <a:avLst/>
                    </a:prstGeom>
                  </pic:spPr>
                </pic:pic>
              </a:graphicData>
            </a:graphic>
          </wp:inline>
        </w:drawing>
      </w:r>
    </w:p>
    <w:p w14:paraId="1617F3A3" w14:textId="77777777" w:rsidR="008E419D" w:rsidRDefault="008E419D">
      <w:pPr>
        <w:rPr>
          <w:rFonts w:ascii="Times New Roman" w:eastAsia="Times New Roman" w:hAnsi="Times New Roman" w:cs="Times New Roman"/>
          <w:i/>
          <w:sz w:val="20"/>
          <w:szCs w:val="20"/>
        </w:rPr>
      </w:pPr>
    </w:p>
    <w:p w14:paraId="344E586B" w14:textId="05ACDD2E" w:rsidR="008E419D" w:rsidRDefault="00A10715">
      <w:pPr>
        <w:rPr>
          <w:rFonts w:ascii="Times New Roman" w:eastAsia="Times New Roman" w:hAnsi="Times New Roman" w:cs="Times New Roman"/>
          <w:iCs/>
        </w:rPr>
      </w:pPr>
      <w:r w:rsidRPr="00A10715">
        <w:rPr>
          <w:rFonts w:ascii="Times New Roman" w:eastAsia="Times New Roman" w:hAnsi="Times New Roman" w:cs="Times New Roman"/>
          <w:iCs/>
        </w:rPr>
        <w:t xml:space="preserve">In the second part of the project, I </w:t>
      </w:r>
      <w:r>
        <w:rPr>
          <w:rFonts w:ascii="Times New Roman" w:eastAsia="Times New Roman" w:hAnsi="Times New Roman" w:cs="Times New Roman"/>
          <w:iCs/>
        </w:rPr>
        <w:t>added in my point data and weighted it using the Add Point Based Suitability Criteria tool. I also added Esri’s data through the Add Variable Based Suitability Criteria</w:t>
      </w:r>
      <w:r w:rsidR="00E96169">
        <w:rPr>
          <w:rFonts w:ascii="Times New Roman" w:eastAsia="Times New Roman" w:hAnsi="Times New Roman" w:cs="Times New Roman"/>
          <w:iCs/>
        </w:rPr>
        <w:t xml:space="preserve"> tool. I used Set Criteria Properties to weight these data. Then I set the weights of the fields (from columns joined in the previous part) using Add Field Based Suitability Criteria. I </w:t>
      </w:r>
      <w:r w:rsidR="003634C5">
        <w:rPr>
          <w:rFonts w:ascii="Times New Roman" w:eastAsia="Times New Roman" w:hAnsi="Times New Roman" w:cs="Times New Roman"/>
          <w:iCs/>
        </w:rPr>
        <w:t>weighted</w:t>
      </w:r>
      <w:r w:rsidR="00E96169">
        <w:rPr>
          <w:rFonts w:ascii="Times New Roman" w:eastAsia="Times New Roman" w:hAnsi="Times New Roman" w:cs="Times New Roman"/>
          <w:iCs/>
        </w:rPr>
        <w:t xml:space="preserve"> this as well. </w:t>
      </w:r>
      <w:r w:rsidR="003634C5">
        <w:rPr>
          <w:rFonts w:ascii="Times New Roman" w:eastAsia="Times New Roman" w:hAnsi="Times New Roman" w:cs="Times New Roman"/>
          <w:iCs/>
        </w:rPr>
        <w:t>In addition to setting percentages of ranked weighted, t</w:t>
      </w:r>
      <w:r w:rsidR="003D04E9">
        <w:rPr>
          <w:rFonts w:ascii="Times New Roman" w:eastAsia="Times New Roman" w:hAnsi="Times New Roman" w:cs="Times New Roman"/>
          <w:iCs/>
        </w:rPr>
        <w:t xml:space="preserve">here are </w:t>
      </w:r>
      <w:r w:rsidR="003634C5">
        <w:rPr>
          <w:rFonts w:ascii="Times New Roman" w:eastAsia="Times New Roman" w:hAnsi="Times New Roman" w:cs="Times New Roman"/>
          <w:iCs/>
        </w:rPr>
        <w:t xml:space="preserve">also </w:t>
      </w:r>
      <w:r w:rsidR="003D04E9">
        <w:rPr>
          <w:rFonts w:ascii="Times New Roman" w:eastAsia="Times New Roman" w:hAnsi="Times New Roman" w:cs="Times New Roman"/>
          <w:iCs/>
        </w:rPr>
        <w:t xml:space="preserve">three </w:t>
      </w:r>
      <w:r w:rsidR="003634C5">
        <w:rPr>
          <w:rFonts w:ascii="Times New Roman" w:eastAsia="Times New Roman" w:hAnsi="Times New Roman" w:cs="Times New Roman"/>
          <w:iCs/>
        </w:rPr>
        <w:t xml:space="preserve">ways </w:t>
      </w:r>
      <w:r w:rsidR="003D04E9">
        <w:rPr>
          <w:rFonts w:ascii="Times New Roman" w:eastAsia="Times New Roman" w:hAnsi="Times New Roman" w:cs="Times New Roman"/>
          <w:iCs/>
        </w:rPr>
        <w:t xml:space="preserve">to weight data: positive, inverse, and ideal. I used positive for all except one, </w:t>
      </w:r>
      <w:r w:rsidR="003D04E9">
        <w:rPr>
          <w:rFonts w:ascii="Times New Roman" w:eastAsia="Times New Roman" w:hAnsi="Times New Roman" w:cs="Times New Roman"/>
          <w:iCs/>
        </w:rPr>
        <w:lastRenderedPageBreak/>
        <w:t xml:space="preserve">Income. I used Inverse on Income to prioritize low-income counties. </w:t>
      </w:r>
      <w:r w:rsidR="00E96169">
        <w:rPr>
          <w:rFonts w:ascii="Times New Roman" w:eastAsia="Times New Roman" w:hAnsi="Times New Roman" w:cs="Times New Roman"/>
          <w:iCs/>
        </w:rPr>
        <w:t xml:space="preserve">Then I ran Calculate Suitability Score to find my results. </w:t>
      </w:r>
      <w:r w:rsidR="003139DB">
        <w:rPr>
          <w:rFonts w:ascii="Times New Roman" w:eastAsia="Times New Roman" w:hAnsi="Times New Roman" w:cs="Times New Roman"/>
          <w:iCs/>
        </w:rPr>
        <w:t>During my first pass at this process,</w:t>
      </w:r>
      <w:r w:rsidR="00E96169">
        <w:rPr>
          <w:rFonts w:ascii="Times New Roman" w:eastAsia="Times New Roman" w:hAnsi="Times New Roman" w:cs="Times New Roman"/>
          <w:iCs/>
        </w:rPr>
        <w:t xml:space="preserve"> I went back several times to tweak my weights until I was satisfied with the output results.</w:t>
      </w:r>
      <w:r w:rsidR="003139DB">
        <w:rPr>
          <w:rFonts w:ascii="Times New Roman" w:eastAsia="Times New Roman" w:hAnsi="Times New Roman" w:cs="Times New Roman"/>
          <w:iCs/>
        </w:rPr>
        <w:t xml:space="preserve"> When I re-did my project using </w:t>
      </w:r>
      <w:proofErr w:type="spellStart"/>
      <w:r w:rsidR="003139DB">
        <w:rPr>
          <w:rFonts w:ascii="Times New Roman" w:eastAsia="Times New Roman" w:hAnsi="Times New Roman" w:cs="Times New Roman"/>
          <w:iCs/>
        </w:rPr>
        <w:t>ArcPy</w:t>
      </w:r>
      <w:proofErr w:type="spellEnd"/>
      <w:r w:rsidR="003139DB">
        <w:rPr>
          <w:rFonts w:ascii="Times New Roman" w:eastAsia="Times New Roman" w:hAnsi="Times New Roman" w:cs="Times New Roman"/>
          <w:iCs/>
        </w:rPr>
        <w:t>, I determined my weights beforehand so less adjusting was needed.</w:t>
      </w:r>
    </w:p>
    <w:p w14:paraId="332E4FE6" w14:textId="77777777" w:rsidR="00A10715" w:rsidRPr="00A10715" w:rsidRDefault="00A10715">
      <w:pPr>
        <w:rPr>
          <w:rFonts w:ascii="Times New Roman" w:eastAsia="Times New Roman" w:hAnsi="Times New Roman" w:cs="Times New Roman"/>
          <w:iCs/>
        </w:rPr>
      </w:pPr>
    </w:p>
    <w:p w14:paraId="4E73CC60" w14:textId="272FDE2E" w:rsidR="008E419D" w:rsidRDefault="008E419D">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Process flow diagram part II</w:t>
      </w:r>
    </w:p>
    <w:p w14:paraId="726B4EF8" w14:textId="2C5E7839" w:rsidR="008E419D" w:rsidRPr="009E7AC9" w:rsidRDefault="008E419D" w:rsidP="008E419D">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F36DFB3" wp14:editId="492CEC45">
            <wp:extent cx="3276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276600" cy="4279900"/>
                    </a:xfrm>
                    <a:prstGeom prst="rect">
                      <a:avLst/>
                    </a:prstGeom>
                  </pic:spPr>
                </pic:pic>
              </a:graphicData>
            </a:graphic>
          </wp:inline>
        </w:drawing>
      </w:r>
    </w:p>
    <w:p w14:paraId="77CE6049" w14:textId="77777777" w:rsidR="001262A6" w:rsidRPr="009E7AC9" w:rsidRDefault="001262A6">
      <w:pPr>
        <w:rPr>
          <w:rFonts w:ascii="Times New Roman" w:eastAsia="Times New Roman" w:hAnsi="Times New Roman" w:cs="Times New Roman"/>
          <w:b/>
        </w:rPr>
      </w:pPr>
    </w:p>
    <w:p w14:paraId="4350C0D6" w14:textId="77777777" w:rsidR="001262A6" w:rsidRPr="009E7AC9" w:rsidRDefault="00835A27">
      <w:pPr>
        <w:rPr>
          <w:rFonts w:ascii="Times New Roman" w:eastAsia="Times New Roman" w:hAnsi="Times New Roman" w:cs="Times New Roman"/>
          <w:b/>
        </w:rPr>
      </w:pPr>
      <w:r w:rsidRPr="009E7AC9">
        <w:rPr>
          <w:rFonts w:ascii="Times New Roman" w:eastAsia="Times New Roman" w:hAnsi="Times New Roman" w:cs="Times New Roman"/>
          <w:b/>
        </w:rPr>
        <w:t>Results</w:t>
      </w:r>
    </w:p>
    <w:p w14:paraId="0FC29306" w14:textId="6EAB11C1" w:rsidR="009E7AC9" w:rsidRPr="009E7AC9" w:rsidRDefault="003D04E9" w:rsidP="009E7AC9">
      <w:pPr>
        <w:rPr>
          <w:rFonts w:ascii="Times New Roman" w:eastAsia="Times New Roman" w:hAnsi="Times New Roman" w:cs="Times New Roman"/>
        </w:rPr>
      </w:pPr>
      <w:r>
        <w:rPr>
          <w:rFonts w:ascii="Times New Roman" w:eastAsia="Times New Roman" w:hAnsi="Times New Roman" w:cs="Times New Roman"/>
        </w:rPr>
        <w:t>Figure 3 shows my results in the form of a choropleth map where the darker color indicates a high need. The symbology is based on the Final Score field calculated by the Suitability Analysis tool. These results address the problem statement of identifying counties that should be prioritized for upgrades based on the needs of the county.</w:t>
      </w:r>
    </w:p>
    <w:p w14:paraId="6B031AB5" w14:textId="77777777" w:rsidR="001262A6" w:rsidRPr="009E7AC9" w:rsidRDefault="001262A6">
      <w:pPr>
        <w:rPr>
          <w:rFonts w:ascii="Times New Roman" w:eastAsia="Times New Roman" w:hAnsi="Times New Roman" w:cs="Times New Roman"/>
          <w:i/>
          <w:sz w:val="20"/>
          <w:szCs w:val="20"/>
        </w:rPr>
      </w:pPr>
    </w:p>
    <w:p w14:paraId="4B8C6181" w14:textId="3F378558" w:rsidR="00F65D9F" w:rsidRPr="009E7AC9" w:rsidRDefault="00F65D9F" w:rsidP="00F65D9F">
      <w:pPr>
        <w:rPr>
          <w:rFonts w:ascii="Times New Roman" w:eastAsia="Times New Roman" w:hAnsi="Times New Roman" w:cs="Times New Roman"/>
          <w:i/>
          <w:sz w:val="20"/>
          <w:szCs w:val="20"/>
        </w:rPr>
      </w:pPr>
      <w:r w:rsidRPr="00B6777D">
        <w:rPr>
          <w:rFonts w:ascii="Times New Roman" w:eastAsia="Times New Roman" w:hAnsi="Times New Roman" w:cs="Times New Roman"/>
          <w:i/>
          <w:sz w:val="20"/>
          <w:szCs w:val="20"/>
        </w:rPr>
        <w:t>Figure 2. Results</w:t>
      </w:r>
      <w:r w:rsidRPr="009E7AC9">
        <w:rPr>
          <w:rFonts w:ascii="Times New Roman" w:eastAsia="Times New Roman" w:hAnsi="Times New Roman" w:cs="Times New Roman"/>
          <w:i/>
          <w:sz w:val="20"/>
          <w:szCs w:val="20"/>
        </w:rPr>
        <w:t xml:space="preserve"> </w:t>
      </w:r>
    </w:p>
    <w:p w14:paraId="71247B7A" w14:textId="6C5F3A10" w:rsidR="001262A6" w:rsidRPr="009E7AC9" w:rsidRDefault="0025720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0" distB="0" distL="0" distR="0" wp14:anchorId="1C435ADF" wp14:editId="0E24A896">
            <wp:extent cx="591820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18200" cy="3752850"/>
                    </a:xfrm>
                    <a:prstGeom prst="rect">
                      <a:avLst/>
                    </a:prstGeom>
                  </pic:spPr>
                </pic:pic>
              </a:graphicData>
            </a:graphic>
          </wp:inline>
        </w:drawing>
      </w:r>
    </w:p>
    <w:p w14:paraId="1FA1DC8D" w14:textId="77777777" w:rsidR="001262A6" w:rsidRPr="009E7AC9" w:rsidRDefault="001262A6">
      <w:pPr>
        <w:rPr>
          <w:rFonts w:ascii="Times New Roman" w:eastAsia="Times New Roman" w:hAnsi="Times New Roman" w:cs="Times New Roman"/>
          <w:i/>
          <w:sz w:val="20"/>
          <w:szCs w:val="20"/>
        </w:rPr>
      </w:pPr>
    </w:p>
    <w:p w14:paraId="1F96CFFC" w14:textId="77777777" w:rsidR="001262A6" w:rsidRPr="009E7AC9" w:rsidRDefault="001262A6">
      <w:pPr>
        <w:rPr>
          <w:rFonts w:ascii="Times New Roman" w:eastAsia="Times New Roman" w:hAnsi="Times New Roman" w:cs="Times New Roman"/>
          <w:i/>
          <w:sz w:val="20"/>
          <w:szCs w:val="20"/>
        </w:rPr>
      </w:pPr>
    </w:p>
    <w:p w14:paraId="1303C08A" w14:textId="53C02D4C" w:rsidR="001262A6" w:rsidRPr="009E7AC9" w:rsidRDefault="00835A27">
      <w:pPr>
        <w:rPr>
          <w:rFonts w:ascii="Times New Roman" w:eastAsia="Times New Roman" w:hAnsi="Times New Roman" w:cs="Times New Roman"/>
        </w:rPr>
      </w:pPr>
      <w:r w:rsidRPr="009E7AC9">
        <w:rPr>
          <w:rFonts w:ascii="Times New Roman" w:eastAsia="Times New Roman" w:hAnsi="Times New Roman" w:cs="Times New Roman"/>
          <w:b/>
        </w:rPr>
        <w:t>Results Verification</w:t>
      </w:r>
    </w:p>
    <w:p w14:paraId="11FE24FC" w14:textId="5546BF07" w:rsidR="001262A6" w:rsidRPr="009E7AC9" w:rsidRDefault="00344678">
      <w:pPr>
        <w:rPr>
          <w:rFonts w:ascii="Times New Roman" w:eastAsia="Times New Roman" w:hAnsi="Times New Roman" w:cs="Times New Roman"/>
        </w:rPr>
      </w:pPr>
      <w:r>
        <w:rPr>
          <w:rFonts w:ascii="Times New Roman" w:eastAsia="Times New Roman" w:hAnsi="Times New Roman" w:cs="Times New Roman"/>
        </w:rPr>
        <w:t xml:space="preserve">The </w:t>
      </w:r>
      <w:r w:rsidR="00EE7F0F">
        <w:rPr>
          <w:rFonts w:ascii="Times New Roman" w:eastAsia="Times New Roman" w:hAnsi="Times New Roman" w:cs="Times New Roman"/>
        </w:rPr>
        <w:t xml:space="preserve">variables used in the suitability analysis would depend on the user, so my output is likely not useful in every scenario. </w:t>
      </w:r>
      <w:r w:rsidR="000A2BC7">
        <w:rPr>
          <w:rFonts w:ascii="Times New Roman" w:eastAsia="Times New Roman" w:hAnsi="Times New Roman" w:cs="Times New Roman"/>
        </w:rPr>
        <w:t xml:space="preserve">I also felt deciding the weights of each variable was a soft process. I would prefer to have those weight ranges pre-decided by further research, rather than my method of trying, rinsing, and repeating in the tool. However, my results are accurate to my process and chosen variables. </w:t>
      </w:r>
      <w:r w:rsidR="003634C5">
        <w:rPr>
          <w:rFonts w:ascii="Times New Roman" w:eastAsia="Times New Roman" w:hAnsi="Times New Roman" w:cs="Times New Roman"/>
        </w:rPr>
        <w:t xml:space="preserve">When I repeated my process using </w:t>
      </w:r>
      <w:proofErr w:type="spellStart"/>
      <w:r w:rsidR="003634C5">
        <w:rPr>
          <w:rFonts w:ascii="Times New Roman" w:eastAsia="Times New Roman" w:hAnsi="Times New Roman" w:cs="Times New Roman"/>
        </w:rPr>
        <w:t>Arc</w:t>
      </w:r>
      <w:r w:rsidR="00F65C9B">
        <w:rPr>
          <w:rFonts w:ascii="Times New Roman" w:eastAsia="Times New Roman" w:hAnsi="Times New Roman" w:cs="Times New Roman"/>
        </w:rPr>
        <w:t>Py</w:t>
      </w:r>
      <w:proofErr w:type="spellEnd"/>
      <w:r w:rsidR="00F65C9B">
        <w:rPr>
          <w:rFonts w:ascii="Times New Roman" w:eastAsia="Times New Roman" w:hAnsi="Times New Roman" w:cs="Times New Roman"/>
        </w:rPr>
        <w:t xml:space="preserve">, I decided my weights and rankings beforehand, but still felt the process to be subjective. </w:t>
      </w:r>
    </w:p>
    <w:p w14:paraId="5DDD8986" w14:textId="77777777" w:rsidR="001262A6" w:rsidRPr="009E7AC9" w:rsidRDefault="001262A6">
      <w:pPr>
        <w:rPr>
          <w:rFonts w:ascii="Times New Roman" w:eastAsia="Times New Roman" w:hAnsi="Times New Roman" w:cs="Times New Roman"/>
        </w:rPr>
      </w:pPr>
    </w:p>
    <w:p w14:paraId="2B781FC0" w14:textId="04C2FAB9" w:rsidR="00F65D9F" w:rsidRPr="00B21129" w:rsidRDefault="00835A27" w:rsidP="00F65D9F">
      <w:pPr>
        <w:rPr>
          <w:rFonts w:ascii="Times New Roman" w:eastAsia="Times New Roman" w:hAnsi="Times New Roman" w:cs="Times New Roman"/>
          <w:b/>
        </w:rPr>
      </w:pPr>
      <w:r w:rsidRPr="009E7AC9">
        <w:rPr>
          <w:rFonts w:ascii="Times New Roman" w:eastAsia="Times New Roman" w:hAnsi="Times New Roman" w:cs="Times New Roman"/>
          <w:b/>
        </w:rPr>
        <w:t>Discussion and Conclusion</w:t>
      </w:r>
    </w:p>
    <w:p w14:paraId="193802F7" w14:textId="1DE46FCD" w:rsidR="00B21129" w:rsidRDefault="00B21129" w:rsidP="00F65D9F">
      <w:pPr>
        <w:rPr>
          <w:rFonts w:ascii="Times New Roman" w:eastAsia="Times New Roman" w:hAnsi="Times New Roman" w:cs="Times New Roman"/>
        </w:rPr>
      </w:pPr>
      <w:r>
        <w:rPr>
          <w:rFonts w:ascii="Times New Roman" w:eastAsia="Times New Roman" w:hAnsi="Times New Roman" w:cs="Times New Roman"/>
        </w:rPr>
        <w:t>I learned how to run a Suitability Analysis. I learned that while I might not have all the data</w:t>
      </w:r>
      <w:r w:rsidR="00821759">
        <w:rPr>
          <w:rFonts w:ascii="Times New Roman" w:eastAsia="Times New Roman" w:hAnsi="Times New Roman" w:cs="Times New Roman"/>
        </w:rPr>
        <w:t xml:space="preserve"> I would have wanted</w:t>
      </w:r>
      <w:r>
        <w:rPr>
          <w:rFonts w:ascii="Times New Roman" w:eastAsia="Times New Roman" w:hAnsi="Times New Roman" w:cs="Times New Roman"/>
        </w:rPr>
        <w:t xml:space="preserve">, this tool is extremely useful in starting the conversation, and in flexibility. Variables can be added later. I also learned the hardest part was the weighting the data. I felt I needed more research to decide how I wanted to weight my criteria. I did not anticipate this being a difficult aspect. </w:t>
      </w:r>
    </w:p>
    <w:p w14:paraId="059BC392" w14:textId="77777777" w:rsidR="00B21129" w:rsidRDefault="00B21129" w:rsidP="00F65D9F">
      <w:pPr>
        <w:rPr>
          <w:rFonts w:ascii="Times New Roman" w:eastAsia="Times New Roman" w:hAnsi="Times New Roman" w:cs="Times New Roman"/>
        </w:rPr>
      </w:pPr>
    </w:p>
    <w:p w14:paraId="69EA33D1" w14:textId="491C16EF" w:rsidR="00B21129" w:rsidRDefault="00B21129" w:rsidP="00F65D9F">
      <w:pPr>
        <w:rPr>
          <w:rFonts w:ascii="Times New Roman" w:eastAsia="Times New Roman" w:hAnsi="Times New Roman" w:cs="Times New Roman"/>
        </w:rPr>
      </w:pPr>
      <w:r>
        <w:rPr>
          <w:rFonts w:ascii="Times New Roman" w:eastAsia="Times New Roman" w:hAnsi="Times New Roman" w:cs="Times New Roman"/>
        </w:rPr>
        <w:t xml:space="preserve">Data collection was also difficult, since there is not a central database of country-wide data. </w:t>
      </w:r>
      <w:r w:rsidR="00F65D9F">
        <w:rPr>
          <w:rFonts w:ascii="Times New Roman" w:eastAsia="Times New Roman" w:hAnsi="Times New Roman" w:cs="Times New Roman"/>
        </w:rPr>
        <w:t xml:space="preserve">I did not have data of most recent upgrades, which would be a significant factor in prioritizing future upgrades. That said, the purpose of this project is environmental justice, which means keeping an emphasis on marginalized communities and their needs. </w:t>
      </w:r>
      <w:r>
        <w:rPr>
          <w:rFonts w:ascii="Times New Roman" w:eastAsia="Times New Roman" w:hAnsi="Times New Roman" w:cs="Times New Roman"/>
        </w:rPr>
        <w:t>Even if an area has had recent upgrades, does not mean they could not benefit from more attention, especially if the community is historically neglected.</w:t>
      </w:r>
    </w:p>
    <w:p w14:paraId="55A8B5C6" w14:textId="44525CCC" w:rsidR="00C538F2" w:rsidRDefault="00C538F2" w:rsidP="00F65D9F">
      <w:pPr>
        <w:rPr>
          <w:rFonts w:ascii="Times New Roman" w:eastAsia="Times New Roman" w:hAnsi="Times New Roman" w:cs="Times New Roman"/>
        </w:rPr>
      </w:pPr>
    </w:p>
    <w:p w14:paraId="54516537" w14:textId="5DF9E663" w:rsidR="001262A6" w:rsidRPr="00821759" w:rsidRDefault="00C538F2">
      <w:pPr>
        <w:rPr>
          <w:rFonts w:ascii="Times New Roman" w:eastAsia="Times New Roman" w:hAnsi="Times New Roman" w:cs="Times New Roman"/>
        </w:rPr>
      </w:pPr>
      <w:r>
        <w:rPr>
          <w:rFonts w:ascii="Times New Roman" w:eastAsia="Times New Roman" w:hAnsi="Times New Roman" w:cs="Times New Roman"/>
        </w:rPr>
        <w:lastRenderedPageBreak/>
        <w:t xml:space="preserve">I had a more systematic approach to weighting my variables the second time I performed my analysis. However, even the resources I read on multi-criteria evaluation </w:t>
      </w:r>
      <w:r w:rsidR="00821759">
        <w:rPr>
          <w:rFonts w:ascii="Times New Roman" w:eastAsia="Times New Roman" w:hAnsi="Times New Roman" w:cs="Times New Roman"/>
        </w:rPr>
        <w:t>recommended having a panel of experts determine weight. I desperately looked for another expert in the room, but since my cat doesn’t know GIS, I had to be the one to make the decisions based on how I felt about each variable.</w:t>
      </w:r>
    </w:p>
    <w:p w14:paraId="51A4D76E" w14:textId="77777777" w:rsidR="001262A6" w:rsidRPr="009E7AC9" w:rsidRDefault="001262A6">
      <w:pPr>
        <w:rPr>
          <w:rFonts w:ascii="Times New Roman" w:eastAsia="Times New Roman" w:hAnsi="Times New Roman" w:cs="Times New Roman"/>
          <w:i/>
          <w:sz w:val="20"/>
          <w:szCs w:val="20"/>
        </w:rPr>
      </w:pPr>
    </w:p>
    <w:p w14:paraId="3BE978BE" w14:textId="77777777" w:rsidR="001262A6" w:rsidRPr="009E7AC9" w:rsidRDefault="001262A6">
      <w:pPr>
        <w:rPr>
          <w:rFonts w:ascii="Times New Roman" w:eastAsia="Times New Roman" w:hAnsi="Times New Roman" w:cs="Times New Roman"/>
          <w:i/>
          <w:sz w:val="20"/>
          <w:szCs w:val="20"/>
        </w:rPr>
      </w:pPr>
    </w:p>
    <w:p w14:paraId="06C9EC71" w14:textId="77777777" w:rsidR="001262A6" w:rsidRPr="009E7AC9" w:rsidRDefault="00835A27">
      <w:pPr>
        <w:rPr>
          <w:rFonts w:ascii="Times New Roman" w:eastAsia="Times New Roman" w:hAnsi="Times New Roman" w:cs="Times New Roman"/>
          <w:b/>
        </w:rPr>
      </w:pPr>
      <w:r w:rsidRPr="009E7AC9">
        <w:rPr>
          <w:rFonts w:ascii="Times New Roman" w:eastAsia="Times New Roman" w:hAnsi="Times New Roman" w:cs="Times New Roman"/>
          <w:b/>
        </w:rPr>
        <w:t>Re</w:t>
      </w:r>
      <w:r w:rsidRPr="008E419D">
        <w:rPr>
          <w:rFonts w:ascii="Times New Roman" w:eastAsia="Times New Roman" w:hAnsi="Times New Roman" w:cs="Times New Roman"/>
          <w:b/>
        </w:rPr>
        <w:t>ferences</w:t>
      </w:r>
    </w:p>
    <w:p w14:paraId="0498D65C" w14:textId="77777777" w:rsidR="008E419D" w:rsidRDefault="008E419D" w:rsidP="008E419D">
      <w:pPr>
        <w:spacing w:line="480" w:lineRule="auto"/>
        <w:ind w:hanging="480"/>
        <w:rPr>
          <w:rFonts w:ascii="Times New Roman" w:hAnsi="Times New Roman" w:cs="Times New Roman"/>
        </w:rPr>
      </w:pPr>
    </w:p>
    <w:p w14:paraId="010D6F2B" w14:textId="72035320"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Brad Plumer, Hiroko </w:t>
      </w:r>
      <w:proofErr w:type="spellStart"/>
      <w:r w:rsidRPr="008E419D">
        <w:rPr>
          <w:rFonts w:ascii="Times New Roman" w:hAnsi="Times New Roman" w:cs="Times New Roman"/>
        </w:rPr>
        <w:t>Tabuchi</w:t>
      </w:r>
      <w:proofErr w:type="spellEnd"/>
      <w:r w:rsidRPr="008E419D">
        <w:rPr>
          <w:rFonts w:ascii="Times New Roman" w:hAnsi="Times New Roman" w:cs="Times New Roman"/>
        </w:rPr>
        <w:t xml:space="preserve">. (2021, February 17). The Far-Reaching Effects of the Storm, on Power and People. </w:t>
      </w:r>
      <w:r w:rsidRPr="008E419D">
        <w:rPr>
          <w:rFonts w:ascii="Times New Roman" w:hAnsi="Times New Roman" w:cs="Times New Roman"/>
          <w:i/>
          <w:iCs/>
        </w:rPr>
        <w:t>New York Times</w:t>
      </w:r>
      <w:r w:rsidRPr="008E419D">
        <w:rPr>
          <w:rFonts w:ascii="Times New Roman" w:hAnsi="Times New Roman" w:cs="Times New Roman"/>
        </w:rPr>
        <w:t xml:space="preserve">. </w:t>
      </w:r>
      <w:hyperlink r:id="rId15" w:history="1">
        <w:r w:rsidRPr="008E419D">
          <w:rPr>
            <w:rStyle w:val="Hyperlink"/>
            <w:rFonts w:ascii="Times New Roman" w:hAnsi="Times New Roman" w:cs="Times New Roman"/>
          </w:rPr>
          <w:t>https://www.nytimes.com/2021/02/17/climate/storms-power-outage-newsletter.html</w:t>
        </w:r>
      </w:hyperlink>
    </w:p>
    <w:p w14:paraId="7B6E6C1B"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City and County Energy Profiles—</w:t>
      </w:r>
      <w:proofErr w:type="spellStart"/>
      <w:r w:rsidRPr="008E419D">
        <w:rPr>
          <w:rFonts w:ascii="Times New Roman" w:hAnsi="Times New Roman" w:cs="Times New Roman"/>
          <w:i/>
          <w:iCs/>
        </w:rPr>
        <w:t>OpenEI</w:t>
      </w:r>
      <w:proofErr w:type="spellEnd"/>
      <w:r w:rsidRPr="008E419D">
        <w:rPr>
          <w:rFonts w:ascii="Times New Roman" w:hAnsi="Times New Roman" w:cs="Times New Roman"/>
          <w:i/>
          <w:iCs/>
        </w:rPr>
        <w:t xml:space="preserve"> DOE Open Data</w:t>
      </w:r>
      <w:r w:rsidRPr="008E419D">
        <w:rPr>
          <w:rFonts w:ascii="Times New Roman" w:hAnsi="Times New Roman" w:cs="Times New Roman"/>
        </w:rPr>
        <w:t xml:space="preserve">. (n.d.). Retrieved April 22, 2021, from </w:t>
      </w:r>
      <w:hyperlink r:id="rId16" w:history="1">
        <w:r w:rsidRPr="008E419D">
          <w:rPr>
            <w:rStyle w:val="Hyperlink"/>
            <w:rFonts w:ascii="Times New Roman" w:hAnsi="Times New Roman" w:cs="Times New Roman"/>
          </w:rPr>
          <w:t>https://openei.org/doe-opendata/dataset/city-county-energy-profiles</w:t>
        </w:r>
      </w:hyperlink>
    </w:p>
    <w:p w14:paraId="56363D72"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Electric Retail Service Territories | HIFLD Open Data</w:t>
      </w:r>
      <w:r w:rsidRPr="008E419D">
        <w:rPr>
          <w:rFonts w:ascii="Times New Roman" w:hAnsi="Times New Roman" w:cs="Times New Roman"/>
        </w:rPr>
        <w:t xml:space="preserve">. (n.d.). Retrieved April 7, 2021, from </w:t>
      </w:r>
      <w:hyperlink r:id="rId17" w:history="1">
        <w:r w:rsidRPr="008E419D">
          <w:rPr>
            <w:rStyle w:val="Hyperlink"/>
            <w:rFonts w:ascii="Times New Roman" w:hAnsi="Times New Roman" w:cs="Times New Roman"/>
          </w:rPr>
          <w:t>https://hifld-geoplatform.opendata.arcgis.com/datasets/c4fd0b01c2544a2f83440dab292f0980_0?geometry=134.976%2C19.251%2C19.136%2C62.725</w:t>
        </w:r>
      </w:hyperlink>
    </w:p>
    <w:p w14:paraId="79E02A88"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Erin Douglas, Kate McGee, Jolie McCullough. (2021, February 17). Texas leaders failed to heed warnings that left the state’s power grid vulnerable to winter extremes, experts say. </w:t>
      </w:r>
      <w:r w:rsidRPr="008E419D">
        <w:rPr>
          <w:rFonts w:ascii="Times New Roman" w:hAnsi="Times New Roman" w:cs="Times New Roman"/>
          <w:i/>
          <w:iCs/>
        </w:rPr>
        <w:t>The Texas Tribune</w:t>
      </w:r>
      <w:r w:rsidRPr="008E419D">
        <w:rPr>
          <w:rFonts w:ascii="Times New Roman" w:hAnsi="Times New Roman" w:cs="Times New Roman"/>
        </w:rPr>
        <w:t xml:space="preserve">. </w:t>
      </w:r>
      <w:hyperlink r:id="rId18" w:history="1">
        <w:r w:rsidRPr="008E419D">
          <w:rPr>
            <w:rStyle w:val="Hyperlink"/>
            <w:rFonts w:ascii="Times New Roman" w:hAnsi="Times New Roman" w:cs="Times New Roman"/>
          </w:rPr>
          <w:t>https://www.texastribune.org/2021/02/17/texas-power-grid-failures/</w:t>
        </w:r>
      </w:hyperlink>
    </w:p>
    <w:p w14:paraId="27CCA7BB"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Generating Units</w:t>
      </w:r>
      <w:r w:rsidRPr="008E419D">
        <w:rPr>
          <w:rFonts w:ascii="Times New Roman" w:hAnsi="Times New Roman" w:cs="Times New Roman"/>
        </w:rPr>
        <w:t xml:space="preserve">. (n.d.). Retrieved April 22, 2021, from </w:t>
      </w:r>
      <w:hyperlink r:id="rId19" w:history="1">
        <w:r w:rsidRPr="008E419D">
          <w:rPr>
            <w:rStyle w:val="Hyperlink"/>
            <w:rFonts w:ascii="Times New Roman" w:hAnsi="Times New Roman" w:cs="Times New Roman"/>
          </w:rPr>
          <w:t>https://hifld-geoplatform.opendata.arcgis.com/datasets/14b5a08efaec446ba7aa0121220141fa_0</w:t>
        </w:r>
      </w:hyperlink>
    </w:p>
    <w:p w14:paraId="714B8261"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Gretchen Bakke. (n.d.). </w:t>
      </w:r>
      <w:r w:rsidRPr="008E419D">
        <w:rPr>
          <w:rFonts w:ascii="Times New Roman" w:hAnsi="Times New Roman" w:cs="Times New Roman"/>
          <w:i/>
          <w:iCs/>
        </w:rPr>
        <w:t>The Grid: The Fraying Wires Between Americans and Our Energy Future</w:t>
      </w:r>
      <w:r w:rsidRPr="008E419D">
        <w:rPr>
          <w:rFonts w:ascii="Times New Roman" w:hAnsi="Times New Roman" w:cs="Times New Roman"/>
        </w:rPr>
        <w:t>. Bloomsbury.</w:t>
      </w:r>
    </w:p>
    <w:p w14:paraId="78D5AE15"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HIFLD Open GP - Energy. (2020a). </w:t>
      </w:r>
      <w:r w:rsidRPr="008E419D">
        <w:rPr>
          <w:rFonts w:ascii="Times New Roman" w:hAnsi="Times New Roman" w:cs="Times New Roman"/>
          <w:i/>
          <w:iCs/>
        </w:rPr>
        <w:t>Electric Substations</w:t>
      </w:r>
      <w:r w:rsidRPr="008E419D">
        <w:rPr>
          <w:rFonts w:ascii="Times New Roman" w:hAnsi="Times New Roman" w:cs="Times New Roman"/>
        </w:rPr>
        <w:t xml:space="preserve"> [Shapefile]. Homeland Infrastructure Foundation-Level Data (HIFLD). </w:t>
      </w:r>
      <w:hyperlink r:id="rId20" w:history="1">
        <w:r w:rsidRPr="008E419D">
          <w:rPr>
            <w:rStyle w:val="Hyperlink"/>
            <w:rFonts w:ascii="Times New Roman" w:hAnsi="Times New Roman" w:cs="Times New Roman"/>
          </w:rPr>
          <w:t>https://hifld-</w:t>
        </w:r>
        <w:r w:rsidRPr="008E419D">
          <w:rPr>
            <w:rStyle w:val="Hyperlink"/>
            <w:rFonts w:ascii="Times New Roman" w:hAnsi="Times New Roman" w:cs="Times New Roman"/>
          </w:rPr>
          <w:lastRenderedPageBreak/>
          <w:t>geoplatform.opendata.arcgis.com/datasets/electric-substations?geometry=-110.440%2C43.508%2C-79.920%2C48.828</w:t>
        </w:r>
      </w:hyperlink>
    </w:p>
    <w:p w14:paraId="38845CBB"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HIFLD Open GP - Energy. (2020b). </w:t>
      </w:r>
      <w:r w:rsidRPr="008E419D">
        <w:rPr>
          <w:rFonts w:ascii="Times New Roman" w:hAnsi="Times New Roman" w:cs="Times New Roman"/>
          <w:i/>
          <w:iCs/>
        </w:rPr>
        <w:t>Control Areas</w:t>
      </w:r>
      <w:r w:rsidRPr="008E419D">
        <w:rPr>
          <w:rFonts w:ascii="Times New Roman" w:hAnsi="Times New Roman" w:cs="Times New Roman"/>
        </w:rPr>
        <w:t xml:space="preserve"> [Shapefile]. Homeland Infrastructure Foundation-Level Data (HIFLD). </w:t>
      </w:r>
      <w:hyperlink r:id="rId21" w:history="1">
        <w:r w:rsidRPr="008E419D">
          <w:rPr>
            <w:rStyle w:val="Hyperlink"/>
            <w:rFonts w:ascii="Times New Roman" w:hAnsi="Times New Roman" w:cs="Times New Roman"/>
          </w:rPr>
          <w:t>https://hifld-geoplatform.opendata.arcgis.com/datasets/control-areas</w:t>
        </w:r>
      </w:hyperlink>
    </w:p>
    <w:p w14:paraId="48E64A93"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HIFLD Open GP - Energy. (2020c). </w:t>
      </w:r>
      <w:r w:rsidRPr="008E419D">
        <w:rPr>
          <w:rFonts w:ascii="Times New Roman" w:hAnsi="Times New Roman" w:cs="Times New Roman"/>
          <w:i/>
          <w:iCs/>
        </w:rPr>
        <w:t>Electric Power Transmission Lines</w:t>
      </w:r>
      <w:r w:rsidRPr="008E419D">
        <w:rPr>
          <w:rFonts w:ascii="Times New Roman" w:hAnsi="Times New Roman" w:cs="Times New Roman"/>
        </w:rPr>
        <w:t xml:space="preserve"> [Shapefile]. Homeland Infrastructure Foundation-Level Data (HIFLD). </w:t>
      </w:r>
      <w:hyperlink r:id="rId22" w:history="1">
        <w:r w:rsidRPr="008E419D">
          <w:rPr>
            <w:rStyle w:val="Hyperlink"/>
            <w:rFonts w:ascii="Times New Roman" w:hAnsi="Times New Roman" w:cs="Times New Roman"/>
          </w:rPr>
          <w:t>https://hifld-geoplatform.opendata.arcgis.com/datasets/electric-power-transmission-lines/data?geometry=-102.431%2C44.299%2C-86.819%2C46.986</w:t>
        </w:r>
      </w:hyperlink>
    </w:p>
    <w:p w14:paraId="45C7BEAC"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How Generate Network Spatial Weights works—ArcGIS Pro | Documentation</w:t>
      </w:r>
      <w:r w:rsidRPr="008E419D">
        <w:rPr>
          <w:rFonts w:ascii="Times New Roman" w:hAnsi="Times New Roman" w:cs="Times New Roman"/>
        </w:rPr>
        <w:t xml:space="preserve">. (n.d.). Retrieved April 8, 2021, from </w:t>
      </w:r>
      <w:hyperlink r:id="rId23" w:history="1">
        <w:r w:rsidRPr="008E419D">
          <w:rPr>
            <w:rStyle w:val="Hyperlink"/>
            <w:rFonts w:ascii="Times New Roman" w:hAnsi="Times New Roman" w:cs="Times New Roman"/>
          </w:rPr>
          <w:t>https://pro.arcgis.com/en/pro-app/latest/tool-reference/spatial-statistics/learnmoreupdatedgeneratenetworkswm.htm</w:t>
        </w:r>
      </w:hyperlink>
    </w:p>
    <w:p w14:paraId="1AEA9B16"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King, L. (2021, January 28). </w:t>
      </w:r>
      <w:r w:rsidRPr="008E419D">
        <w:rPr>
          <w:rFonts w:ascii="Times New Roman" w:hAnsi="Times New Roman" w:cs="Times New Roman"/>
          <w:i/>
          <w:iCs/>
        </w:rPr>
        <w:t xml:space="preserve">How America’s Power Grid Is Vulnerable </w:t>
      </w:r>
      <w:proofErr w:type="gramStart"/>
      <w:r w:rsidRPr="008E419D">
        <w:rPr>
          <w:rFonts w:ascii="Times New Roman" w:hAnsi="Times New Roman" w:cs="Times New Roman"/>
          <w:i/>
          <w:iCs/>
        </w:rPr>
        <w:t>To</w:t>
      </w:r>
      <w:proofErr w:type="gramEnd"/>
      <w:r w:rsidRPr="008E419D">
        <w:rPr>
          <w:rFonts w:ascii="Times New Roman" w:hAnsi="Times New Roman" w:cs="Times New Roman"/>
          <w:i/>
          <w:iCs/>
        </w:rPr>
        <w:t xml:space="preserve"> Undetected Cyberattack</w:t>
      </w:r>
      <w:r w:rsidRPr="008E419D">
        <w:rPr>
          <w:rFonts w:ascii="Times New Roman" w:hAnsi="Times New Roman" w:cs="Times New Roman"/>
        </w:rPr>
        <w:t xml:space="preserve">. </w:t>
      </w:r>
      <w:hyperlink r:id="rId24" w:history="1">
        <w:r w:rsidRPr="008E419D">
          <w:rPr>
            <w:rStyle w:val="Hyperlink"/>
            <w:rFonts w:ascii="Times New Roman" w:hAnsi="Times New Roman" w:cs="Times New Roman"/>
          </w:rPr>
          <w:t>https://www.forbes.com/sites/llewellynking/2021/01/28/how-the-supply-chain-in-heavy-bulk-power-equipment-is-vulnerable-to-undetected-cyberattack/?sh=ae9ae027213a</w:t>
        </w:r>
      </w:hyperlink>
    </w:p>
    <w:p w14:paraId="354C6339"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Make Suitability Analysis Layer (Business Analyst)—ArcGIS Pro | Documentation</w:t>
      </w:r>
      <w:r w:rsidRPr="008E419D">
        <w:rPr>
          <w:rFonts w:ascii="Times New Roman" w:hAnsi="Times New Roman" w:cs="Times New Roman"/>
        </w:rPr>
        <w:t xml:space="preserve">. (n.d.). Retrieved April 15, 2021, from </w:t>
      </w:r>
      <w:hyperlink r:id="rId25" w:history="1">
        <w:r w:rsidRPr="008E419D">
          <w:rPr>
            <w:rStyle w:val="Hyperlink"/>
            <w:rFonts w:ascii="Times New Roman" w:hAnsi="Times New Roman" w:cs="Times New Roman"/>
          </w:rPr>
          <w:t>https://pro.arcgis.com/en/pro-app/latest/tool-reference/business-analyst/make-suitability-analysis-layer.htm</w:t>
        </w:r>
      </w:hyperlink>
    </w:p>
    <w:p w14:paraId="4E875F71"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t xml:space="preserve">Matthew Weiss. (2019). An assessment of threats to the American power grid. </w:t>
      </w:r>
      <w:r w:rsidRPr="008E419D">
        <w:rPr>
          <w:rFonts w:ascii="Times New Roman" w:hAnsi="Times New Roman" w:cs="Times New Roman"/>
          <w:i/>
          <w:iCs/>
        </w:rPr>
        <w:t>Energy, Sustainability and Society</w:t>
      </w:r>
      <w:r w:rsidRPr="008E419D">
        <w:rPr>
          <w:rFonts w:ascii="Times New Roman" w:hAnsi="Times New Roman" w:cs="Times New Roman"/>
        </w:rPr>
        <w:t xml:space="preserve">, </w:t>
      </w:r>
      <w:r w:rsidRPr="008E419D">
        <w:rPr>
          <w:rFonts w:ascii="Times New Roman" w:hAnsi="Times New Roman" w:cs="Times New Roman"/>
          <w:i/>
          <w:iCs/>
        </w:rPr>
        <w:t>9</w:t>
      </w:r>
      <w:r w:rsidRPr="008E419D">
        <w:rPr>
          <w:rFonts w:ascii="Times New Roman" w:hAnsi="Times New Roman" w:cs="Times New Roman"/>
        </w:rPr>
        <w:t xml:space="preserve">(18). </w:t>
      </w:r>
      <w:hyperlink r:id="rId26" w:history="1">
        <w:r w:rsidRPr="008E419D">
          <w:rPr>
            <w:rStyle w:val="Hyperlink"/>
            <w:rFonts w:ascii="Times New Roman" w:hAnsi="Times New Roman" w:cs="Times New Roman"/>
          </w:rPr>
          <w:t>https://energsustainsoc.biomedcentral.com/articles/10.1186/s13705-019-0199-y</w:t>
        </w:r>
      </w:hyperlink>
    </w:p>
    <w:p w14:paraId="3A6554CF" w14:textId="77777777" w:rsidR="008E419D" w:rsidRPr="008E419D" w:rsidRDefault="008E419D" w:rsidP="008E419D">
      <w:pPr>
        <w:spacing w:line="480" w:lineRule="auto"/>
        <w:ind w:hanging="480"/>
        <w:rPr>
          <w:rFonts w:ascii="Times New Roman" w:hAnsi="Times New Roman" w:cs="Times New Roman"/>
        </w:rPr>
      </w:pPr>
      <w:proofErr w:type="spellStart"/>
      <w:r w:rsidRPr="008E419D">
        <w:rPr>
          <w:rFonts w:ascii="Times New Roman" w:hAnsi="Times New Roman" w:cs="Times New Roman"/>
        </w:rPr>
        <w:t>McGanity</w:t>
      </w:r>
      <w:proofErr w:type="spellEnd"/>
      <w:r w:rsidRPr="008E419D">
        <w:rPr>
          <w:rFonts w:ascii="Times New Roman" w:hAnsi="Times New Roman" w:cs="Times New Roman"/>
        </w:rPr>
        <w:t xml:space="preserve">, C. A. (2019, December 16). </w:t>
      </w:r>
      <w:r w:rsidRPr="008E419D">
        <w:rPr>
          <w:rFonts w:ascii="Times New Roman" w:hAnsi="Times New Roman" w:cs="Times New Roman"/>
          <w:i/>
          <w:iCs/>
        </w:rPr>
        <w:t>Looking at what Questions a Civilian can Ask of Sensitive Government Data</w:t>
      </w:r>
      <w:r w:rsidRPr="008E419D">
        <w:rPr>
          <w:rFonts w:ascii="Times New Roman" w:hAnsi="Times New Roman" w:cs="Times New Roman"/>
        </w:rPr>
        <w:t xml:space="preserve">. Medium. </w:t>
      </w:r>
      <w:hyperlink r:id="rId27" w:history="1">
        <w:r w:rsidRPr="008E419D">
          <w:rPr>
            <w:rStyle w:val="Hyperlink"/>
            <w:rFonts w:ascii="Times New Roman" w:hAnsi="Times New Roman" w:cs="Times New Roman"/>
          </w:rPr>
          <w:t>https://medium.com/@cam1147/looking-at-what-questions-a-civilian-can-ask-of-sensitive-government-data-43f613a5315e</w:t>
        </w:r>
      </w:hyperlink>
    </w:p>
    <w:p w14:paraId="5C734C1C"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rPr>
        <w:lastRenderedPageBreak/>
        <w:t xml:space="preserve">Mike M. McMahon. (2017, November). </w:t>
      </w:r>
      <w:r w:rsidRPr="008E419D">
        <w:rPr>
          <w:rFonts w:ascii="Times New Roman" w:hAnsi="Times New Roman" w:cs="Times New Roman"/>
          <w:i/>
          <w:iCs/>
        </w:rPr>
        <w:t>Mapping the Vulnerability and Strength of the Power Grid</w:t>
      </w:r>
      <w:r w:rsidRPr="008E419D">
        <w:rPr>
          <w:rFonts w:ascii="Times New Roman" w:hAnsi="Times New Roman" w:cs="Times New Roman"/>
        </w:rPr>
        <w:t xml:space="preserve">. </w:t>
      </w:r>
      <w:hyperlink r:id="rId28" w:history="1">
        <w:r w:rsidRPr="008E419D">
          <w:rPr>
            <w:rStyle w:val="Hyperlink"/>
            <w:rFonts w:ascii="Times New Roman" w:hAnsi="Times New Roman" w:cs="Times New Roman"/>
          </w:rPr>
          <w:t>https://isen.northwestern.edu/mapping-the-vulnerability-and-strength-of-the-power-grid</w:t>
        </w:r>
      </w:hyperlink>
    </w:p>
    <w:p w14:paraId="4E3BAFE1"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Multiple Hazard Index for United States Counties</w:t>
      </w:r>
      <w:r w:rsidRPr="008E419D">
        <w:rPr>
          <w:rFonts w:ascii="Times New Roman" w:hAnsi="Times New Roman" w:cs="Times New Roman"/>
        </w:rPr>
        <w:t xml:space="preserve">. (n.d.). Retrieved April 7, 2021, from </w:t>
      </w:r>
      <w:hyperlink r:id="rId29" w:history="1">
        <w:r w:rsidRPr="008E419D">
          <w:rPr>
            <w:rStyle w:val="Hyperlink"/>
            <w:rFonts w:ascii="Times New Roman" w:hAnsi="Times New Roman" w:cs="Times New Roman"/>
          </w:rPr>
          <w:t>https://hub.arcgis.com/datasets/800f684ebadf423bae4c669cb0a1d7da</w:t>
        </w:r>
      </w:hyperlink>
    </w:p>
    <w:p w14:paraId="71E7DECD" w14:textId="77777777" w:rsidR="00206419" w:rsidRPr="00206419" w:rsidRDefault="00206419" w:rsidP="00206419">
      <w:pPr>
        <w:spacing w:line="480" w:lineRule="auto"/>
        <w:ind w:hanging="480"/>
        <w:rPr>
          <w:rFonts w:ascii="Times New Roman" w:hAnsi="Times New Roman" w:cs="Times New Roman"/>
        </w:rPr>
      </w:pPr>
      <w:r w:rsidRPr="00206419">
        <w:rPr>
          <w:rFonts w:ascii="Times New Roman" w:hAnsi="Times New Roman" w:cs="Times New Roman"/>
        </w:rPr>
        <w:t xml:space="preserve">Amanda </w:t>
      </w:r>
      <w:proofErr w:type="spellStart"/>
      <w:r w:rsidRPr="00206419">
        <w:rPr>
          <w:rFonts w:ascii="Times New Roman" w:hAnsi="Times New Roman" w:cs="Times New Roman"/>
        </w:rPr>
        <w:t>Briney</w:t>
      </w:r>
      <w:proofErr w:type="spellEnd"/>
      <w:r w:rsidRPr="00206419">
        <w:rPr>
          <w:rFonts w:ascii="Times New Roman" w:hAnsi="Times New Roman" w:cs="Times New Roman"/>
        </w:rPr>
        <w:t xml:space="preserve">. (2014, April 10). Overview of Weighted Site Selection and Suitability Analysis. </w:t>
      </w:r>
      <w:r w:rsidRPr="00206419">
        <w:rPr>
          <w:rFonts w:ascii="Times New Roman" w:hAnsi="Times New Roman" w:cs="Times New Roman"/>
          <w:i/>
          <w:iCs/>
        </w:rPr>
        <w:t>GIS Lounge</w:t>
      </w:r>
      <w:r w:rsidRPr="00206419">
        <w:rPr>
          <w:rFonts w:ascii="Times New Roman" w:hAnsi="Times New Roman" w:cs="Times New Roman"/>
        </w:rPr>
        <w:t xml:space="preserve">. </w:t>
      </w:r>
      <w:hyperlink r:id="rId30" w:history="1">
        <w:r w:rsidRPr="00206419">
          <w:rPr>
            <w:rStyle w:val="Hyperlink"/>
            <w:rFonts w:ascii="Times New Roman" w:hAnsi="Times New Roman" w:cs="Times New Roman"/>
          </w:rPr>
          <w:t>https://www.gislounge.com/overview-weighted-site-selection-suitability-analysis/</w:t>
        </w:r>
      </w:hyperlink>
    </w:p>
    <w:p w14:paraId="62D71F2E"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Population Growth Rate in the United States</w:t>
      </w:r>
      <w:r w:rsidRPr="008E419D">
        <w:rPr>
          <w:rFonts w:ascii="Times New Roman" w:hAnsi="Times New Roman" w:cs="Times New Roman"/>
        </w:rPr>
        <w:t xml:space="preserve">. (n.d.). Retrieved April 22, 2021, from </w:t>
      </w:r>
      <w:hyperlink r:id="rId31" w:history="1">
        <w:r w:rsidRPr="008E419D">
          <w:rPr>
            <w:rStyle w:val="Hyperlink"/>
            <w:rFonts w:ascii="Times New Roman" w:hAnsi="Times New Roman" w:cs="Times New Roman"/>
          </w:rPr>
          <w:t>https://hub.arcgis.com/datasets/a6fc3f3610d0485295cb35306a567f38</w:t>
        </w:r>
      </w:hyperlink>
    </w:p>
    <w:p w14:paraId="71D41CBF"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RE Atlas</w:t>
      </w:r>
      <w:r w:rsidRPr="008E419D">
        <w:rPr>
          <w:rFonts w:ascii="Times New Roman" w:hAnsi="Times New Roman" w:cs="Times New Roman"/>
        </w:rPr>
        <w:t xml:space="preserve">. (n.d.). Retrieved April 24, 2021, from </w:t>
      </w:r>
      <w:hyperlink r:id="rId32" w:history="1">
        <w:r w:rsidRPr="008E419D">
          <w:rPr>
            <w:rStyle w:val="Hyperlink"/>
            <w:rFonts w:ascii="Times New Roman" w:hAnsi="Times New Roman" w:cs="Times New Roman"/>
          </w:rPr>
          <w:t>https://maps.nrel.gov/re-atlas/?aL=JlFHoz%255Bv%255D%3Dt%26kEU0Ap%255Bv%255D%3Dt%26kEU0Ap%255Bd%255D%3D1%26aN-EQ2%255Bv%255D%3Dt%26aN-EQ2%255Bd%255D%3D2%26AMzVXM%255Bv%255D%3Dt%26AMzVXM%255Bd%255D%3D3%26G7wxJd%255Bv%255D%3Dt%26G7wxJd%255Bd%255D%3D4%267qLAVM%255Bv%255D%3Dt%267qLAVM%255Bd%255D%3D5%263RSdgP%255Bv%255D%3Dt%263RSdgP%255Bd%255D%3D6%26HQIuk_%255Bv%255D%3Dt%26HQIuk_%255Bd%255D%3D7%26LfcTu0%255Bv%255D%3Dt%26LfcTu0%255Bd%255D%3D8%26BYFsT7%255Bv%255D%3Dt%26BYFsT7%255Bd%255D%3D9%26gqexyY%255Bv%255D%3Dt%26gqexyY%255Bd%255D%3D10&amp;bL=clight&amp;cE=0&amp;lR=0&amp;mC=38.71980474264237%2C-102.65625&amp;zL=4</w:t>
        </w:r>
      </w:hyperlink>
    </w:p>
    <w:p w14:paraId="715FC0F2"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Recovery Act: Smart Grid Investment Grant (SGIG) Program</w:t>
      </w:r>
      <w:r w:rsidRPr="008E419D">
        <w:rPr>
          <w:rFonts w:ascii="Times New Roman" w:hAnsi="Times New Roman" w:cs="Times New Roman"/>
        </w:rPr>
        <w:t xml:space="preserve">. (n.d.). Energy.Gov. Retrieved April 15, 2021, from </w:t>
      </w:r>
      <w:hyperlink r:id="rId33" w:history="1">
        <w:r w:rsidRPr="008E419D">
          <w:rPr>
            <w:rStyle w:val="Hyperlink"/>
            <w:rFonts w:ascii="Times New Roman" w:hAnsi="Times New Roman" w:cs="Times New Roman"/>
          </w:rPr>
          <w:t>https://www.energy.gov/oe/information-center/recovery-act-smart-grid-investment-grant-sgig-program</w:t>
        </w:r>
      </w:hyperlink>
    </w:p>
    <w:p w14:paraId="017A03F8"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Renewable Energy Supply Curves</w:t>
      </w:r>
      <w:r w:rsidRPr="008E419D">
        <w:rPr>
          <w:rFonts w:ascii="Times New Roman" w:hAnsi="Times New Roman" w:cs="Times New Roman"/>
        </w:rPr>
        <w:t xml:space="preserve">. (n.d.). Retrieved April 25, 2021, from </w:t>
      </w:r>
      <w:hyperlink r:id="rId34" w:history="1">
        <w:r w:rsidRPr="008E419D">
          <w:rPr>
            <w:rStyle w:val="Hyperlink"/>
            <w:rFonts w:ascii="Times New Roman" w:hAnsi="Times New Roman" w:cs="Times New Roman"/>
          </w:rPr>
          <w:t>https://www.nrel.gov/gis/renewable-energy-supply-curves.html</w:t>
        </w:r>
      </w:hyperlink>
    </w:p>
    <w:p w14:paraId="40F704E7" w14:textId="77777777" w:rsidR="008E419D" w:rsidRPr="008E419D" w:rsidRDefault="008E419D" w:rsidP="008E419D">
      <w:pPr>
        <w:spacing w:line="480" w:lineRule="auto"/>
        <w:ind w:hanging="480"/>
        <w:rPr>
          <w:rFonts w:ascii="Times New Roman" w:hAnsi="Times New Roman" w:cs="Times New Roman"/>
        </w:rPr>
      </w:pPr>
      <w:proofErr w:type="spellStart"/>
      <w:r w:rsidRPr="008E419D">
        <w:rPr>
          <w:rFonts w:ascii="Times New Roman" w:hAnsi="Times New Roman" w:cs="Times New Roman"/>
        </w:rPr>
        <w:lastRenderedPageBreak/>
        <w:t>Sovacool</w:t>
      </w:r>
      <w:proofErr w:type="spellEnd"/>
      <w:r w:rsidRPr="008E419D">
        <w:rPr>
          <w:rFonts w:ascii="Times New Roman" w:hAnsi="Times New Roman" w:cs="Times New Roman"/>
        </w:rPr>
        <w:t xml:space="preserve">, B. K., Heffron, R. J., McCauley, D., &amp; </w:t>
      </w:r>
      <w:proofErr w:type="spellStart"/>
      <w:r w:rsidRPr="008E419D">
        <w:rPr>
          <w:rFonts w:ascii="Times New Roman" w:hAnsi="Times New Roman" w:cs="Times New Roman"/>
        </w:rPr>
        <w:t>Goldthau</w:t>
      </w:r>
      <w:proofErr w:type="spellEnd"/>
      <w:r w:rsidRPr="008E419D">
        <w:rPr>
          <w:rFonts w:ascii="Times New Roman" w:hAnsi="Times New Roman" w:cs="Times New Roman"/>
        </w:rPr>
        <w:t xml:space="preserve">, A. (2016). Energy decisions reframed as justice and ethical concerns. </w:t>
      </w:r>
      <w:r w:rsidRPr="008E419D">
        <w:rPr>
          <w:rFonts w:ascii="Times New Roman" w:hAnsi="Times New Roman" w:cs="Times New Roman"/>
          <w:i/>
          <w:iCs/>
        </w:rPr>
        <w:t>Nature Energy</w:t>
      </w:r>
      <w:r w:rsidRPr="008E419D">
        <w:rPr>
          <w:rFonts w:ascii="Times New Roman" w:hAnsi="Times New Roman" w:cs="Times New Roman"/>
        </w:rPr>
        <w:t xml:space="preserve">, </w:t>
      </w:r>
      <w:r w:rsidRPr="008E419D">
        <w:rPr>
          <w:rFonts w:ascii="Times New Roman" w:hAnsi="Times New Roman" w:cs="Times New Roman"/>
          <w:i/>
          <w:iCs/>
        </w:rPr>
        <w:t>1</w:t>
      </w:r>
      <w:r w:rsidRPr="008E419D">
        <w:rPr>
          <w:rFonts w:ascii="Times New Roman" w:hAnsi="Times New Roman" w:cs="Times New Roman"/>
        </w:rPr>
        <w:t xml:space="preserve">(5), 1–6. </w:t>
      </w:r>
      <w:hyperlink r:id="rId35" w:history="1">
        <w:r w:rsidRPr="008E419D">
          <w:rPr>
            <w:rStyle w:val="Hyperlink"/>
            <w:rFonts w:ascii="Times New Roman" w:hAnsi="Times New Roman" w:cs="Times New Roman"/>
          </w:rPr>
          <w:t>https://doi.org/10.1038/nenergy.2016.24</w:t>
        </w:r>
      </w:hyperlink>
    </w:p>
    <w:p w14:paraId="5F83FA84"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Suitability Analysis—ArcGIS Pro | Documentation</w:t>
      </w:r>
      <w:r w:rsidRPr="008E419D">
        <w:rPr>
          <w:rFonts w:ascii="Times New Roman" w:hAnsi="Times New Roman" w:cs="Times New Roman"/>
        </w:rPr>
        <w:t xml:space="preserve">. (n.d.). Retrieved April 8, 2021, from </w:t>
      </w:r>
      <w:hyperlink r:id="rId36" w:history="1">
        <w:r w:rsidRPr="008E419D">
          <w:rPr>
            <w:rStyle w:val="Hyperlink"/>
            <w:rFonts w:ascii="Times New Roman" w:hAnsi="Times New Roman" w:cs="Times New Roman"/>
          </w:rPr>
          <w:t>https://pro.arcgis.com/en/pro-app/latest/help/analysis/business-analyst/understanding-suitability-analysis.htm</w:t>
        </w:r>
      </w:hyperlink>
    </w:p>
    <w:p w14:paraId="652E9522"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The National Risk Index</w:t>
      </w:r>
      <w:r w:rsidRPr="008E419D">
        <w:rPr>
          <w:rFonts w:ascii="Times New Roman" w:hAnsi="Times New Roman" w:cs="Times New Roman"/>
        </w:rPr>
        <w:t xml:space="preserve">. (n.d.). Retrieved April 8, 2021, from </w:t>
      </w:r>
      <w:hyperlink r:id="rId37" w:history="1">
        <w:r w:rsidRPr="008E419D">
          <w:rPr>
            <w:rStyle w:val="Hyperlink"/>
            <w:rFonts w:ascii="Times New Roman" w:hAnsi="Times New Roman" w:cs="Times New Roman"/>
          </w:rPr>
          <w:t>https://hazards.geoplatform.gov/portal/apps/MapSeries/index.html?appid=ddf915a24fb24dc8863eed96bc3345f8</w:t>
        </w:r>
      </w:hyperlink>
    </w:p>
    <w:p w14:paraId="471C2ADE" w14:textId="77777777" w:rsidR="008E419D" w:rsidRPr="008E419D" w:rsidRDefault="008E419D" w:rsidP="008E419D">
      <w:pPr>
        <w:spacing w:line="480" w:lineRule="auto"/>
        <w:ind w:hanging="480"/>
        <w:rPr>
          <w:rFonts w:ascii="Times New Roman" w:hAnsi="Times New Roman" w:cs="Times New Roman"/>
        </w:rPr>
      </w:pPr>
      <w:r w:rsidRPr="008E419D">
        <w:rPr>
          <w:rFonts w:ascii="Times New Roman" w:hAnsi="Times New Roman" w:cs="Times New Roman"/>
          <w:i/>
          <w:iCs/>
        </w:rPr>
        <w:t>Tutorial: Rank sites with Suitability Analysis—ArcGIS Pro | Documentation</w:t>
      </w:r>
      <w:r w:rsidRPr="008E419D">
        <w:rPr>
          <w:rFonts w:ascii="Times New Roman" w:hAnsi="Times New Roman" w:cs="Times New Roman"/>
        </w:rPr>
        <w:t xml:space="preserve">. (n.d.). Retrieved April 8, 2021, from </w:t>
      </w:r>
      <w:hyperlink r:id="rId38" w:history="1">
        <w:r w:rsidRPr="008E419D">
          <w:rPr>
            <w:rStyle w:val="Hyperlink"/>
            <w:rFonts w:ascii="Times New Roman" w:hAnsi="Times New Roman" w:cs="Times New Roman"/>
          </w:rPr>
          <w:t>https://pro.arcgis.com/en/pro-app/latest/help/analysis/business-analyst/suitability-analysis-walkthrough.htm</w:t>
        </w:r>
      </w:hyperlink>
    </w:p>
    <w:p w14:paraId="546CCD19" w14:textId="77777777" w:rsidR="001262A6" w:rsidRPr="009E7AC9" w:rsidRDefault="001262A6">
      <w:pPr>
        <w:rPr>
          <w:rFonts w:ascii="Times New Roman" w:eastAsia="Times New Roman" w:hAnsi="Times New Roman" w:cs="Times New Roman"/>
          <w:i/>
          <w:sz w:val="20"/>
          <w:szCs w:val="20"/>
        </w:rPr>
      </w:pPr>
    </w:p>
    <w:p w14:paraId="6D050E2C" w14:textId="77777777" w:rsidR="001262A6" w:rsidRPr="009E7AC9" w:rsidRDefault="001262A6">
      <w:pPr>
        <w:rPr>
          <w:rFonts w:ascii="Times New Roman" w:eastAsia="Times New Roman" w:hAnsi="Times New Roman" w:cs="Times New Roman"/>
          <w:i/>
          <w:sz w:val="20"/>
          <w:szCs w:val="20"/>
        </w:rPr>
      </w:pPr>
    </w:p>
    <w:p w14:paraId="1E5E2CA4" w14:textId="797FBDD8" w:rsidR="001262A6" w:rsidRPr="009E7AC9" w:rsidRDefault="00835A27">
      <w:pPr>
        <w:rPr>
          <w:rFonts w:ascii="Times New Roman" w:eastAsia="Times New Roman" w:hAnsi="Times New Roman" w:cs="Times New Roman"/>
          <w:b/>
        </w:rPr>
      </w:pPr>
      <w:r w:rsidRPr="009E7AC9">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9E7AC9" w:rsidRPr="009E7AC9"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Score</w:t>
            </w:r>
          </w:p>
        </w:tc>
      </w:tr>
      <w:tr w:rsidR="009E7AC9" w:rsidRPr="009E7AC9"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9E7AC9">
              <w:rPr>
                <w:rFonts w:ascii="Times New Roman" w:eastAsia="Times New Roman" w:hAnsi="Times New Roman" w:cs="Times New Roman"/>
                <w:sz w:val="16"/>
                <w:szCs w:val="16"/>
              </w:rPr>
              <w:t xml:space="preserve">All elements of a lab report are included </w:t>
            </w:r>
            <w:r w:rsidRPr="009E7AC9">
              <w:rPr>
                <w:rFonts w:ascii="Times New Roman" w:eastAsia="Times New Roman" w:hAnsi="Times New Roman" w:cs="Times New Roman"/>
                <w:b/>
                <w:sz w:val="16"/>
                <w:szCs w:val="16"/>
              </w:rPr>
              <w:t>(2 points each)</w:t>
            </w:r>
            <w:r w:rsidRPr="009E7AC9">
              <w:rPr>
                <w:rFonts w:ascii="Times New Roman" w:eastAsia="Times New Roman" w:hAnsi="Times New Roman" w:cs="Times New Roman"/>
                <w:sz w:val="16"/>
                <w:szCs w:val="16"/>
              </w:rPr>
              <w:t xml:space="preserve">: </w:t>
            </w:r>
          </w:p>
          <w:p w14:paraId="2832BDB0" w14:textId="135C50EB" w:rsidR="001262A6" w:rsidRPr="009E7AC9" w:rsidRDefault="00835A27">
            <w:pPr>
              <w:rPr>
                <w:rFonts w:ascii="Times New Roman" w:eastAsia="Times New Roman" w:hAnsi="Times New Roman" w:cs="Times New Roman"/>
                <w:sz w:val="16"/>
                <w:szCs w:val="16"/>
              </w:rPr>
            </w:pPr>
            <w:r w:rsidRPr="009E7AC9">
              <w:rPr>
                <w:rFonts w:ascii="Times New Roman" w:eastAsia="Times New Roman" w:hAnsi="Times New Roman" w:cs="Times New Roman"/>
                <w:sz w:val="16"/>
                <w:szCs w:val="16"/>
              </w:rPr>
              <w:t xml:space="preserve">Title, Notice: Dr. Bryan Runck, Author, </w:t>
            </w:r>
            <w:r w:rsidR="00662213" w:rsidRPr="009E7AC9">
              <w:rPr>
                <w:rFonts w:ascii="Times New Roman" w:eastAsia="Times New Roman" w:hAnsi="Times New Roman" w:cs="Times New Roman"/>
                <w:sz w:val="16"/>
                <w:szCs w:val="16"/>
              </w:rPr>
              <w:t>Project Repository</w:t>
            </w:r>
            <w:r w:rsidRPr="009E7AC9">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9E7AC9"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E7AC9">
              <w:rPr>
                <w:rFonts w:ascii="Times New Roman" w:eastAsia="Times New Roman" w:hAnsi="Times New Roman" w:cs="Times New Roman"/>
              </w:rPr>
              <w:t>2</w:t>
            </w:r>
            <w:r w:rsidR="00662213" w:rsidRPr="009E7AC9">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71003F02" w:rsidR="001262A6" w:rsidRPr="009E7AC9" w:rsidRDefault="000278F2">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28</w:t>
            </w:r>
          </w:p>
        </w:tc>
      </w:tr>
      <w:tr w:rsidR="009E7AC9" w:rsidRPr="009E7AC9"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rPr>
            </w:pPr>
            <w:r w:rsidRPr="009E7AC9">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9E7AC9">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w:t>
            </w:r>
            <w:proofErr w:type="gramStart"/>
            <w:r w:rsidRPr="009E7AC9">
              <w:rPr>
                <w:rFonts w:ascii="Times New Roman" w:eastAsia="Times New Roman" w:hAnsi="Times New Roman" w:cs="Times New Roman"/>
                <w:sz w:val="16"/>
                <w:szCs w:val="16"/>
              </w:rPr>
              <w:t>5 minute</w:t>
            </w:r>
            <w:proofErr w:type="gramEnd"/>
            <w:r w:rsidRPr="009E7AC9">
              <w:rPr>
                <w:rFonts w:ascii="Times New Roman" w:eastAsia="Times New Roman" w:hAnsi="Times New Roman" w:cs="Times New Roman"/>
                <w:sz w:val="16"/>
                <w:szCs w:val="16"/>
              </w:rPr>
              <w:t xml:space="preserve"> reading at a cursory-level, and in a 30 minute meeting at a deep level </w:t>
            </w:r>
            <w:r w:rsidRPr="009E7AC9">
              <w:rPr>
                <w:rFonts w:ascii="Times New Roman" w:eastAsia="Times New Roman" w:hAnsi="Times New Roman" w:cs="Times New Roman"/>
                <w:b/>
                <w:sz w:val="16"/>
                <w:szCs w:val="16"/>
              </w:rPr>
              <w:t>(12 points)</w:t>
            </w:r>
            <w:r w:rsidRPr="009E7AC9">
              <w:rPr>
                <w:rFonts w:ascii="Times New Roman" w:eastAsia="Times New Roman" w:hAnsi="Times New Roman" w:cs="Times New Roman"/>
                <w:sz w:val="16"/>
                <w:szCs w:val="16"/>
              </w:rPr>
              <w:t xml:space="preserve">. There is a clear connection from data to results to discussion and conclusion </w:t>
            </w:r>
            <w:r w:rsidRPr="009E7AC9">
              <w:rPr>
                <w:rFonts w:ascii="Times New Roman" w:eastAsia="Times New Roman" w:hAnsi="Times New Roman" w:cs="Times New Roman"/>
                <w:b/>
                <w:sz w:val="16"/>
                <w:szCs w:val="16"/>
              </w:rPr>
              <w:t>(12 points)</w:t>
            </w:r>
            <w:r w:rsidRPr="009E7AC9">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9E7AC9"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E7AC9">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507D5528" w:rsidR="001262A6" w:rsidRPr="009E7AC9" w:rsidRDefault="000278F2">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24</w:t>
            </w:r>
          </w:p>
        </w:tc>
      </w:tr>
      <w:tr w:rsidR="009E7AC9" w:rsidRPr="009E7AC9"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rPr>
            </w:pPr>
            <w:r w:rsidRPr="009E7AC9">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9E7AC9">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9E7AC9"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9E7AC9">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62D01BCF" w:rsidR="001262A6" w:rsidRPr="009E7AC9" w:rsidRDefault="000278F2">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28</w:t>
            </w:r>
          </w:p>
        </w:tc>
      </w:tr>
      <w:tr w:rsidR="009E7AC9" w:rsidRPr="009E7AC9"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519D01BF" w14:textId="77777777" w:rsidR="001262A6" w:rsidRPr="009E7AC9"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9E7AC9">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9E7AC9">
              <w:rPr>
                <w:rFonts w:ascii="Times New Roman" w:eastAsia="Times New Roman" w:hAnsi="Times New Roman" w:cs="Times New Roman"/>
                <w:b/>
                <w:sz w:val="16"/>
                <w:szCs w:val="16"/>
              </w:rPr>
              <w:t>(10 points)</w:t>
            </w:r>
            <w:r w:rsidRPr="009E7AC9">
              <w:rPr>
                <w:rFonts w:ascii="Times New Roman" w:eastAsia="Times New Roman" w:hAnsi="Times New Roman" w:cs="Times New Roman"/>
                <w:sz w:val="16"/>
                <w:szCs w:val="16"/>
              </w:rPr>
              <w:t xml:space="preserve">, the method of comparison is clearly stated </w:t>
            </w:r>
            <w:r w:rsidRPr="009E7AC9">
              <w:rPr>
                <w:rFonts w:ascii="Times New Roman" w:eastAsia="Times New Roman" w:hAnsi="Times New Roman" w:cs="Times New Roman"/>
                <w:b/>
                <w:sz w:val="16"/>
                <w:szCs w:val="16"/>
              </w:rPr>
              <w:t>(5 points)</w:t>
            </w:r>
            <w:r w:rsidRPr="009E7AC9">
              <w:rPr>
                <w:rFonts w:ascii="Times New Roman" w:eastAsia="Times New Roman" w:hAnsi="Times New Roman" w:cs="Times New Roman"/>
                <w:sz w:val="16"/>
                <w:szCs w:val="16"/>
              </w:rPr>
              <w:t xml:space="preserve">, and the result of verification is clearly stated </w:t>
            </w:r>
            <w:r w:rsidRPr="009E7AC9">
              <w:rPr>
                <w:rFonts w:ascii="Times New Roman" w:eastAsia="Times New Roman" w:hAnsi="Times New Roman" w:cs="Times New Roman"/>
                <w:b/>
                <w:sz w:val="16"/>
                <w:szCs w:val="16"/>
              </w:rPr>
              <w:t>(5 points)</w:t>
            </w:r>
            <w:r w:rsidRPr="009E7AC9">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9E7AC9"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E7AC9">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6068CDE2" w:rsidR="001262A6" w:rsidRPr="009E7AC9" w:rsidRDefault="000278F2">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20</w:t>
            </w:r>
          </w:p>
        </w:tc>
      </w:tr>
      <w:tr w:rsidR="00662213" w:rsidRPr="009E7AC9"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9E7AC9"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9E7AC9"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9E7AC9"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E7AC9">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ED0B1E2" w:rsidR="00662213" w:rsidRPr="009E7AC9" w:rsidRDefault="000278F2">
            <w:pPr>
              <w:widowControl w:val="0"/>
              <w:pBdr>
                <w:top w:val="nil"/>
                <w:left w:val="nil"/>
                <w:bottom w:val="nil"/>
                <w:right w:val="nil"/>
                <w:between w:val="nil"/>
              </w:pBdr>
              <w:rPr>
                <w:rFonts w:ascii="Times New Roman" w:eastAsia="Times New Roman" w:hAnsi="Times New Roman" w:cs="Times New Roman"/>
                <w:b/>
              </w:rPr>
            </w:pPr>
            <w:r w:rsidRPr="009E7AC9">
              <w:rPr>
                <w:rFonts w:ascii="Times New Roman" w:eastAsia="Times New Roman" w:hAnsi="Times New Roman" w:cs="Times New Roman"/>
                <w:b/>
              </w:rPr>
              <w:t>100</w:t>
            </w:r>
          </w:p>
        </w:tc>
      </w:tr>
    </w:tbl>
    <w:p w14:paraId="279DC6F5" w14:textId="77777777" w:rsidR="001262A6" w:rsidRPr="009E7AC9" w:rsidRDefault="001262A6">
      <w:pPr>
        <w:rPr>
          <w:rFonts w:ascii="Times New Roman" w:eastAsia="Times New Roman" w:hAnsi="Times New Roman" w:cs="Times New Roman"/>
          <w:b/>
        </w:rPr>
      </w:pPr>
    </w:p>
    <w:sectPr w:rsidR="001262A6" w:rsidRPr="009E7A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278F2"/>
    <w:rsid w:val="000A2BC7"/>
    <w:rsid w:val="001262A6"/>
    <w:rsid w:val="00206419"/>
    <w:rsid w:val="0025720F"/>
    <w:rsid w:val="002E2CA0"/>
    <w:rsid w:val="003139DB"/>
    <w:rsid w:val="00344678"/>
    <w:rsid w:val="003634C5"/>
    <w:rsid w:val="00393467"/>
    <w:rsid w:val="003A2A03"/>
    <w:rsid w:val="003D04E9"/>
    <w:rsid w:val="003F15A1"/>
    <w:rsid w:val="003F4C57"/>
    <w:rsid w:val="00423853"/>
    <w:rsid w:val="00450563"/>
    <w:rsid w:val="00630EBE"/>
    <w:rsid w:val="00653C7C"/>
    <w:rsid w:val="00662213"/>
    <w:rsid w:val="00695C31"/>
    <w:rsid w:val="0074263C"/>
    <w:rsid w:val="00821759"/>
    <w:rsid w:val="00835A27"/>
    <w:rsid w:val="008A3A0A"/>
    <w:rsid w:val="008E419D"/>
    <w:rsid w:val="00952B1A"/>
    <w:rsid w:val="009A3BF7"/>
    <w:rsid w:val="009E55F0"/>
    <w:rsid w:val="009E7AC9"/>
    <w:rsid w:val="009F6CC0"/>
    <w:rsid w:val="00A10715"/>
    <w:rsid w:val="00A46F4A"/>
    <w:rsid w:val="00A7621D"/>
    <w:rsid w:val="00A91218"/>
    <w:rsid w:val="00B21129"/>
    <w:rsid w:val="00B450B0"/>
    <w:rsid w:val="00B6777D"/>
    <w:rsid w:val="00B86B9E"/>
    <w:rsid w:val="00BA0523"/>
    <w:rsid w:val="00C34180"/>
    <w:rsid w:val="00C50705"/>
    <w:rsid w:val="00C538F2"/>
    <w:rsid w:val="00D26782"/>
    <w:rsid w:val="00DE718B"/>
    <w:rsid w:val="00E96169"/>
    <w:rsid w:val="00EE7F0F"/>
    <w:rsid w:val="00F65C9B"/>
    <w:rsid w:val="00F6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6422">
      <w:bodyDiv w:val="1"/>
      <w:marLeft w:val="0"/>
      <w:marRight w:val="0"/>
      <w:marTop w:val="0"/>
      <w:marBottom w:val="0"/>
      <w:divBdr>
        <w:top w:val="none" w:sz="0" w:space="0" w:color="auto"/>
        <w:left w:val="none" w:sz="0" w:space="0" w:color="auto"/>
        <w:bottom w:val="none" w:sz="0" w:space="0" w:color="auto"/>
        <w:right w:val="none" w:sz="0" w:space="0" w:color="auto"/>
      </w:divBdr>
      <w:divsChild>
        <w:div w:id="1271275410">
          <w:marLeft w:val="480"/>
          <w:marRight w:val="0"/>
          <w:marTop w:val="0"/>
          <w:marBottom w:val="0"/>
          <w:divBdr>
            <w:top w:val="none" w:sz="0" w:space="0" w:color="auto"/>
            <w:left w:val="none" w:sz="0" w:space="0" w:color="auto"/>
            <w:bottom w:val="none" w:sz="0" w:space="0" w:color="auto"/>
            <w:right w:val="none" w:sz="0" w:space="0" w:color="auto"/>
          </w:divBdr>
          <w:divsChild>
            <w:div w:id="1019046369">
              <w:marLeft w:val="0"/>
              <w:marRight w:val="0"/>
              <w:marTop w:val="0"/>
              <w:marBottom w:val="0"/>
              <w:divBdr>
                <w:top w:val="none" w:sz="0" w:space="0" w:color="auto"/>
                <w:left w:val="none" w:sz="0" w:space="0" w:color="auto"/>
                <w:bottom w:val="none" w:sz="0" w:space="0" w:color="auto"/>
                <w:right w:val="none" w:sz="0" w:space="0" w:color="auto"/>
              </w:divBdr>
            </w:div>
            <w:div w:id="249698010">
              <w:marLeft w:val="0"/>
              <w:marRight w:val="0"/>
              <w:marTop w:val="0"/>
              <w:marBottom w:val="0"/>
              <w:divBdr>
                <w:top w:val="none" w:sz="0" w:space="0" w:color="auto"/>
                <w:left w:val="none" w:sz="0" w:space="0" w:color="auto"/>
                <w:bottom w:val="none" w:sz="0" w:space="0" w:color="auto"/>
                <w:right w:val="none" w:sz="0" w:space="0" w:color="auto"/>
              </w:divBdr>
            </w:div>
            <w:div w:id="618683329">
              <w:marLeft w:val="0"/>
              <w:marRight w:val="0"/>
              <w:marTop w:val="0"/>
              <w:marBottom w:val="0"/>
              <w:divBdr>
                <w:top w:val="none" w:sz="0" w:space="0" w:color="auto"/>
                <w:left w:val="none" w:sz="0" w:space="0" w:color="auto"/>
                <w:bottom w:val="none" w:sz="0" w:space="0" w:color="auto"/>
                <w:right w:val="none" w:sz="0" w:space="0" w:color="auto"/>
              </w:divBdr>
            </w:div>
            <w:div w:id="759062674">
              <w:marLeft w:val="0"/>
              <w:marRight w:val="0"/>
              <w:marTop w:val="0"/>
              <w:marBottom w:val="0"/>
              <w:divBdr>
                <w:top w:val="none" w:sz="0" w:space="0" w:color="auto"/>
                <w:left w:val="none" w:sz="0" w:space="0" w:color="auto"/>
                <w:bottom w:val="none" w:sz="0" w:space="0" w:color="auto"/>
                <w:right w:val="none" w:sz="0" w:space="0" w:color="auto"/>
              </w:divBdr>
            </w:div>
            <w:div w:id="1804275702">
              <w:marLeft w:val="0"/>
              <w:marRight w:val="0"/>
              <w:marTop w:val="0"/>
              <w:marBottom w:val="0"/>
              <w:divBdr>
                <w:top w:val="none" w:sz="0" w:space="0" w:color="auto"/>
                <w:left w:val="none" w:sz="0" w:space="0" w:color="auto"/>
                <w:bottom w:val="none" w:sz="0" w:space="0" w:color="auto"/>
                <w:right w:val="none" w:sz="0" w:space="0" w:color="auto"/>
              </w:divBdr>
            </w:div>
            <w:div w:id="1726444538">
              <w:marLeft w:val="0"/>
              <w:marRight w:val="0"/>
              <w:marTop w:val="0"/>
              <w:marBottom w:val="0"/>
              <w:divBdr>
                <w:top w:val="none" w:sz="0" w:space="0" w:color="auto"/>
                <w:left w:val="none" w:sz="0" w:space="0" w:color="auto"/>
                <w:bottom w:val="none" w:sz="0" w:space="0" w:color="auto"/>
                <w:right w:val="none" w:sz="0" w:space="0" w:color="auto"/>
              </w:divBdr>
            </w:div>
            <w:div w:id="2030527600">
              <w:marLeft w:val="0"/>
              <w:marRight w:val="0"/>
              <w:marTop w:val="0"/>
              <w:marBottom w:val="0"/>
              <w:divBdr>
                <w:top w:val="none" w:sz="0" w:space="0" w:color="auto"/>
                <w:left w:val="none" w:sz="0" w:space="0" w:color="auto"/>
                <w:bottom w:val="none" w:sz="0" w:space="0" w:color="auto"/>
                <w:right w:val="none" w:sz="0" w:space="0" w:color="auto"/>
              </w:divBdr>
            </w:div>
            <w:div w:id="1409615996">
              <w:marLeft w:val="0"/>
              <w:marRight w:val="0"/>
              <w:marTop w:val="0"/>
              <w:marBottom w:val="0"/>
              <w:divBdr>
                <w:top w:val="none" w:sz="0" w:space="0" w:color="auto"/>
                <w:left w:val="none" w:sz="0" w:space="0" w:color="auto"/>
                <w:bottom w:val="none" w:sz="0" w:space="0" w:color="auto"/>
                <w:right w:val="none" w:sz="0" w:space="0" w:color="auto"/>
              </w:divBdr>
            </w:div>
            <w:div w:id="2091194710">
              <w:marLeft w:val="0"/>
              <w:marRight w:val="0"/>
              <w:marTop w:val="0"/>
              <w:marBottom w:val="0"/>
              <w:divBdr>
                <w:top w:val="none" w:sz="0" w:space="0" w:color="auto"/>
                <w:left w:val="none" w:sz="0" w:space="0" w:color="auto"/>
                <w:bottom w:val="none" w:sz="0" w:space="0" w:color="auto"/>
                <w:right w:val="none" w:sz="0" w:space="0" w:color="auto"/>
              </w:divBdr>
            </w:div>
            <w:div w:id="241985536">
              <w:marLeft w:val="0"/>
              <w:marRight w:val="0"/>
              <w:marTop w:val="0"/>
              <w:marBottom w:val="0"/>
              <w:divBdr>
                <w:top w:val="none" w:sz="0" w:space="0" w:color="auto"/>
                <w:left w:val="none" w:sz="0" w:space="0" w:color="auto"/>
                <w:bottom w:val="none" w:sz="0" w:space="0" w:color="auto"/>
                <w:right w:val="none" w:sz="0" w:space="0" w:color="auto"/>
              </w:divBdr>
            </w:div>
            <w:div w:id="2036226978">
              <w:marLeft w:val="0"/>
              <w:marRight w:val="0"/>
              <w:marTop w:val="0"/>
              <w:marBottom w:val="0"/>
              <w:divBdr>
                <w:top w:val="none" w:sz="0" w:space="0" w:color="auto"/>
                <w:left w:val="none" w:sz="0" w:space="0" w:color="auto"/>
                <w:bottom w:val="none" w:sz="0" w:space="0" w:color="auto"/>
                <w:right w:val="none" w:sz="0" w:space="0" w:color="auto"/>
              </w:divBdr>
            </w:div>
            <w:div w:id="211782501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48186796">
              <w:marLeft w:val="0"/>
              <w:marRight w:val="0"/>
              <w:marTop w:val="0"/>
              <w:marBottom w:val="0"/>
              <w:divBdr>
                <w:top w:val="none" w:sz="0" w:space="0" w:color="auto"/>
                <w:left w:val="none" w:sz="0" w:space="0" w:color="auto"/>
                <w:bottom w:val="none" w:sz="0" w:space="0" w:color="auto"/>
                <w:right w:val="none" w:sz="0" w:space="0" w:color="auto"/>
              </w:divBdr>
            </w:div>
            <w:div w:id="1718578446">
              <w:marLeft w:val="0"/>
              <w:marRight w:val="0"/>
              <w:marTop w:val="0"/>
              <w:marBottom w:val="0"/>
              <w:divBdr>
                <w:top w:val="none" w:sz="0" w:space="0" w:color="auto"/>
                <w:left w:val="none" w:sz="0" w:space="0" w:color="auto"/>
                <w:bottom w:val="none" w:sz="0" w:space="0" w:color="auto"/>
                <w:right w:val="none" w:sz="0" w:space="0" w:color="auto"/>
              </w:divBdr>
            </w:div>
            <w:div w:id="1420178391">
              <w:marLeft w:val="0"/>
              <w:marRight w:val="0"/>
              <w:marTop w:val="0"/>
              <w:marBottom w:val="0"/>
              <w:divBdr>
                <w:top w:val="none" w:sz="0" w:space="0" w:color="auto"/>
                <w:left w:val="none" w:sz="0" w:space="0" w:color="auto"/>
                <w:bottom w:val="none" w:sz="0" w:space="0" w:color="auto"/>
                <w:right w:val="none" w:sz="0" w:space="0" w:color="auto"/>
              </w:divBdr>
            </w:div>
            <w:div w:id="1456413014">
              <w:marLeft w:val="0"/>
              <w:marRight w:val="0"/>
              <w:marTop w:val="0"/>
              <w:marBottom w:val="0"/>
              <w:divBdr>
                <w:top w:val="none" w:sz="0" w:space="0" w:color="auto"/>
                <w:left w:val="none" w:sz="0" w:space="0" w:color="auto"/>
                <w:bottom w:val="none" w:sz="0" w:space="0" w:color="auto"/>
                <w:right w:val="none" w:sz="0" w:space="0" w:color="auto"/>
              </w:divBdr>
            </w:div>
            <w:div w:id="328555942">
              <w:marLeft w:val="0"/>
              <w:marRight w:val="0"/>
              <w:marTop w:val="0"/>
              <w:marBottom w:val="0"/>
              <w:divBdr>
                <w:top w:val="none" w:sz="0" w:space="0" w:color="auto"/>
                <w:left w:val="none" w:sz="0" w:space="0" w:color="auto"/>
                <w:bottom w:val="none" w:sz="0" w:space="0" w:color="auto"/>
                <w:right w:val="none" w:sz="0" w:space="0" w:color="auto"/>
              </w:divBdr>
            </w:div>
            <w:div w:id="1261449222">
              <w:marLeft w:val="0"/>
              <w:marRight w:val="0"/>
              <w:marTop w:val="0"/>
              <w:marBottom w:val="0"/>
              <w:divBdr>
                <w:top w:val="none" w:sz="0" w:space="0" w:color="auto"/>
                <w:left w:val="none" w:sz="0" w:space="0" w:color="auto"/>
                <w:bottom w:val="none" w:sz="0" w:space="0" w:color="auto"/>
                <w:right w:val="none" w:sz="0" w:space="0" w:color="auto"/>
              </w:divBdr>
            </w:div>
            <w:div w:id="1628244070">
              <w:marLeft w:val="0"/>
              <w:marRight w:val="0"/>
              <w:marTop w:val="0"/>
              <w:marBottom w:val="0"/>
              <w:divBdr>
                <w:top w:val="none" w:sz="0" w:space="0" w:color="auto"/>
                <w:left w:val="none" w:sz="0" w:space="0" w:color="auto"/>
                <w:bottom w:val="none" w:sz="0" w:space="0" w:color="auto"/>
                <w:right w:val="none" w:sz="0" w:space="0" w:color="auto"/>
              </w:divBdr>
            </w:div>
            <w:div w:id="1301157121">
              <w:marLeft w:val="0"/>
              <w:marRight w:val="0"/>
              <w:marTop w:val="0"/>
              <w:marBottom w:val="0"/>
              <w:divBdr>
                <w:top w:val="none" w:sz="0" w:space="0" w:color="auto"/>
                <w:left w:val="none" w:sz="0" w:space="0" w:color="auto"/>
                <w:bottom w:val="none" w:sz="0" w:space="0" w:color="auto"/>
                <w:right w:val="none" w:sz="0" w:space="0" w:color="auto"/>
              </w:divBdr>
            </w:div>
            <w:div w:id="1369572513">
              <w:marLeft w:val="0"/>
              <w:marRight w:val="0"/>
              <w:marTop w:val="0"/>
              <w:marBottom w:val="0"/>
              <w:divBdr>
                <w:top w:val="none" w:sz="0" w:space="0" w:color="auto"/>
                <w:left w:val="none" w:sz="0" w:space="0" w:color="auto"/>
                <w:bottom w:val="none" w:sz="0" w:space="0" w:color="auto"/>
                <w:right w:val="none" w:sz="0" w:space="0" w:color="auto"/>
              </w:divBdr>
            </w:div>
            <w:div w:id="602300054">
              <w:marLeft w:val="0"/>
              <w:marRight w:val="0"/>
              <w:marTop w:val="0"/>
              <w:marBottom w:val="0"/>
              <w:divBdr>
                <w:top w:val="none" w:sz="0" w:space="0" w:color="auto"/>
                <w:left w:val="none" w:sz="0" w:space="0" w:color="auto"/>
                <w:bottom w:val="none" w:sz="0" w:space="0" w:color="auto"/>
                <w:right w:val="none" w:sz="0" w:space="0" w:color="auto"/>
              </w:divBdr>
            </w:div>
            <w:div w:id="1327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118">
      <w:bodyDiv w:val="1"/>
      <w:marLeft w:val="0"/>
      <w:marRight w:val="0"/>
      <w:marTop w:val="0"/>
      <w:marBottom w:val="0"/>
      <w:divBdr>
        <w:top w:val="none" w:sz="0" w:space="0" w:color="auto"/>
        <w:left w:val="none" w:sz="0" w:space="0" w:color="auto"/>
        <w:bottom w:val="none" w:sz="0" w:space="0" w:color="auto"/>
        <w:right w:val="none" w:sz="0" w:space="0" w:color="auto"/>
      </w:divBdr>
      <w:divsChild>
        <w:div w:id="251285164">
          <w:marLeft w:val="480"/>
          <w:marRight w:val="0"/>
          <w:marTop w:val="0"/>
          <w:marBottom w:val="0"/>
          <w:divBdr>
            <w:top w:val="none" w:sz="0" w:space="0" w:color="auto"/>
            <w:left w:val="none" w:sz="0" w:space="0" w:color="auto"/>
            <w:bottom w:val="none" w:sz="0" w:space="0" w:color="auto"/>
            <w:right w:val="none" w:sz="0" w:space="0" w:color="auto"/>
          </w:divBdr>
          <w:divsChild>
            <w:div w:id="21183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texastribune.org/2021/02/17/texas-power-grid-failures/" TargetMode="External"/><Relationship Id="rId26" Type="http://schemas.openxmlformats.org/officeDocument/2006/relationships/hyperlink" Target="https://energsustainsoc.biomedcentral.com/articles/10.1186/s13705-019-0199-y" TargetMode="External"/><Relationship Id="rId39" Type="http://schemas.openxmlformats.org/officeDocument/2006/relationships/fontTable" Target="fontTable.xml"/><Relationship Id="rId21" Type="http://schemas.openxmlformats.org/officeDocument/2006/relationships/hyperlink" Target="https://hifld-geoplatform.opendata.arcgis.com/datasets/control-areas" TargetMode="External"/><Relationship Id="rId34" Type="http://schemas.openxmlformats.org/officeDocument/2006/relationships/hyperlink" Target="https://www.nrel.gov/gis/renewable-energy-supply-curves.html" TargetMode="External"/><Relationship Id="rId7" Type="http://schemas.openxmlformats.org/officeDocument/2006/relationships/hyperlink" Target="https://hazards.geoplatform.gov/portal/apps/MapSeries/index.html?appid=ddf915a24fb24dc8863eed96bc3345f8" TargetMode="External"/><Relationship Id="rId12" Type="http://schemas.openxmlformats.org/officeDocument/2006/relationships/image" Target="media/image1.JPG"/><Relationship Id="rId17" Type="http://schemas.openxmlformats.org/officeDocument/2006/relationships/hyperlink" Target="https://hifld-geoplatform.opendata.arcgis.com/datasets/c4fd0b01c2544a2f83440dab292f0980_0?geometry=134.976%2C19.251%2C19.136%2C62.725" TargetMode="External"/><Relationship Id="rId25" Type="http://schemas.openxmlformats.org/officeDocument/2006/relationships/hyperlink" Target="https://pro.arcgis.com/en/pro-app/latest/tool-reference/business-analyst/make-suitability-analysis-layer.htm" TargetMode="External"/><Relationship Id="rId33" Type="http://schemas.openxmlformats.org/officeDocument/2006/relationships/hyperlink" Target="https://www.energy.gov/oe/information-center/recovery-act-smart-grid-investment-grant-sgig-program" TargetMode="External"/><Relationship Id="rId38" Type="http://schemas.openxmlformats.org/officeDocument/2006/relationships/hyperlink" Target="https://pro.arcgis.com/en/pro-app/latest/help/analysis/business-analyst/suitability-analysis-walkthrough.htm" TargetMode="External"/><Relationship Id="rId2" Type="http://schemas.openxmlformats.org/officeDocument/2006/relationships/customXml" Target="../customXml/item2.xml"/><Relationship Id="rId16" Type="http://schemas.openxmlformats.org/officeDocument/2006/relationships/hyperlink" Target="https://openei.org/doe-opendata/dataset/city-county-energy-profiles" TargetMode="External"/><Relationship Id="rId20" Type="http://schemas.openxmlformats.org/officeDocument/2006/relationships/hyperlink" Target="https://hifld-geoplatform.opendata.arcgis.com/datasets/electric-substations?geometry=-110.440%2C43.508%2C-79.920%2C48.828" TargetMode="External"/><Relationship Id="rId29" Type="http://schemas.openxmlformats.org/officeDocument/2006/relationships/hyperlink" Target="https://hub.arcgis.com/datasets/800f684ebadf423bae4c669cb0a1d7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2.nhgis.org/" TargetMode="External"/><Relationship Id="rId24" Type="http://schemas.openxmlformats.org/officeDocument/2006/relationships/hyperlink" Target="https://www.forbes.com/sites/llewellynking/2021/01/28/how-the-supply-chain-in-heavy-bulk-power-equipment-is-vulnerable-to-undetected-cyberattack/?sh=ae9ae027213a" TargetMode="External"/><Relationship Id="rId32" Type="http://schemas.openxmlformats.org/officeDocument/2006/relationships/hyperlink" Target="https://maps.nrel.gov/re-atlas/?aL=JlFHoz%255Bv%255D%3Dt%26kEU0Ap%255Bv%255D%3Dt%26kEU0Ap%255Bd%255D%3D1%26aN-EQ2%255Bv%255D%3Dt%26aN-EQ2%255Bd%255D%3D2%26AMzVXM%255Bv%255D%3Dt%26AMzVXM%255Bd%255D%3D3%26G7wxJd%255Bv%255D%3Dt%26G7wxJd%255Bd%255D%3D4%267qLAVM%255Bv%255D%3Dt%267qLAVM%255Bd%255D%3D5%263RSdgP%255Bv%255D%3Dt%263RSdgP%255Bd%255D%3D6%26HQIuk_%255Bv%255D%3Dt%26HQIuk_%255Bd%255D%3D7%26LfcTu0%255Bv%255D%3Dt%26LfcTu0%255Bd%255D%3D8%26BYFsT7%255Bv%255D%3Dt%26BYFsT7%255Bd%255D%3D9%26gqexyY%255Bv%255D%3Dt%26gqexyY%255Bd%255D%3D10&amp;bL=clight&amp;cE=0&amp;lR=0&amp;mC=38.71980474264237%2C-102.65625&amp;zL=4" TargetMode="External"/><Relationship Id="rId37" Type="http://schemas.openxmlformats.org/officeDocument/2006/relationships/hyperlink" Target="https://hazards.geoplatform.gov/portal/apps/MapSeries/index.html?appid=ddf915a24fb24dc8863eed96bc3345f8"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ytimes.com/2021/02/17/climate/storms-power-outage-newsletter.html" TargetMode="External"/><Relationship Id="rId23" Type="http://schemas.openxmlformats.org/officeDocument/2006/relationships/hyperlink" Target="https://pro.arcgis.com/en/pro-app/latest/tool-reference/spatial-statistics/learnmoreupdatedgeneratenetworkswm.htm" TargetMode="External"/><Relationship Id="rId28" Type="http://schemas.openxmlformats.org/officeDocument/2006/relationships/hyperlink" Target="https://isen.northwestern.edu/mapping-the-vulnerability-and-strength-of-the-power-grid" TargetMode="External"/><Relationship Id="rId36" Type="http://schemas.openxmlformats.org/officeDocument/2006/relationships/hyperlink" Target="https://pro.arcgis.com/en/pro-app/latest/help/analysis/business-analyst/understanding-suitability-analysis.htm" TargetMode="External"/><Relationship Id="rId10" Type="http://schemas.openxmlformats.org/officeDocument/2006/relationships/hyperlink" Target="https://maps.nrel.gov/re-atlas/?aL=JlFHoz%255Bv%255D%3Dt%26kEU0Ap%255Bv%255D%3Dt%26kEU0Ap%255Bd%255D%3D1%26aN-EQ2%255Bv%255D%3Dt%26aN-EQ2%255Bd%255D%3D2%26AMzVXM%255Bv%255D%3Dt%26AMzVXM%255Bd%255D%3D3%26G7wxJd%255Bv%255D%3Dt%26G7wxJd%255Bd%255D%3D4%267qLAVM%255Bv%255D%3Dt%267qLAVM%255Bd%255D%3D5%263RSdgP%255Bv%255D%3Dt%263RSdgP%255Bd%255D%3D6%26HQIuk_%255Bv%255D%3Dt%26HQIuk_%255Bd%255D%3D7%26LfcTu0%255Bv%255D%3Dt%26LfcTu0%255Bd%255D%3D8%26BYFsT7%255Bv%255D%3Dt%26BYFsT7%255Bd%255D%3D9%26gqexyY%255Bv%255D%3Dt%26gqexyY%255Bd%255D%3D10&amp;bL=clight&amp;cE=0&amp;lR=0&amp;mC=38.71980474264237%2C-102.65625&amp;zL=4" TargetMode="External"/><Relationship Id="rId19" Type="http://schemas.openxmlformats.org/officeDocument/2006/relationships/hyperlink" Target="https://hifld-geoplatform.opendata.arcgis.com/datasets/14b5a08efaec446ba7aa0121220141fa_0" TargetMode="External"/><Relationship Id="rId31" Type="http://schemas.openxmlformats.org/officeDocument/2006/relationships/hyperlink" Target="https://hub.arcgis.com/datasets/a6fc3f3610d0485295cb35306a567f38" TargetMode="External"/><Relationship Id="rId4" Type="http://schemas.openxmlformats.org/officeDocument/2006/relationships/styles" Target="styles.xml"/><Relationship Id="rId9" Type="http://schemas.openxmlformats.org/officeDocument/2006/relationships/hyperlink" Target="https://maps.nrel.gov/re-atlas/?aL=JlFHoz%255Bv%255D%3Dt%26kEU0Ap%255Bv%255D%3Dt%26kEU0Ap%255Bd%255D%3D1%26aN-EQ2%255Bv%255D%3Dt%26aN-EQ2%255Bd%255D%3D2%26AMzVXM%255Bv%255D%3Dt%26AMzVXM%255Bd%255D%3D3%26G7wxJd%255Bv%255D%3Dt%26G7wxJd%255Bd%255D%3D4%267qLAVM%255Bv%255D%3Dt%267qLAVM%255Bd%255D%3D5%263RSdgP%255Bv%255D%3Dt%263RSdgP%255Bd%255D%3D6%26HQIuk_%255Bv%255D%3Dt%26HQIuk_%255Bd%255D%3D7%26LfcTu0%255Bv%255D%3Dt%26LfcTu0%255Bd%255D%3D8%26BYFsT7%255Bv%255D%3Dt%26BYFsT7%255Bd%255D%3D9%26gqexyY%255Bv%255D%3Dt%26gqexyY%255Bd%255D%3D10&amp;bL=clight&amp;cE=0&amp;lR=0&amp;mC=38.71980474264237%2C-102.65625&amp;zL=4" TargetMode="External"/><Relationship Id="rId14" Type="http://schemas.openxmlformats.org/officeDocument/2006/relationships/image" Target="media/image3.JPG"/><Relationship Id="rId22" Type="http://schemas.openxmlformats.org/officeDocument/2006/relationships/hyperlink" Target="https://hifld-geoplatform.opendata.arcgis.com/datasets/electric-power-transmission-lines/data?geometry=-102.431%2C44.299%2C-86.819%2C46.986" TargetMode="External"/><Relationship Id="rId27" Type="http://schemas.openxmlformats.org/officeDocument/2006/relationships/hyperlink" Target="https://medium.com/@cam1147/looking-at-what-questions-a-civilian-can-ask-of-sensitive-government-data-43f613a5315e" TargetMode="External"/><Relationship Id="rId30" Type="http://schemas.openxmlformats.org/officeDocument/2006/relationships/hyperlink" Target="https://www.gislounge.com/overview-weighted-site-selection-suitability-analysis/" TargetMode="External"/><Relationship Id="rId35" Type="http://schemas.openxmlformats.org/officeDocument/2006/relationships/hyperlink" Target="https://doi.org/10.1038/nenergy.2016.24" TargetMode="External"/><Relationship Id="rId8" Type="http://schemas.openxmlformats.org/officeDocument/2006/relationships/hyperlink" Target="https://maps.nrel.gov/re-atlas/?aL=JlFHoz%255Bv%255D%3Dt%26kEU0Ap%255Bv%255D%3Dt%26kEU0Ap%255Bd%255D%3D1%26aN-EQ2%255Bv%255D%3Dt%26aN-EQ2%255Bd%255D%3D2%26AMzVXM%255Bv%255D%3Dt%26AMzVXM%255Bd%255D%3D3%26G7wxJd%255Bv%255D%3Dt%26G7wxJd%255Bd%255D%3D4%267qLAVM%255Bv%255D%3Dt%267qLAVM%255Bd%255D%3D5%263RSdgP%255Bv%255D%3Dt%263RSdgP%255Bd%255D%3D6%26HQIuk_%255Bv%255D%3Dt%26HQIuk_%255Bd%255D%3D7%26LfcTu0%255Bv%255D%3Dt%26LfcTu0%255Bd%255D%3D8%26BYFsT7%255Bv%255D%3Dt%26BYFsT7%255Bd%255D%3D9%26gqexyY%255Bv%255D%3Dt%26gqexyY%255Bd%255D%3D10&amp;bL=clight&amp;cE=0&amp;lR=0&amp;mC=38.71980474264237%2C-102.65625&amp;zL=4"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820BC7E7-D531-4914-8AA4-4F8A58C55D5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8</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27</cp:revision>
  <dcterms:created xsi:type="dcterms:W3CDTF">2021-01-22T02:08:00Z</dcterms:created>
  <dcterms:modified xsi:type="dcterms:W3CDTF">2021-05-07T21:38:00Z</dcterms:modified>
</cp:coreProperties>
</file>