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B82AE" w14:textId="77777777" w:rsidR="005A3B9F" w:rsidRDefault="009404CA">
      <w:pPr>
        <w:ind w:firstLine="0"/>
        <w:rPr>
          <w:color w:val="000000"/>
        </w:rPr>
      </w:pPr>
      <w:bookmarkStart w:id="0" w:name="_GoBack"/>
      <w:bookmarkEnd w:id="0"/>
      <w:r>
        <w:rPr>
          <w:b/>
          <w:color w:val="000000"/>
        </w:rPr>
        <w:t>Supplement 1:</w:t>
      </w:r>
      <w:r>
        <w:rPr>
          <w:color w:val="000000"/>
        </w:rPr>
        <w:t xml:space="preserve"> Eye data analysis</w:t>
      </w:r>
    </w:p>
    <w:p w14:paraId="00511885" w14:textId="77777777" w:rsidR="005A3B9F" w:rsidRDefault="009404CA">
      <w:pPr>
        <w:rPr>
          <w:color w:val="000000"/>
        </w:rPr>
      </w:pPr>
      <w:r>
        <w:rPr>
          <w:color w:val="000000"/>
        </w:rPr>
        <w:t xml:space="preserve">SMI-ETG is a binocular eye-tracker with automatic parallax compensation providing a sampling rate of 60 Hz, an accuracy of 0.5 </w:t>
      </w:r>
      <w:proofErr w:type="spellStart"/>
      <w:r>
        <w:rPr>
          <w:color w:val="000000"/>
        </w:rPr>
        <w:t>deg</w:t>
      </w:r>
      <w:proofErr w:type="spellEnd"/>
      <w:r>
        <w:rPr>
          <w:color w:val="000000"/>
        </w:rPr>
        <w:t xml:space="preserve">, and a gaze tracking range of 80 </w:t>
      </w:r>
      <w:proofErr w:type="spellStart"/>
      <w:r>
        <w:rPr>
          <w:color w:val="000000"/>
        </w:rPr>
        <w:t>deg</w:t>
      </w:r>
      <w:proofErr w:type="spellEnd"/>
      <w:r>
        <w:rPr>
          <w:color w:val="000000"/>
        </w:rPr>
        <w:t xml:space="preserve"> horizontal x 60 </w:t>
      </w:r>
      <w:proofErr w:type="spellStart"/>
      <w:r>
        <w:rPr>
          <w:color w:val="000000"/>
        </w:rPr>
        <w:t>deg</w:t>
      </w:r>
      <w:proofErr w:type="spellEnd"/>
      <w:r>
        <w:rPr>
          <w:color w:val="000000"/>
        </w:rPr>
        <w:t xml:space="preserve"> vertical. Eye-tracking data is acquired by 2 cameras computing the reflection of infrared light in the cornea. The SMI-ETG also records an egocentric view of the environment with an infrared camera at a resolution of 1280 x 960 pixels, with an environment tracking range of 60 </w:t>
      </w:r>
      <w:proofErr w:type="spellStart"/>
      <w:r>
        <w:rPr>
          <w:color w:val="000000"/>
        </w:rPr>
        <w:t>deg</w:t>
      </w:r>
      <w:proofErr w:type="spellEnd"/>
      <w:r>
        <w:rPr>
          <w:color w:val="000000"/>
        </w:rPr>
        <w:t xml:space="preserve"> horizontal x 46 </w:t>
      </w:r>
      <w:proofErr w:type="spellStart"/>
      <w:r>
        <w:rPr>
          <w:color w:val="000000"/>
        </w:rPr>
        <w:t>deg</w:t>
      </w:r>
      <w:proofErr w:type="spellEnd"/>
      <w:r>
        <w:rPr>
          <w:color w:val="000000"/>
        </w:rPr>
        <w:t xml:space="preserve"> vertical at 24 Hz. Both eye and environment videos were acquired with the associated software iView ETG. Eye data (binocular point of regard and blink) were extracted from the eye video with </w:t>
      </w:r>
      <w:proofErr w:type="spellStart"/>
      <w:r>
        <w:rPr>
          <w:color w:val="000000"/>
        </w:rPr>
        <w:t>BeGaze</w:t>
      </w:r>
      <w:proofErr w:type="spellEnd"/>
      <w:r>
        <w:rPr>
          <w:color w:val="000000"/>
        </w:rPr>
        <w:t xml:space="preserve"> ETG then low-pass filtered by a second order Butterworth filter (cut-off frequency: 20 Hz). Gaze data was recorded in synchrony with the visual stimulus presentation using the scene camera. The visual stimuli of the CRT screen were automatically extracted from the scene camera video using computer vision (</w:t>
      </w:r>
      <w:proofErr w:type="spellStart"/>
      <w:r>
        <w:rPr>
          <w:color w:val="000000"/>
        </w:rPr>
        <w:t>OpenCV</w:t>
      </w:r>
      <w:proofErr w:type="spellEnd"/>
      <w:r>
        <w:rPr>
          <w:color w:val="000000"/>
        </w:rPr>
        <w:t xml:space="preserve"> Library version 3.0). If the target was detected, the position of its center relative to the video frame was computed over time and </w:t>
      </w:r>
      <w:r>
        <w:t>saved</w:t>
      </w:r>
      <w:r>
        <w:rPr>
          <w:color w:val="000000"/>
        </w:rPr>
        <w:t xml:space="preserve"> </w:t>
      </w:r>
      <w:r>
        <w:t>for further analysis</w:t>
      </w:r>
      <w:r>
        <w:rPr>
          <w:color w:val="000000"/>
        </w:rPr>
        <w:t>.</w:t>
      </w:r>
    </w:p>
    <w:p w14:paraId="4226487C" w14:textId="77777777" w:rsidR="005A3B9F" w:rsidRDefault="009404CA">
      <w:pPr>
        <w:rPr>
          <w:color w:val="000000"/>
        </w:rPr>
      </w:pPr>
      <w:r>
        <w:rPr>
          <w:color w:val="000000"/>
        </w:rPr>
        <w:t xml:space="preserve">Eye velocity was computed over a 1s period including the haptic stimulus period (i.e., 400 </w:t>
      </w:r>
      <w:proofErr w:type="spellStart"/>
      <w:r>
        <w:rPr>
          <w:color w:val="000000"/>
        </w:rPr>
        <w:t>ms</w:t>
      </w:r>
      <w:proofErr w:type="spellEnd"/>
      <w:r>
        <w:rPr>
          <w:color w:val="000000"/>
        </w:rPr>
        <w:t xml:space="preserve">) avoiding blink period if any. </w:t>
      </w:r>
      <w:r>
        <w:t xml:space="preserve">Trials with saccade during that 1 s period were removed with a 30 </w:t>
      </w:r>
      <w:proofErr w:type="spellStart"/>
      <w:r>
        <w:t>deg</w:t>
      </w:r>
      <w:proofErr w:type="spellEnd"/>
      <w:r>
        <w:t xml:space="preserve"> s</w:t>
      </w:r>
      <w:r>
        <w:rPr>
          <w:vertAlign w:val="superscript"/>
        </w:rPr>
        <w:t>-1</w:t>
      </w:r>
      <w:r>
        <w:t xml:space="preserve"> amplitude criterion on 50 </w:t>
      </w:r>
      <w:proofErr w:type="spellStart"/>
      <w:r>
        <w:t>ms</w:t>
      </w:r>
      <w:proofErr w:type="spellEnd"/>
      <w:r>
        <w:t xml:space="preserve"> span and a visual check (Exp. 1: 3%; Exp. 2: 11%; Exp. 3: 16%). Subjects with more than 50% of saccades were not included in the analyses (1 subject in Exp.3). </w:t>
      </w:r>
      <w:r>
        <w:rPr>
          <w:color w:val="000000"/>
        </w:rPr>
        <w:t xml:space="preserve">Trials where </w:t>
      </w:r>
      <w:r>
        <w:t xml:space="preserve">the estimate of the </w:t>
      </w:r>
      <w:r>
        <w:rPr>
          <w:color w:val="000000"/>
        </w:rPr>
        <w:t>eye velocity was not possible due to signal noise (Exp.1: 4%; Exp.2: 1%; Exp.3: 4%) were kept in response analyses after we showed that it did not influence the results</w:t>
      </w:r>
      <w:r>
        <w:t>.</w:t>
      </w:r>
      <w:r>
        <w:rPr>
          <w:color w:val="000000"/>
        </w:rPr>
        <w:t xml:space="preserve"> Statistical effects were the same without eye noisy trials for all the conducted analyses. Trials were not discarded based on the speed of eye pursuit. Indeed, while the direction of eye pursuit induced a bias in the perception of visual background velocity (i.e., </w:t>
      </w:r>
      <w:proofErr w:type="spellStart"/>
      <w:r>
        <w:rPr>
          <w:color w:val="000000"/>
        </w:rPr>
        <w:t>Filehne</w:t>
      </w:r>
      <w:proofErr w:type="spellEnd"/>
      <w:r>
        <w:rPr>
          <w:color w:val="000000"/>
        </w:rPr>
        <w:t xml:space="preserve"> illusion), no evidence was found of a bias modulation with eye speed (Freeman et al. 1998; 2.5 </w:t>
      </w:r>
      <w:proofErr w:type="spellStart"/>
      <w:r>
        <w:rPr>
          <w:color w:val="000000"/>
        </w:rPr>
        <w:t>deg</w:t>
      </w:r>
      <w:proofErr w:type="spellEnd"/>
      <w:r>
        <w:t>/s</w:t>
      </w:r>
      <w:r>
        <w:rPr>
          <w:color w:val="000000"/>
        </w:rPr>
        <w:t xml:space="preserve"> to 20 </w:t>
      </w:r>
      <w:proofErr w:type="spellStart"/>
      <w:r>
        <w:rPr>
          <w:color w:val="000000"/>
        </w:rPr>
        <w:t>deg</w:t>
      </w:r>
      <w:proofErr w:type="spellEnd"/>
      <w:r>
        <w:t>/s</w:t>
      </w:r>
      <w:r>
        <w:rPr>
          <w:color w:val="000000"/>
        </w:rPr>
        <w:t xml:space="preserve">). This relationship neither appeared here: correlations between bias (PSE difference between </w:t>
      </w:r>
      <w:r>
        <w:rPr>
          <w:i/>
          <w:color w:val="000000"/>
        </w:rPr>
        <w:t>Right</w:t>
      </w:r>
      <w:r>
        <w:rPr>
          <w:color w:val="000000"/>
        </w:rPr>
        <w:t xml:space="preserve"> and </w:t>
      </w:r>
      <w:r>
        <w:rPr>
          <w:i/>
          <w:color w:val="000000"/>
        </w:rPr>
        <w:t>Left</w:t>
      </w:r>
      <w:r>
        <w:rPr>
          <w:color w:val="000000"/>
        </w:rPr>
        <w:t xml:space="preserve">) and computed eye velocity did not reach significance (Exp.1: R²=.24, p=.08; Exp.2: R²=.00, p=.82, Exp.3: R²=.04, p=.22). </w:t>
      </w:r>
    </w:p>
    <w:p w14:paraId="7CBDF17A" w14:textId="77777777" w:rsidR="005A3B9F" w:rsidRDefault="005A3B9F">
      <w:pPr>
        <w:spacing w:after="0"/>
        <w:rPr>
          <w:color w:val="000000"/>
        </w:rPr>
      </w:pPr>
    </w:p>
    <w:p w14:paraId="1DE5E051" w14:textId="77777777" w:rsidR="005A3B9F" w:rsidRDefault="005A3B9F">
      <w:pPr>
        <w:spacing w:after="0"/>
        <w:rPr>
          <w:color w:val="000000"/>
        </w:rPr>
      </w:pPr>
    </w:p>
    <w:p w14:paraId="16DB34CE" w14:textId="77777777" w:rsidR="005A3B9F" w:rsidRDefault="005A3B9F">
      <w:pPr>
        <w:spacing w:after="0"/>
        <w:rPr>
          <w:color w:val="000000"/>
        </w:rPr>
      </w:pPr>
    </w:p>
    <w:p w14:paraId="72859135" w14:textId="77777777" w:rsidR="005A3B9F" w:rsidRDefault="005A3B9F">
      <w:pPr>
        <w:spacing w:after="0"/>
        <w:rPr>
          <w:color w:val="000000"/>
        </w:rPr>
      </w:pPr>
    </w:p>
    <w:p w14:paraId="09209E4F" w14:textId="77777777" w:rsidR="005A3B9F" w:rsidRDefault="005A3B9F">
      <w:pPr>
        <w:spacing w:after="0"/>
        <w:rPr>
          <w:color w:val="000000"/>
        </w:rPr>
      </w:pPr>
    </w:p>
    <w:p w14:paraId="43660082" w14:textId="77777777" w:rsidR="005A3B9F" w:rsidRDefault="005A3B9F">
      <w:pPr>
        <w:spacing w:after="0"/>
        <w:rPr>
          <w:color w:val="000000"/>
        </w:rPr>
      </w:pPr>
    </w:p>
    <w:p w14:paraId="3B2E63D4" w14:textId="77777777" w:rsidR="005A3B9F" w:rsidRDefault="005A3B9F">
      <w:pPr>
        <w:spacing w:after="0"/>
        <w:rPr>
          <w:color w:val="000000"/>
        </w:rPr>
      </w:pPr>
    </w:p>
    <w:p w14:paraId="7DB8855E" w14:textId="77777777" w:rsidR="005A3B9F" w:rsidRDefault="005A3B9F">
      <w:pPr>
        <w:spacing w:after="0"/>
        <w:rPr>
          <w:color w:val="000000"/>
        </w:rPr>
      </w:pPr>
    </w:p>
    <w:p w14:paraId="2AE160AF" w14:textId="77777777" w:rsidR="005A3B9F" w:rsidRDefault="005A3B9F">
      <w:pPr>
        <w:spacing w:after="0"/>
        <w:ind w:firstLine="0"/>
        <w:rPr>
          <w:color w:val="000000"/>
        </w:rPr>
      </w:pPr>
    </w:p>
    <w:p w14:paraId="2346E507" w14:textId="77777777" w:rsidR="005A3B9F" w:rsidRDefault="005A3B9F">
      <w:pPr>
        <w:ind w:firstLine="0"/>
        <w:rPr>
          <w:color w:val="000000"/>
        </w:rPr>
      </w:pPr>
    </w:p>
    <w:sectPr w:rsidR="005A3B9F" w:rsidSect="001F5740">
      <w:footerReference w:type="default" r:id="rId8"/>
      <w:pgSz w:w="11906" w:h="16838"/>
      <w:pgMar w:top="1417" w:right="1417" w:bottom="1417" w:left="1417"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D68CD6" w14:textId="77777777" w:rsidR="003D5F13" w:rsidRDefault="003D5F13">
      <w:pPr>
        <w:spacing w:after="0" w:line="240" w:lineRule="auto"/>
      </w:pPr>
      <w:r>
        <w:separator/>
      </w:r>
    </w:p>
  </w:endnote>
  <w:endnote w:type="continuationSeparator" w:id="0">
    <w:p w14:paraId="769CF989" w14:textId="77777777" w:rsidR="003D5F13" w:rsidRDefault="003D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BA66DD" w14:textId="77777777" w:rsidR="005A3B9F" w:rsidRDefault="009404CA">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F5740">
      <w:rPr>
        <w:noProof/>
        <w:color w:val="000000"/>
      </w:rPr>
      <w:t>1</w:t>
    </w:r>
    <w:r>
      <w:rPr>
        <w:color w:val="000000"/>
      </w:rPr>
      <w:fldChar w:fldCharType="end"/>
    </w:r>
  </w:p>
  <w:p w14:paraId="1408DFD7" w14:textId="77777777" w:rsidR="005A3B9F" w:rsidRDefault="005A3B9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CB095" w14:textId="77777777" w:rsidR="003D5F13" w:rsidRDefault="003D5F13">
      <w:pPr>
        <w:spacing w:after="0" w:line="240" w:lineRule="auto"/>
      </w:pPr>
      <w:r>
        <w:separator/>
      </w:r>
    </w:p>
  </w:footnote>
  <w:footnote w:type="continuationSeparator" w:id="0">
    <w:p w14:paraId="5E606AC9" w14:textId="77777777" w:rsidR="003D5F13" w:rsidRDefault="003D5F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77641"/>
    <w:multiLevelType w:val="multilevel"/>
    <w:tmpl w:val="CBE6B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9F"/>
    <w:rsid w:val="00133528"/>
    <w:rsid w:val="00133ED6"/>
    <w:rsid w:val="001D2235"/>
    <w:rsid w:val="001E635F"/>
    <w:rsid w:val="001F5740"/>
    <w:rsid w:val="003D5F13"/>
    <w:rsid w:val="004247D2"/>
    <w:rsid w:val="00474320"/>
    <w:rsid w:val="00501924"/>
    <w:rsid w:val="005A3B9F"/>
    <w:rsid w:val="0061596E"/>
    <w:rsid w:val="008714A4"/>
    <w:rsid w:val="008C75FE"/>
    <w:rsid w:val="00922BA1"/>
    <w:rsid w:val="009404CA"/>
    <w:rsid w:val="009B7BB9"/>
    <w:rsid w:val="009D1E2A"/>
    <w:rsid w:val="00A1726A"/>
    <w:rsid w:val="00A45043"/>
    <w:rsid w:val="00AE72F3"/>
    <w:rsid w:val="00B940B1"/>
    <w:rsid w:val="00C13488"/>
    <w:rsid w:val="00C15517"/>
    <w:rsid w:val="00C375A4"/>
    <w:rsid w:val="00CC401E"/>
    <w:rsid w:val="00CC61B1"/>
    <w:rsid w:val="00EA4B2A"/>
    <w:rsid w:val="00EE5476"/>
    <w:rsid w:val="00F45AB3"/>
    <w:rsid w:val="00FB3A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76254"/>
  <w15:docId w15:val="{A37F8ABC-A35F-44F7-A354-7D05D31C1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fr-FR" w:bidi="ar-SA"/>
      </w:rPr>
    </w:rPrDefault>
    <w:pPrDefault>
      <w:pPr>
        <w:spacing w:after="200" w:line="276"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9D1E2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1E2A"/>
    <w:rPr>
      <w:rFonts w:ascii="Segoe UI" w:hAnsi="Segoe UI" w:cs="Segoe UI"/>
      <w:sz w:val="18"/>
      <w:szCs w:val="18"/>
    </w:rPr>
  </w:style>
  <w:style w:type="paragraph" w:styleId="Objetducommentaire">
    <w:name w:val="annotation subject"/>
    <w:basedOn w:val="Commentaire"/>
    <w:next w:val="Commentaire"/>
    <w:link w:val="ObjetducommentaireCar"/>
    <w:uiPriority w:val="99"/>
    <w:semiHidden/>
    <w:unhideWhenUsed/>
    <w:rsid w:val="00CC61B1"/>
    <w:rPr>
      <w:b/>
      <w:bCs/>
    </w:rPr>
  </w:style>
  <w:style w:type="character" w:customStyle="1" w:styleId="ObjetducommentaireCar">
    <w:name w:val="Objet du commentaire Car"/>
    <w:basedOn w:val="CommentaireCar"/>
    <w:link w:val="Objetducommentaire"/>
    <w:uiPriority w:val="99"/>
    <w:semiHidden/>
    <w:rsid w:val="00CC61B1"/>
    <w:rPr>
      <w:b/>
      <w:bCs/>
      <w:sz w:val="20"/>
      <w:szCs w:val="20"/>
    </w:rPr>
  </w:style>
  <w:style w:type="paragraph" w:styleId="Bibliographie">
    <w:name w:val="Bibliography"/>
    <w:basedOn w:val="Normal"/>
    <w:next w:val="Normal"/>
    <w:uiPriority w:val="37"/>
    <w:unhideWhenUsed/>
    <w:rsid w:val="00C13488"/>
    <w:pPr>
      <w:tabs>
        <w:tab w:val="left" w:pos="384"/>
      </w:tabs>
      <w:spacing w:after="240" w:line="240" w:lineRule="auto"/>
      <w:ind w:left="384" w:hanging="384"/>
    </w:pPr>
  </w:style>
  <w:style w:type="character" w:styleId="Numrodeligne">
    <w:name w:val="line number"/>
    <w:basedOn w:val="Policepardfaut"/>
    <w:uiPriority w:val="99"/>
    <w:semiHidden/>
    <w:unhideWhenUsed/>
    <w:rsid w:val="001F5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5A4BE-B2D8-483F-A917-2DA6DB5B9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403</Words>
  <Characters>2008</Characters>
  <Application>Microsoft Office Word</Application>
  <DocSecurity>0</DocSecurity>
  <Lines>36</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Scotto Di Cesare Cecile</dc:creator>
  <cp:lastModifiedBy>Scotto Di Cesare Cecile</cp:lastModifiedBy>
  <cp:revision>4</cp:revision>
  <dcterms:created xsi:type="dcterms:W3CDTF">2020-06-26T10:30:00Z</dcterms:created>
  <dcterms:modified xsi:type="dcterms:W3CDTF">2020-09-09T13:04:00Z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id="aAdfdLuw"/&gt;&lt;style id="http://www.zotero.org/styles/proceedings-of-the-royal-society-b"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