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A9C4A" w14:textId="77777777" w:rsidR="00EE3610" w:rsidRDefault="00EE3610" w:rsidP="00EE3610">
      <w:pPr>
        <w:ind w:firstLine="0"/>
        <w:rPr>
          <w:color w:val="000000"/>
        </w:rPr>
      </w:pPr>
      <w:bookmarkStart w:id="0" w:name="_GoBack"/>
      <w:r>
        <w:rPr>
          <w:b/>
          <w:color w:val="000000"/>
        </w:rPr>
        <w:t>Supplement 3:</w:t>
      </w:r>
      <w:r>
        <w:rPr>
          <w:color w:val="000000"/>
        </w:rPr>
        <w:t xml:space="preserve"> Control experiment</w:t>
      </w:r>
    </w:p>
    <w:p w14:paraId="7F8AB359" w14:textId="3C90ABC0" w:rsidR="00EE3610" w:rsidRDefault="00EE3610" w:rsidP="00EE3610">
      <w:pPr>
        <w:spacing w:after="0"/>
        <w:ind w:firstLine="0"/>
        <w:rPr>
          <w:color w:val="000000"/>
        </w:rPr>
      </w:pPr>
      <w:r>
        <w:rPr>
          <w:color w:val="000000"/>
        </w:rPr>
        <w:t xml:space="preserve">We assumed that the illusion observed in the 3 experiments was not related to a response bias due to directional stimulus-response compatibility (i.e., Simon effect; </w:t>
      </w:r>
      <w:r>
        <w:rPr>
          <w:color w:val="000000"/>
        </w:rPr>
        <w:fldChar w:fldCharType="begin"/>
      </w:r>
      <w:r w:rsidR="003C5AB7">
        <w:rPr>
          <w:color w:val="000000"/>
        </w:rPr>
        <w:instrText xml:space="preserve"> ADDIN ZOTERO_ITEM CSL_CITATION {"citationID":"nQ6ZNYX7","properties":{"formattedCitation":"(Simon 1969)","plainCitation":"(Simon 1969)","noteIndex":0},"citationItems":[{"id":125,"uris":["http://zotero.org/users/628679/items/NRET54SS"],"uri":["http://zotero.org/users/628679/items/NRET54SS"],"itemData":{"id":125,"type":"article-journal","container-title":"Journal of Experimental Psychology","ISSN":"0022-1015","issue":"1","journalAbbreviation":"J Exp Psychol","language":"eng","note":"PMID: 5812172","page":"174-176","source":"PubMed","title":"Reactions toward the source of stimulation","volume":"81","author":[{"family":"Simon","given":"J. R."}],"issued":{"date-parts":[["1969",7]]}}}],"schema":"https://github.com/citation-style-language/schema/raw/master/csl-citation.json"} </w:instrText>
      </w:r>
      <w:r>
        <w:rPr>
          <w:color w:val="000000"/>
        </w:rPr>
        <w:fldChar w:fldCharType="separate"/>
      </w:r>
      <w:r w:rsidR="003C5AB7" w:rsidRPr="003C5AB7">
        <w:t>(Simon 1969)</w:t>
      </w:r>
      <w:r>
        <w:rPr>
          <w:color w:val="000000"/>
        </w:rPr>
        <w:fldChar w:fldCharType="end"/>
      </w:r>
      <w:r>
        <w:rPr>
          <w:color w:val="000000"/>
        </w:rPr>
        <w:t xml:space="preserve">). Indeed, participants were found more likely to reply on the same side as the direction toward whom a visual stimulus had moved </w:t>
      </w:r>
      <w:r>
        <w:rPr>
          <w:color w:val="000000"/>
        </w:rPr>
        <w:fldChar w:fldCharType="begin"/>
      </w:r>
      <w:r w:rsidR="003C5AB7">
        <w:rPr>
          <w:color w:val="000000"/>
        </w:rPr>
        <w:instrText xml:space="preserve"> ADDIN ZOTERO_ITEM CSL_CITATION {"citationID":"3oVOylAG","properties":{"formattedCitation":"(Bosbach et al. 2005)","plainCitation":"(Bosbach et al. 2005)","noteIndex":0},"citationItems":[{"id":123,"uris":["http://zotero.org/users/628679/items/NPP3U3V5"],"uri":["http://zotero.org/users/628679/items/NPP3U3V5"],"itemData":{"id":123,"type":"article-journal","container-title":"The Quarterly Journal of Experimental Psychology Section A","DOI":"10.1080/02724980443000016","ISSN":"0272-4987, 1464-0740","issue":"3","language":"en","page":"467-506","source":"CrossRef","title":"Is Direction Position? Position- and Direction-Based Correspondence Effects in Tasks with Moving Stimuli","title-short":"Is Direction Position?","volume":"58","author":[{"family":"Bosbach","given":"Simone"},{"family":"Prinz","given":"Wolfgang"},{"family":"Kerzel","given":"Dirk"}],"issued":{"date-parts":[["2005",4]]}}}],"schema":"https://github.com/citation-style-language/schema/raw/master/csl-citation.json"} </w:instrText>
      </w:r>
      <w:r>
        <w:rPr>
          <w:color w:val="000000"/>
        </w:rPr>
        <w:fldChar w:fldCharType="separate"/>
      </w:r>
      <w:r w:rsidR="003C5AB7" w:rsidRPr="003C5AB7">
        <w:t>(</w:t>
      </w:r>
      <w:proofErr w:type="spellStart"/>
      <w:r w:rsidR="003C5AB7" w:rsidRPr="003C5AB7">
        <w:t>Bosbach</w:t>
      </w:r>
      <w:proofErr w:type="spellEnd"/>
      <w:r w:rsidR="003C5AB7" w:rsidRPr="003C5AB7">
        <w:t xml:space="preserve"> et al. 2005)</w:t>
      </w:r>
      <w:r>
        <w:rPr>
          <w:color w:val="000000"/>
        </w:rPr>
        <w:fldChar w:fldCharType="end"/>
      </w:r>
      <w:r>
        <w:rPr>
          <w:color w:val="000000"/>
        </w:rPr>
        <w:t xml:space="preserve"> which is the opposite as what we obtained</w:t>
      </w:r>
      <w:r>
        <w:t>. Here, participants were more likely to click on the</w:t>
      </w:r>
      <w:r>
        <w:rPr>
          <w:color w:val="000000"/>
        </w:rPr>
        <w:t xml:space="preserve"> mouse key that was contralateral to the direction of the visual target motion. In addition, we run a control experiment where the response was not linked to directions. Six naive participants (5 women; 22.7±2.1 years) had to judge if the direction of the tactile motion was in the </w:t>
      </w:r>
      <w:r>
        <w:rPr>
          <w:i/>
          <w:color w:val="000000"/>
        </w:rPr>
        <w:t>same</w:t>
      </w:r>
      <w:r>
        <w:rPr>
          <w:color w:val="000000"/>
        </w:rPr>
        <w:t xml:space="preserve"> or in the </w:t>
      </w:r>
      <w:r>
        <w:rPr>
          <w:i/>
          <w:color w:val="000000"/>
        </w:rPr>
        <w:t xml:space="preserve">opposite </w:t>
      </w:r>
      <w:r>
        <w:rPr>
          <w:color w:val="000000"/>
        </w:rPr>
        <w:t>direction as the visual target. The estimation was performed with the mouse fixed to the table perpendicular to the subject to avoid right and left references. The mouse upper button corresponded to the response “</w:t>
      </w:r>
      <w:r>
        <w:rPr>
          <w:i/>
          <w:color w:val="000000"/>
        </w:rPr>
        <w:t>same</w:t>
      </w:r>
      <w:r>
        <w:rPr>
          <w:color w:val="000000"/>
        </w:rPr>
        <w:t xml:space="preserve"> direction” and the lower button to the response “</w:t>
      </w:r>
      <w:r>
        <w:rPr>
          <w:i/>
          <w:color w:val="000000"/>
        </w:rPr>
        <w:t xml:space="preserve">opposite </w:t>
      </w:r>
      <w:r>
        <w:rPr>
          <w:color w:val="000000"/>
        </w:rPr>
        <w:t xml:space="preserve">direction”. The rest of the procedure was the same as Exp. 1 except the oculomotor conditions which were reduced to </w:t>
      </w:r>
      <w:r>
        <w:rPr>
          <w:i/>
          <w:color w:val="000000"/>
        </w:rPr>
        <w:t>Left</w:t>
      </w:r>
      <w:r>
        <w:rPr>
          <w:color w:val="000000"/>
        </w:rPr>
        <w:t xml:space="preserve"> and </w:t>
      </w:r>
      <w:r>
        <w:rPr>
          <w:i/>
          <w:color w:val="000000"/>
        </w:rPr>
        <w:t>Right</w:t>
      </w:r>
      <w:r>
        <w:rPr>
          <w:color w:val="000000"/>
        </w:rPr>
        <w:t xml:space="preserve"> (</w:t>
      </w:r>
      <w:r>
        <w:rPr>
          <w:i/>
          <w:color w:val="000000"/>
        </w:rPr>
        <w:t>Static</w:t>
      </w:r>
      <w:r>
        <w:rPr>
          <w:color w:val="000000"/>
        </w:rPr>
        <w:t xml:space="preserve"> not performed, as Exp. 3). </w:t>
      </w:r>
      <w:r>
        <w:t>P</w:t>
      </w:r>
      <w:r>
        <w:rPr>
          <w:color w:val="000000"/>
        </w:rPr>
        <w:t>articipant’ judgments (</w:t>
      </w:r>
      <w:r>
        <w:rPr>
          <w:i/>
          <w:color w:val="000000"/>
        </w:rPr>
        <w:t>same</w:t>
      </w:r>
      <w:r>
        <w:rPr>
          <w:color w:val="000000"/>
        </w:rPr>
        <w:t>/</w:t>
      </w:r>
      <w:r>
        <w:rPr>
          <w:i/>
          <w:color w:val="000000"/>
        </w:rPr>
        <w:t xml:space="preserve">opposite </w:t>
      </w:r>
      <w:r>
        <w:rPr>
          <w:color w:val="000000"/>
        </w:rPr>
        <w:t>direction as the visual target) were converted to literalities (</w:t>
      </w:r>
      <w:r>
        <w:rPr>
          <w:i/>
          <w:color w:val="000000"/>
        </w:rPr>
        <w:t>left</w:t>
      </w:r>
      <w:r>
        <w:rPr>
          <w:color w:val="000000"/>
        </w:rPr>
        <w:t>/</w:t>
      </w:r>
      <w:r>
        <w:rPr>
          <w:i/>
          <w:color w:val="000000"/>
        </w:rPr>
        <w:t>right</w:t>
      </w:r>
      <w:r>
        <w:rPr>
          <w:color w:val="000000"/>
        </w:rPr>
        <w:t>). As previous experiments, we modeled the participant’ responses as presented in (</w:t>
      </w:r>
      <w:r>
        <w:t xml:space="preserve">Eqn. </w:t>
      </w:r>
      <w:r>
        <w:rPr>
          <w:color w:val="000000"/>
        </w:rPr>
        <w:t xml:space="preserve">1). We used multivariable GLMM to extend the psychometric function to the group level as in equation 3 for each oculomotor condition (i.e., </w:t>
      </w:r>
      <w:r>
        <w:rPr>
          <w:i/>
          <w:color w:val="000000"/>
        </w:rPr>
        <w:t>Left</w:t>
      </w:r>
      <w:r>
        <w:rPr>
          <w:color w:val="000000"/>
        </w:rPr>
        <w:t xml:space="preserve">, </w:t>
      </w:r>
      <w:r>
        <w:rPr>
          <w:i/>
          <w:color w:val="000000"/>
        </w:rPr>
        <w:t>Right</w:t>
      </w:r>
      <w:r>
        <w:rPr>
          <w:color w:val="000000"/>
        </w:rPr>
        <w:t xml:space="preserve">). Results showed that the PSE statistically differed from zero for the </w:t>
      </w:r>
      <w:r>
        <w:rPr>
          <w:i/>
          <w:color w:val="000000"/>
        </w:rPr>
        <w:t>Left</w:t>
      </w:r>
      <w:r>
        <w:rPr>
          <w:color w:val="000000"/>
        </w:rPr>
        <w:t xml:space="preserve"> conditions (</w:t>
      </w:r>
      <w:r>
        <w:t>-0.40</w:t>
      </w:r>
      <w:r>
        <w:rPr>
          <w:color w:val="000000"/>
        </w:rPr>
        <w:t>, 95% CI</w:t>
      </w:r>
      <w:r>
        <w:t xml:space="preserve"> ranging from</w:t>
      </w:r>
      <w:r>
        <w:rPr>
          <w:color w:val="000000"/>
        </w:rPr>
        <w:t xml:space="preserve"> </w:t>
      </w:r>
      <w:r>
        <w:t>-</w:t>
      </w:r>
      <w:r>
        <w:rPr>
          <w:color w:val="000000"/>
        </w:rPr>
        <w:t xml:space="preserve">1.71 to -0.02) but not for the </w:t>
      </w:r>
      <w:r>
        <w:rPr>
          <w:i/>
          <w:color w:val="000000"/>
        </w:rPr>
        <w:t>Right</w:t>
      </w:r>
      <w:r>
        <w:rPr>
          <w:color w:val="000000"/>
        </w:rPr>
        <w:t xml:space="preserve"> condition </w:t>
      </w:r>
      <w:r>
        <w:t>(-0.05, 95% CI ranging from -1.71 to -0.02)</w:t>
      </w:r>
      <w:r>
        <w:rPr>
          <w:color w:val="000000"/>
        </w:rPr>
        <w:t xml:space="preserve">. </w:t>
      </w:r>
      <w:r>
        <w:t>T</w:t>
      </w:r>
      <w:r>
        <w:rPr>
          <w:color w:val="000000"/>
        </w:rPr>
        <w:t xml:space="preserve">he analysis consistently showed a significant perceptual bias: </w:t>
      </w:r>
      <w:r>
        <w:t>t</w:t>
      </w:r>
      <w:r>
        <w:rPr>
          <w:color w:val="000000"/>
        </w:rPr>
        <w:t xml:space="preserve">he difference in PSE between </w:t>
      </w:r>
      <w:r>
        <w:rPr>
          <w:i/>
          <w:color w:val="000000"/>
        </w:rPr>
        <w:t>Right</w:t>
      </w:r>
      <w:r>
        <w:rPr>
          <w:color w:val="000000"/>
        </w:rPr>
        <w:t xml:space="preserve"> and </w:t>
      </w:r>
      <w:r>
        <w:rPr>
          <w:i/>
          <w:color w:val="000000"/>
        </w:rPr>
        <w:t>Left</w:t>
      </w:r>
      <w:r>
        <w:rPr>
          <w:color w:val="000000"/>
        </w:rPr>
        <w:t xml:space="preserve"> was </w:t>
      </w:r>
      <w:r>
        <w:t>0.35</w:t>
      </w:r>
      <w:r>
        <w:rPr>
          <w:color w:val="000000"/>
        </w:rPr>
        <w:t xml:space="preserve"> and </w:t>
      </w:r>
      <w:r>
        <w:t>bootstrap-based</w:t>
      </w:r>
      <w:r>
        <w:rPr>
          <w:color w:val="000000"/>
        </w:rPr>
        <w:t xml:space="preserve"> 95% CI were not crossing zero (f</w:t>
      </w:r>
      <w:r>
        <w:t>rom 0.08 to 1.04</w:t>
      </w:r>
      <w:r>
        <w:rPr>
          <w:color w:val="000000"/>
        </w:rPr>
        <w:t>). This result corroborated the assumption that the response pattern in the study was not due to directional stimulus-response compatibility.</w:t>
      </w:r>
    </w:p>
    <w:p w14:paraId="4DF6E39B" w14:textId="77777777" w:rsidR="00EE3610" w:rsidRDefault="00EE3610" w:rsidP="00EE3610">
      <w:pPr>
        <w:spacing w:after="0"/>
        <w:ind w:firstLine="0"/>
        <w:rPr>
          <w:color w:val="000000"/>
        </w:rPr>
      </w:pPr>
    </w:p>
    <w:p w14:paraId="45F5F346" w14:textId="77777777" w:rsidR="00EE3610" w:rsidRDefault="00EE3610" w:rsidP="00EE3610">
      <w:pPr>
        <w:spacing w:after="0"/>
        <w:ind w:firstLine="0"/>
        <w:rPr>
          <w:color w:val="000000"/>
        </w:rPr>
      </w:pPr>
    </w:p>
    <w:p w14:paraId="7EE67AF2" w14:textId="77777777" w:rsidR="003C5AB7" w:rsidRPr="003C5AB7" w:rsidRDefault="00EE3610" w:rsidP="003C5AB7">
      <w:pPr>
        <w:pStyle w:val="Bibliographie"/>
      </w:pPr>
      <w:r>
        <w:rPr>
          <w:color w:val="000000"/>
        </w:rPr>
        <w:fldChar w:fldCharType="begin"/>
      </w:r>
      <w:r w:rsidR="003C5AB7">
        <w:rPr>
          <w:color w:val="000000"/>
        </w:rPr>
        <w:instrText xml:space="preserve"> ADDIN ZOTERO_BIBL {"uncited":[],"omitted":[],"custom":[]} CSL_BIBLIOGRAPHY </w:instrText>
      </w:r>
      <w:r>
        <w:rPr>
          <w:color w:val="000000"/>
        </w:rPr>
        <w:fldChar w:fldCharType="separate"/>
      </w:r>
      <w:proofErr w:type="spellStart"/>
      <w:r w:rsidR="003C5AB7" w:rsidRPr="003C5AB7">
        <w:rPr>
          <w:b/>
          <w:bCs/>
        </w:rPr>
        <w:t>Bosbach</w:t>
      </w:r>
      <w:proofErr w:type="spellEnd"/>
      <w:r w:rsidR="003C5AB7" w:rsidRPr="003C5AB7">
        <w:rPr>
          <w:b/>
          <w:bCs/>
        </w:rPr>
        <w:t xml:space="preserve"> S</w:t>
      </w:r>
      <w:r w:rsidR="003C5AB7" w:rsidRPr="003C5AB7">
        <w:t xml:space="preserve">, </w:t>
      </w:r>
      <w:proofErr w:type="spellStart"/>
      <w:r w:rsidR="003C5AB7" w:rsidRPr="003C5AB7">
        <w:rPr>
          <w:b/>
          <w:bCs/>
        </w:rPr>
        <w:t>Prinz</w:t>
      </w:r>
      <w:proofErr w:type="spellEnd"/>
      <w:r w:rsidR="003C5AB7" w:rsidRPr="003C5AB7">
        <w:rPr>
          <w:b/>
          <w:bCs/>
        </w:rPr>
        <w:t xml:space="preserve"> W</w:t>
      </w:r>
      <w:r w:rsidR="003C5AB7" w:rsidRPr="003C5AB7">
        <w:t xml:space="preserve">, </w:t>
      </w:r>
      <w:proofErr w:type="spellStart"/>
      <w:r w:rsidR="003C5AB7" w:rsidRPr="003C5AB7">
        <w:rPr>
          <w:b/>
          <w:bCs/>
        </w:rPr>
        <w:t>Kerzel</w:t>
      </w:r>
      <w:proofErr w:type="spellEnd"/>
      <w:r w:rsidR="003C5AB7" w:rsidRPr="003C5AB7">
        <w:rPr>
          <w:b/>
          <w:bCs/>
        </w:rPr>
        <w:t xml:space="preserve"> D</w:t>
      </w:r>
      <w:r w:rsidR="003C5AB7" w:rsidRPr="003C5AB7">
        <w:t xml:space="preserve">. Is Direction Position? Position- and Direction-Based Correspondence Effects in Tasks with Moving Stimuli. </w:t>
      </w:r>
      <w:r w:rsidR="003C5AB7" w:rsidRPr="003C5AB7">
        <w:rPr>
          <w:i/>
          <w:iCs/>
        </w:rPr>
        <w:t xml:space="preserve">Q J </w:t>
      </w:r>
      <w:proofErr w:type="spellStart"/>
      <w:r w:rsidR="003C5AB7" w:rsidRPr="003C5AB7">
        <w:rPr>
          <w:i/>
          <w:iCs/>
        </w:rPr>
        <w:t>Exp</w:t>
      </w:r>
      <w:proofErr w:type="spellEnd"/>
      <w:r w:rsidR="003C5AB7" w:rsidRPr="003C5AB7">
        <w:rPr>
          <w:i/>
          <w:iCs/>
        </w:rPr>
        <w:t xml:space="preserve"> </w:t>
      </w:r>
      <w:proofErr w:type="spellStart"/>
      <w:r w:rsidR="003C5AB7" w:rsidRPr="003C5AB7">
        <w:rPr>
          <w:i/>
          <w:iCs/>
        </w:rPr>
        <w:t>Psychol</w:t>
      </w:r>
      <w:proofErr w:type="spellEnd"/>
      <w:r w:rsidR="003C5AB7" w:rsidRPr="003C5AB7">
        <w:rPr>
          <w:i/>
          <w:iCs/>
        </w:rPr>
        <w:t xml:space="preserve"> Sect </w:t>
      </w:r>
      <w:proofErr w:type="gramStart"/>
      <w:r w:rsidR="003C5AB7" w:rsidRPr="003C5AB7">
        <w:rPr>
          <w:i/>
          <w:iCs/>
        </w:rPr>
        <w:t>A</w:t>
      </w:r>
      <w:proofErr w:type="gramEnd"/>
      <w:r w:rsidR="003C5AB7" w:rsidRPr="003C5AB7">
        <w:t xml:space="preserve"> 58: 467–506, 2005.</w:t>
      </w:r>
    </w:p>
    <w:p w14:paraId="6B078EC5" w14:textId="77777777" w:rsidR="003C5AB7" w:rsidRPr="003C5AB7" w:rsidRDefault="003C5AB7" w:rsidP="003C5AB7">
      <w:pPr>
        <w:pStyle w:val="Bibliographie"/>
      </w:pPr>
      <w:r w:rsidRPr="003C5AB7">
        <w:rPr>
          <w:b/>
          <w:bCs/>
        </w:rPr>
        <w:t>Simon JR</w:t>
      </w:r>
      <w:r w:rsidRPr="003C5AB7">
        <w:t xml:space="preserve">. Reactions toward the source of stimulation. </w:t>
      </w:r>
      <w:r w:rsidRPr="003C5AB7">
        <w:rPr>
          <w:i/>
          <w:iCs/>
        </w:rPr>
        <w:t xml:space="preserve">J </w:t>
      </w:r>
      <w:proofErr w:type="spellStart"/>
      <w:r w:rsidRPr="003C5AB7">
        <w:rPr>
          <w:i/>
          <w:iCs/>
        </w:rPr>
        <w:t>Exp</w:t>
      </w:r>
      <w:proofErr w:type="spellEnd"/>
      <w:r w:rsidRPr="003C5AB7">
        <w:rPr>
          <w:i/>
          <w:iCs/>
        </w:rPr>
        <w:t xml:space="preserve"> </w:t>
      </w:r>
      <w:proofErr w:type="spellStart"/>
      <w:r w:rsidRPr="003C5AB7">
        <w:rPr>
          <w:i/>
          <w:iCs/>
        </w:rPr>
        <w:t>Psychol</w:t>
      </w:r>
      <w:proofErr w:type="spellEnd"/>
      <w:r w:rsidRPr="003C5AB7">
        <w:t xml:space="preserve"> 81: 174–176, 1969.</w:t>
      </w:r>
    </w:p>
    <w:p w14:paraId="0782AC49" w14:textId="1BFD1B52" w:rsidR="00EE3610" w:rsidRDefault="00EE3610" w:rsidP="00EE3610">
      <w:pPr>
        <w:spacing w:after="0"/>
        <w:ind w:firstLine="0"/>
        <w:rPr>
          <w:color w:val="000000"/>
        </w:rPr>
      </w:pPr>
      <w:r>
        <w:rPr>
          <w:color w:val="000000"/>
        </w:rPr>
        <w:fldChar w:fldCharType="end"/>
      </w:r>
    </w:p>
    <w:p w14:paraId="070F4FD4" w14:textId="77777777" w:rsidR="00EE3610" w:rsidRDefault="00EE3610" w:rsidP="00EE3610">
      <w:pPr>
        <w:spacing w:after="0"/>
        <w:rPr>
          <w:color w:val="000000"/>
        </w:rPr>
      </w:pPr>
    </w:p>
    <w:p w14:paraId="7CBDF17A" w14:textId="77777777" w:rsidR="005A3B9F" w:rsidRDefault="005A3B9F">
      <w:pPr>
        <w:spacing w:after="0"/>
        <w:rPr>
          <w:color w:val="000000"/>
        </w:rPr>
      </w:pPr>
    </w:p>
    <w:p w14:paraId="1DE5E051" w14:textId="77777777" w:rsidR="005A3B9F" w:rsidRDefault="005A3B9F">
      <w:pPr>
        <w:spacing w:after="0"/>
        <w:rPr>
          <w:color w:val="000000"/>
        </w:rPr>
      </w:pPr>
    </w:p>
    <w:p w14:paraId="16DB34CE" w14:textId="77777777" w:rsidR="005A3B9F" w:rsidRDefault="005A3B9F">
      <w:pPr>
        <w:spacing w:after="0"/>
        <w:rPr>
          <w:color w:val="000000"/>
        </w:rPr>
      </w:pPr>
    </w:p>
    <w:p w14:paraId="72859135" w14:textId="77777777" w:rsidR="005A3B9F" w:rsidRDefault="005A3B9F">
      <w:pPr>
        <w:spacing w:after="0"/>
        <w:rPr>
          <w:color w:val="000000"/>
        </w:rPr>
      </w:pPr>
    </w:p>
    <w:p w14:paraId="09209E4F" w14:textId="77777777" w:rsidR="005A3B9F" w:rsidRDefault="005A3B9F">
      <w:pPr>
        <w:spacing w:after="0"/>
        <w:rPr>
          <w:color w:val="000000"/>
        </w:rPr>
      </w:pPr>
    </w:p>
    <w:p w14:paraId="43660082" w14:textId="77777777" w:rsidR="005A3B9F" w:rsidRDefault="005A3B9F">
      <w:pPr>
        <w:spacing w:after="0"/>
        <w:rPr>
          <w:color w:val="000000"/>
        </w:rPr>
      </w:pPr>
    </w:p>
    <w:p w14:paraId="3B2E63D4" w14:textId="77777777" w:rsidR="005A3B9F" w:rsidRDefault="005A3B9F">
      <w:pPr>
        <w:spacing w:after="0"/>
        <w:rPr>
          <w:color w:val="000000"/>
        </w:rPr>
      </w:pPr>
    </w:p>
    <w:p w14:paraId="7DB8855E" w14:textId="77777777" w:rsidR="005A3B9F" w:rsidRDefault="005A3B9F">
      <w:pPr>
        <w:spacing w:after="0"/>
        <w:rPr>
          <w:color w:val="000000"/>
        </w:rPr>
      </w:pPr>
    </w:p>
    <w:p w14:paraId="2AE160AF" w14:textId="77777777" w:rsidR="005A3B9F" w:rsidRDefault="005A3B9F">
      <w:pPr>
        <w:spacing w:after="0"/>
        <w:ind w:firstLine="0"/>
        <w:rPr>
          <w:color w:val="000000"/>
        </w:rPr>
      </w:pPr>
    </w:p>
    <w:bookmarkEnd w:id="0"/>
    <w:p w14:paraId="2346E507" w14:textId="77777777" w:rsidR="005A3B9F" w:rsidRDefault="005A3B9F">
      <w:pPr>
        <w:ind w:firstLine="0"/>
        <w:rPr>
          <w:color w:val="000000"/>
        </w:rPr>
      </w:pPr>
    </w:p>
    <w:sectPr w:rsidR="005A3B9F">
      <w:footerReference w:type="default" r:id="rId8"/>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758BF" w14:textId="77777777" w:rsidR="007A4485" w:rsidRDefault="007A4485">
      <w:pPr>
        <w:spacing w:after="0" w:line="240" w:lineRule="auto"/>
      </w:pPr>
      <w:r>
        <w:separator/>
      </w:r>
    </w:p>
  </w:endnote>
  <w:endnote w:type="continuationSeparator" w:id="0">
    <w:p w14:paraId="30C8080D" w14:textId="77777777" w:rsidR="007A4485" w:rsidRDefault="007A4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A66DD" w14:textId="77777777" w:rsidR="005A3B9F" w:rsidRDefault="00725DB9">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C5AB7">
      <w:rPr>
        <w:noProof/>
        <w:color w:val="000000"/>
      </w:rPr>
      <w:t>1</w:t>
    </w:r>
    <w:r>
      <w:rPr>
        <w:color w:val="000000"/>
      </w:rPr>
      <w:fldChar w:fldCharType="end"/>
    </w:r>
  </w:p>
  <w:p w14:paraId="1408DFD7" w14:textId="77777777" w:rsidR="005A3B9F" w:rsidRDefault="005A3B9F">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AC2D8F" w14:textId="77777777" w:rsidR="007A4485" w:rsidRDefault="007A4485">
      <w:pPr>
        <w:spacing w:after="0" w:line="240" w:lineRule="auto"/>
      </w:pPr>
      <w:r>
        <w:separator/>
      </w:r>
    </w:p>
  </w:footnote>
  <w:footnote w:type="continuationSeparator" w:id="0">
    <w:p w14:paraId="016B2ADA" w14:textId="77777777" w:rsidR="007A4485" w:rsidRDefault="007A44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77641"/>
    <w:multiLevelType w:val="multilevel"/>
    <w:tmpl w:val="CBE6B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B9F"/>
    <w:rsid w:val="000E6616"/>
    <w:rsid w:val="00133528"/>
    <w:rsid w:val="00133ED6"/>
    <w:rsid w:val="001D2235"/>
    <w:rsid w:val="001E635F"/>
    <w:rsid w:val="00280A16"/>
    <w:rsid w:val="003C5AB7"/>
    <w:rsid w:val="004247D2"/>
    <w:rsid w:val="00474320"/>
    <w:rsid w:val="00501924"/>
    <w:rsid w:val="005A3B9F"/>
    <w:rsid w:val="0061596E"/>
    <w:rsid w:val="00725DB9"/>
    <w:rsid w:val="007A4485"/>
    <w:rsid w:val="008714A4"/>
    <w:rsid w:val="008C75FE"/>
    <w:rsid w:val="00922BA1"/>
    <w:rsid w:val="0099497A"/>
    <w:rsid w:val="009B7BB9"/>
    <w:rsid w:val="009D1E2A"/>
    <w:rsid w:val="00A1726A"/>
    <w:rsid w:val="00A45043"/>
    <w:rsid w:val="00AE72F3"/>
    <w:rsid w:val="00B940B1"/>
    <w:rsid w:val="00C13488"/>
    <w:rsid w:val="00C15517"/>
    <w:rsid w:val="00C375A4"/>
    <w:rsid w:val="00CC401E"/>
    <w:rsid w:val="00CC61B1"/>
    <w:rsid w:val="00EA4B2A"/>
    <w:rsid w:val="00EE3610"/>
    <w:rsid w:val="00EE5476"/>
    <w:rsid w:val="00F45AB3"/>
    <w:rsid w:val="00FB3A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76254"/>
  <w15:docId w15:val="{A37F8ABC-A35F-44F7-A354-7D05D31C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fr-FR" w:bidi="ar-SA"/>
      </w:rPr>
    </w:rPrDefault>
    <w:pPrDefault>
      <w:pPr>
        <w:spacing w:after="200" w:line="276"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9D1E2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D1E2A"/>
    <w:rPr>
      <w:rFonts w:ascii="Segoe UI" w:hAnsi="Segoe UI" w:cs="Segoe UI"/>
      <w:sz w:val="18"/>
      <w:szCs w:val="18"/>
    </w:rPr>
  </w:style>
  <w:style w:type="paragraph" w:styleId="Objetducommentaire">
    <w:name w:val="annotation subject"/>
    <w:basedOn w:val="Commentaire"/>
    <w:next w:val="Commentaire"/>
    <w:link w:val="ObjetducommentaireCar"/>
    <w:uiPriority w:val="99"/>
    <w:semiHidden/>
    <w:unhideWhenUsed/>
    <w:rsid w:val="00CC61B1"/>
    <w:rPr>
      <w:b/>
      <w:bCs/>
    </w:rPr>
  </w:style>
  <w:style w:type="character" w:customStyle="1" w:styleId="ObjetducommentaireCar">
    <w:name w:val="Objet du commentaire Car"/>
    <w:basedOn w:val="CommentaireCar"/>
    <w:link w:val="Objetducommentaire"/>
    <w:uiPriority w:val="99"/>
    <w:semiHidden/>
    <w:rsid w:val="00CC61B1"/>
    <w:rPr>
      <w:b/>
      <w:bCs/>
      <w:sz w:val="20"/>
      <w:szCs w:val="20"/>
    </w:rPr>
  </w:style>
  <w:style w:type="paragraph" w:styleId="Bibliographie">
    <w:name w:val="Bibliography"/>
    <w:basedOn w:val="Normal"/>
    <w:next w:val="Normal"/>
    <w:uiPriority w:val="37"/>
    <w:unhideWhenUsed/>
    <w:rsid w:val="00C13488"/>
    <w:pPr>
      <w:spacing w:after="240"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F81AA-6609-4514-A752-5969153E0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649</Words>
  <Characters>3574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Scotto Di Cesare Cecile</dc:creator>
  <cp:lastModifiedBy>Scotto Di Cesare Cecile</cp:lastModifiedBy>
  <cp:revision>5</cp:revision>
  <dcterms:created xsi:type="dcterms:W3CDTF">2020-06-26T10:31:00Z</dcterms:created>
  <dcterms:modified xsi:type="dcterms:W3CDTF">2020-09-01T12:44:00Z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id="T0GW00zQ"/&gt;&lt;style id="http://www.zotero.org/styles/journal-of-neurophysiology" hasBibliography="1" bibliographyStyleHasBeenSet="1"/&gt;&lt;prefs&gt;&lt;pref name="fieldType" value="Field"/&gt;&lt;pref name="automa</vt:lpwstr>
  </property>
  <property fmtid="{D5CDD505-2E9C-101B-9397-08002B2CF9AE}" pid="3" name="ZOTERO_PREF_2">
    <vt:lpwstr>ticJournalAbbreviations" value="true"/&gt;&lt;/prefs&gt;&lt;/data&gt;</vt:lpwstr>
  </property>
</Properties>
</file>