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5A128" w14:textId="77777777" w:rsidR="00097129" w:rsidRPr="00097129" w:rsidRDefault="00097129" w:rsidP="00097129">
      <w:pPr>
        <w:rPr>
          <w:rFonts w:ascii="Arial" w:eastAsia="Times New Roman" w:hAnsi="Arial" w:cs="Arial"/>
          <w:b/>
          <w:bCs/>
          <w:sz w:val="22"/>
          <w:szCs w:val="22"/>
        </w:rPr>
      </w:pPr>
      <w:r w:rsidRPr="00097129">
        <w:rPr>
          <w:rFonts w:ascii="Arial" w:hAnsi="Arial" w:cs="Arial"/>
          <w:b/>
          <w:bCs/>
          <w:sz w:val="22"/>
          <w:szCs w:val="22"/>
        </w:rPr>
        <w:t xml:space="preserve">Estimates of early hMPXV1 outbreak epidemiological parameters from genomic </w:t>
      </w:r>
      <w:proofErr w:type="gramStart"/>
      <w:r w:rsidRPr="00097129">
        <w:rPr>
          <w:rFonts w:ascii="Arial" w:hAnsi="Arial" w:cs="Arial"/>
          <w:b/>
          <w:bCs/>
          <w:sz w:val="22"/>
          <w:szCs w:val="22"/>
        </w:rPr>
        <w:t>data</w:t>
      </w:r>
      <w:proofErr w:type="gramEnd"/>
    </w:p>
    <w:p w14:paraId="5DE452AC" w14:textId="77777777" w:rsidR="00097129" w:rsidRPr="00097129" w:rsidRDefault="00097129" w:rsidP="00097129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1B4473D8" w14:textId="091679CE" w:rsidR="00097129" w:rsidRPr="00097129" w:rsidRDefault="00097129" w:rsidP="00097129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97129">
        <w:rPr>
          <w:rFonts w:ascii="Arial" w:hAnsi="Arial" w:cs="Arial"/>
          <w:sz w:val="22"/>
          <w:szCs w:val="22"/>
        </w:rPr>
        <w:t xml:space="preserve">Community transmission of hMPXV1 was first detected on </w:t>
      </w:r>
      <w:r w:rsidRPr="00A95409">
        <w:rPr>
          <w:rFonts w:ascii="Arial" w:eastAsia="Calibri" w:hAnsi="Arial" w:cs="Arial"/>
          <w:sz w:val="22"/>
          <w:szCs w:val="22"/>
        </w:rPr>
        <w:t>May 14</w:t>
      </w:r>
      <w:r w:rsidRPr="00A95409">
        <w:rPr>
          <w:rFonts w:ascii="Arial" w:eastAsia="Calibri" w:hAnsi="Arial" w:cs="Arial"/>
          <w:sz w:val="22"/>
          <w:szCs w:val="22"/>
          <w:vertAlign w:val="superscript"/>
        </w:rPr>
        <w:t>th</w:t>
      </w:r>
      <w:r w:rsidRPr="00A95409">
        <w:rPr>
          <w:rFonts w:ascii="Arial" w:eastAsia="Calibri" w:hAnsi="Arial" w:cs="Arial"/>
          <w:sz w:val="22"/>
          <w:szCs w:val="22"/>
        </w:rPr>
        <w:t xml:space="preserve">, 2022. </w:t>
      </w:r>
      <w:r w:rsidRPr="00097129">
        <w:rPr>
          <w:rFonts w:ascii="Arial" w:hAnsi="Arial" w:cs="Arial"/>
          <w:sz w:val="22"/>
          <w:szCs w:val="22"/>
        </w:rPr>
        <w:t>As of this writing,</w:t>
      </w:r>
      <w:r w:rsidRPr="00097129">
        <w:rPr>
          <w:rFonts w:ascii="Arial" w:eastAsia="Calibri" w:hAnsi="Arial" w:cs="Arial"/>
          <w:sz w:val="22"/>
          <w:szCs w:val="22"/>
        </w:rPr>
        <w:t xml:space="preserve"> over </w:t>
      </w:r>
      <w:r w:rsidRPr="00097129">
        <w:rPr>
          <w:rFonts w:ascii="Arial" w:hAnsi="Arial" w:cs="Arial"/>
          <w:sz w:val="22"/>
          <w:szCs w:val="22"/>
        </w:rPr>
        <w:t>85</w:t>
      </w:r>
      <w:r w:rsidRPr="00097129">
        <w:rPr>
          <w:rFonts w:ascii="Arial" w:eastAsia="Calibri" w:hAnsi="Arial" w:cs="Arial"/>
          <w:sz w:val="22"/>
          <w:szCs w:val="22"/>
        </w:rPr>
        <w:t xml:space="preserve">,000 confirmed cases have been reported from 110 countries </w:t>
      </w:r>
      <w:r w:rsidRPr="00097129">
        <w:rPr>
          <w:rFonts w:ascii="Arial" w:eastAsia="Calibri" w:hAnsi="Arial" w:cs="Arial"/>
          <w:sz w:val="22"/>
          <w:szCs w:val="22"/>
        </w:rPr>
        <w:t>and</w:t>
      </w:r>
      <w:r w:rsidRPr="00097129">
        <w:rPr>
          <w:rFonts w:ascii="Arial" w:eastAsia="Calibri" w:hAnsi="Arial" w:cs="Arial"/>
          <w:sz w:val="22"/>
          <w:szCs w:val="22"/>
        </w:rPr>
        <w:t xml:space="preserve"> resulted in at least </w:t>
      </w:r>
      <w:r w:rsidRPr="00097129">
        <w:rPr>
          <w:rFonts w:ascii="Arial" w:hAnsi="Arial" w:cs="Arial"/>
          <w:sz w:val="22"/>
          <w:szCs w:val="22"/>
        </w:rPr>
        <w:t>112</w:t>
      </w:r>
      <w:r w:rsidRPr="00097129">
        <w:rPr>
          <w:rFonts w:ascii="Arial" w:eastAsia="Calibri" w:hAnsi="Arial" w:cs="Arial"/>
          <w:sz w:val="22"/>
          <w:szCs w:val="22"/>
        </w:rPr>
        <w:t xml:space="preserve"> deaths.</w:t>
      </w:r>
      <w:r w:rsidRPr="00097129">
        <w:rPr>
          <w:rFonts w:ascii="Arial" w:hAnsi="Arial" w:cs="Arial"/>
          <w:sz w:val="22"/>
          <w:szCs w:val="22"/>
        </w:rPr>
        <w:t xml:space="preserve"> Due to infrequent case reporting during earlier periods of the outbreak, as well as a lengthy viral incubation period between </w:t>
      </w:r>
      <w:r w:rsidRPr="00097129">
        <w:rPr>
          <w:rFonts w:ascii="Arial" w:hAnsi="Arial" w:cs="Arial"/>
          <w:sz w:val="22"/>
          <w:szCs w:val="22"/>
          <w:highlight w:val="yellow"/>
        </w:rPr>
        <w:t>[5]</w:t>
      </w:r>
      <w:r w:rsidRPr="00097129">
        <w:rPr>
          <w:rFonts w:ascii="Arial" w:hAnsi="Arial" w:cs="Arial"/>
          <w:sz w:val="22"/>
          <w:szCs w:val="22"/>
        </w:rPr>
        <w:t xml:space="preserve"> and </w:t>
      </w:r>
      <w:r w:rsidRPr="00097129">
        <w:rPr>
          <w:rFonts w:ascii="Arial" w:hAnsi="Arial" w:cs="Arial"/>
          <w:sz w:val="22"/>
          <w:szCs w:val="22"/>
          <w:highlight w:val="yellow"/>
        </w:rPr>
        <w:t>[21]</w:t>
      </w:r>
      <w:r w:rsidRPr="00097129">
        <w:rPr>
          <w:rFonts w:ascii="Arial" w:hAnsi="Arial" w:cs="Arial"/>
          <w:sz w:val="22"/>
          <w:szCs w:val="22"/>
        </w:rPr>
        <w:t xml:space="preserve"> days, the extent of the outbreak remains unclear. Due to abundant APOBEC editing of the hMPXV1 genome, the heightened viral evolutionary rate permits </w:t>
      </w:r>
      <w:r w:rsidRPr="00097129">
        <w:rPr>
          <w:rFonts w:ascii="Arial" w:hAnsi="Arial" w:cs="Arial"/>
          <w:color w:val="000000"/>
          <w:sz w:val="22"/>
          <w:szCs w:val="22"/>
        </w:rPr>
        <w:t xml:space="preserve">phylodynamic estimates of outbreak spread. </w:t>
      </w:r>
      <w:r w:rsidRPr="00097129">
        <w:rPr>
          <w:rFonts w:ascii="Arial" w:hAnsi="Arial" w:cs="Arial"/>
          <w:sz w:val="22"/>
          <w:szCs w:val="22"/>
        </w:rPr>
        <w:t xml:space="preserve">We used publicly available viral genome sequence data (N=223) from the 2022 global </w:t>
      </w:r>
      <w:proofErr w:type="spellStart"/>
      <w:r w:rsidRPr="00097129">
        <w:rPr>
          <w:rFonts w:ascii="Arial" w:hAnsi="Arial" w:cs="Arial"/>
          <w:sz w:val="22"/>
          <w:szCs w:val="22"/>
        </w:rPr>
        <w:t>mpox</w:t>
      </w:r>
      <w:proofErr w:type="spellEnd"/>
      <w:r w:rsidRPr="00097129">
        <w:rPr>
          <w:rFonts w:ascii="Arial" w:hAnsi="Arial" w:cs="Arial"/>
          <w:sz w:val="22"/>
          <w:szCs w:val="22"/>
        </w:rPr>
        <w:t xml:space="preserve"> epidemic to analyze viral evolutionary dynamics and epidemic growth rate through time. Using BEAST v. 1.10.4, we </w:t>
      </w:r>
      <w:r w:rsidRPr="00097129">
        <w:rPr>
          <w:rFonts w:ascii="Arial" w:hAnsi="Arial" w:cs="Arial"/>
          <w:color w:val="000000"/>
          <w:sz w:val="22"/>
          <w:szCs w:val="22"/>
        </w:rPr>
        <w:t>implemented a coalescent logistic growth model with</w:t>
      </w:r>
      <w:r w:rsidRPr="00097129">
        <w:rPr>
          <w:rFonts w:ascii="Arial" w:hAnsi="Arial" w:cs="Arial"/>
          <w:color w:val="000000"/>
          <w:sz w:val="22"/>
          <w:szCs w:val="22"/>
        </w:rPr>
        <w:t xml:space="preserve"> </w:t>
      </w:r>
      <w:r w:rsidRPr="00097129">
        <w:rPr>
          <w:rFonts w:ascii="Arial" w:hAnsi="Arial" w:cs="Arial"/>
          <w:color w:val="000000"/>
          <w:sz w:val="22"/>
          <w:szCs w:val="22"/>
        </w:rPr>
        <w:t xml:space="preserve">HKY+Γ substitution </w:t>
      </w:r>
      <w:r w:rsidRPr="00097129">
        <w:rPr>
          <w:rFonts w:ascii="Arial" w:hAnsi="Arial" w:cs="Arial"/>
          <w:color w:val="000000"/>
          <w:sz w:val="22"/>
          <w:szCs w:val="22"/>
        </w:rPr>
        <w:t>under</w:t>
      </w:r>
      <w:r w:rsidRPr="00097129">
        <w:rPr>
          <w:rFonts w:ascii="Arial" w:hAnsi="Arial" w:cs="Arial"/>
          <w:color w:val="000000"/>
          <w:sz w:val="22"/>
          <w:szCs w:val="22"/>
        </w:rPr>
        <w:t xml:space="preserve"> a strict molecular clock. We use doubling time in days to quantify the exponential growth rate r, from which we estimate </w:t>
      </w:r>
      <w:r w:rsidRPr="00097129">
        <w:rPr>
          <w:rFonts w:ascii="Arial" w:hAnsi="Arial" w:cs="Arial"/>
          <w:sz w:val="22"/>
          <w:szCs w:val="22"/>
        </w:rPr>
        <w:t xml:space="preserve">0.039 new infections per day (95% CI: 0.023, 0.056) </w:t>
      </w:r>
      <w:r w:rsidRPr="00097129">
        <w:rPr>
          <w:rFonts w:ascii="Arial" w:hAnsi="Arial" w:cs="Arial"/>
          <w:color w:val="000000"/>
          <w:sz w:val="22"/>
          <w:szCs w:val="22"/>
        </w:rPr>
        <w:t>c</w:t>
      </w:r>
      <w:r w:rsidRPr="00097129">
        <w:rPr>
          <w:rFonts w:ascii="Arial" w:hAnsi="Arial" w:cs="Arial"/>
          <w:sz w:val="22"/>
          <w:szCs w:val="22"/>
        </w:rPr>
        <w:t xml:space="preserve">ompared to 0.049 reported cases per day. Temporal dynamics of effective population size Ne indicate steady increases in viral population size a few months prior to initial community detection. </w:t>
      </w:r>
      <w:r w:rsidRPr="00097129">
        <w:rPr>
          <w:rFonts w:ascii="Arial" w:hAnsi="Arial" w:cs="Arial"/>
          <w:color w:val="000000"/>
          <w:sz w:val="22"/>
          <w:szCs w:val="22"/>
        </w:rPr>
        <w:t xml:space="preserve">We estimate the TMRCA of the 2022 outbreak viruses to be between October 22, </w:t>
      </w:r>
      <w:proofErr w:type="gramStart"/>
      <w:r w:rsidRPr="00097129">
        <w:rPr>
          <w:rFonts w:ascii="Arial" w:hAnsi="Arial" w:cs="Arial"/>
          <w:color w:val="000000"/>
          <w:sz w:val="22"/>
          <w:szCs w:val="22"/>
        </w:rPr>
        <w:t>2021</w:t>
      </w:r>
      <w:proofErr w:type="gramEnd"/>
      <w:r w:rsidRPr="00097129">
        <w:rPr>
          <w:rFonts w:ascii="Arial" w:hAnsi="Arial" w:cs="Arial"/>
          <w:color w:val="000000"/>
          <w:sz w:val="22"/>
          <w:szCs w:val="22"/>
        </w:rPr>
        <w:t xml:space="preserve"> and Feb 5, 2022 (95% credible interval), arriving at a median estimate of December 20, 2021. </w:t>
      </w:r>
      <w:r w:rsidRPr="00097129">
        <w:rPr>
          <w:rFonts w:ascii="Arial" w:hAnsi="Arial" w:cs="Arial"/>
          <w:sz w:val="22"/>
          <w:szCs w:val="22"/>
        </w:rPr>
        <w:t xml:space="preserve">Thus, a phylodynamic analysis suggests that the 2022 monkeypox outbreak had been building for approximately 5 months before it was detected as an outbreak. We plan to re-estimate epidemiological parameters after upscaling our data to at least 600 sequences. Finally, to characterize regional features of epidemic spread, we will implement a discrete trait model to perform phylogeographic analysis of hMPXV1 evolutionary dynamics </w:t>
      </w:r>
      <w:r>
        <w:rPr>
          <w:rFonts w:ascii="Arial" w:hAnsi="Arial" w:cs="Arial"/>
          <w:sz w:val="22"/>
          <w:szCs w:val="22"/>
        </w:rPr>
        <w:t>across</w:t>
      </w:r>
      <w:r w:rsidRPr="00097129">
        <w:rPr>
          <w:rFonts w:ascii="Arial" w:hAnsi="Arial" w:cs="Arial"/>
          <w:sz w:val="22"/>
          <w:szCs w:val="22"/>
        </w:rPr>
        <w:t xml:space="preserve"> five regions (North America, Western Europe, Southern Europe, Central/Eastern Europe, South America).  </w:t>
      </w:r>
    </w:p>
    <w:p w14:paraId="5E7069A8" w14:textId="77777777" w:rsidR="0022486A" w:rsidRPr="00097129" w:rsidRDefault="0022486A">
      <w:pPr>
        <w:rPr>
          <w:rFonts w:ascii="Arial" w:hAnsi="Arial" w:cs="Arial"/>
          <w:sz w:val="22"/>
          <w:szCs w:val="22"/>
        </w:rPr>
      </w:pPr>
    </w:p>
    <w:sectPr w:rsidR="0022486A" w:rsidRPr="00097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129"/>
    <w:rsid w:val="00097129"/>
    <w:rsid w:val="0022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5B9123"/>
  <w15:chartTrackingRefBased/>
  <w15:docId w15:val="{96560D85-3039-AF43-AB50-E5B86A237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1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712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Nashwa M Ahmed</dc:creator>
  <cp:keywords/>
  <dc:description/>
  <cp:lastModifiedBy>Nashwa M Ahmed</cp:lastModifiedBy>
  <cp:revision>1</cp:revision>
  <dcterms:created xsi:type="dcterms:W3CDTF">2023-03-31T20:15:00Z</dcterms:created>
  <dcterms:modified xsi:type="dcterms:W3CDTF">2023-03-31T20:20:00Z</dcterms:modified>
</cp:coreProperties>
</file>