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Validación estadística del proyecto RetailPro</w:t>
      </w:r>
    </w:p>
    <w:p>
      <w:pPr>
        <w:spacing w:after="400"/>
        <w:jc w:val="center"/>
      </w:pPr>
      <w:r>
        <w:rPr>
          <w:i/>
          <w:iCs/>
        </w:rPr>
        <w:t xml:space="preserve">Cecilia Pintos — Pre-entrega Módulo 10</w:t>
      </w:r>
    </w:p>
    <w:p>
      <w:pPr>
        <w:pStyle w:val="Heading2"/>
        <w:spacing w:after="120" w:before="300"/>
      </w:pPr>
      <w:r>
        <w:t xml:space="preserve">Parte 1 — Caso guiado: consistencia de ventas entre sucursales</w:t>
      </w:r>
    </w:p>
    <w:p>
      <w:pPr>
        <w:spacing w:after="160"/>
      </w:pPr>
      <w:r>
        <w:t xml:space="preserve">Datos de ventas diarias (USD), última semana (5 días laborales):</w:t>
      </w:r>
    </w:p>
    <w:p>
      <w:pPr>
        <w:pStyle w:val="ListParagraph"/>
        <w:numPr>
          <w:ilvl w:val="0"/>
          <w:numId w:val="1"/>
        </w:numPr>
        <w:spacing w:after="60"/>
      </w:pPr>
      <w:r>
        <w:t xml:space="preserve">Sucursal Norte: 500, 510, 490, 505, 495</w:t>
      </w:r>
    </w:p>
    <w:p>
      <w:pPr>
        <w:pStyle w:val="ListParagraph"/>
        <w:numPr>
          <w:ilvl w:val="0"/>
          <w:numId w:val="1"/>
        </w:numPr>
        <w:spacing w:after="60"/>
      </w:pPr>
      <w:r>
        <w:t xml:space="preserve">Sucursal Sur: 100, 900, 50, 1.200, 250</w:t>
      </w:r>
    </w:p>
    <w:p>
      <w:pPr>
        <w:pStyle w:val="Heading3"/>
        <w:spacing w:after="80" w:before="200"/>
      </w:pPr>
      <w:r>
        <w:t xml:space="preserve">Cálculos</w:t>
      </w:r>
    </w:p>
    <w:tbl>
      <w:tblPr>
        <w:tblW w:type="dxa" w:w="9600"/>
        <w:tblBorders>
          <w:top w:val="single" w:color="999999" w:sz="2"/>
          <w:left w:val="single" w:color="999999" w:sz="2"/>
          <w:bottom w:val="single" w:color="999999" w:sz="2"/>
          <w:right w:val="single" w:color="999999" w:sz="2"/>
          <w:insideH w:val="single" w:color="CCCCCC" w:sz="2"/>
          <w:insideV w:val="single" w:color="CCCCCC" w:sz="2"/>
        </w:tblBorders>
      </w:tblPr>
      <w:tblGrid>
        <w:gridCol w:w="2200"/>
        <w:gridCol w:w="2200"/>
        <w:gridCol w:w="2600"/>
        <w:gridCol w:w="2600"/>
      </w:tblGrid>
      <w:tr>
        <w:tc>
          <w:tcPr>
            <w:tcW w:type="dxa" w:w="2200"/>
            <w:shd w:fill="D9E2F3" w:val="clear"/>
            <w:tcMar>
              <w:top w:type="dxa" w:w="80"/>
              <w:left w:type="dxa" w:w="120"/>
              <w:bottom w:type="dxa" w:w="80"/>
              <w:right w:type="dxa" w:w="120"/>
            </w:tcMar>
            <w:vAlign w:val="center"/>
          </w:tcPr>
          <w:p>
            <w:pPr>
              <w:jc w:val="center"/>
            </w:pPr>
            <w:r>
              <w:rPr>
                <w:b/>
                <w:bCs/>
              </w:rPr>
              <w:t xml:space="preserve">Sucursal</w:t>
            </w:r>
          </w:p>
        </w:tc>
        <w:tc>
          <w:tcPr>
            <w:tcW w:type="dxa" w:w="2200"/>
            <w:shd w:fill="D9E2F3" w:val="clear"/>
            <w:tcMar>
              <w:top w:type="dxa" w:w="80"/>
              <w:left w:type="dxa" w:w="120"/>
              <w:bottom w:type="dxa" w:w="80"/>
              <w:right w:type="dxa" w:w="120"/>
            </w:tcMar>
            <w:vAlign w:val="center"/>
          </w:tcPr>
          <w:p>
            <w:pPr>
              <w:jc w:val="center"/>
            </w:pPr>
            <w:r>
              <w:rPr>
                <w:b/>
                <w:bCs/>
              </w:rPr>
              <w:t xml:space="preserve">Media</w:t>
            </w:r>
          </w:p>
        </w:tc>
        <w:tc>
          <w:tcPr>
            <w:tcW w:type="dxa" w:w="2600"/>
            <w:shd w:fill="D9E2F3" w:val="clear"/>
            <w:tcMar>
              <w:top w:type="dxa" w:w="80"/>
              <w:left w:type="dxa" w:w="120"/>
              <w:bottom w:type="dxa" w:w="80"/>
              <w:right w:type="dxa" w:w="120"/>
            </w:tcMar>
            <w:vAlign w:val="center"/>
          </w:tcPr>
          <w:p>
            <w:pPr>
              <w:jc w:val="center"/>
            </w:pPr>
            <w:r>
              <w:rPr>
                <w:b/>
                <w:bCs/>
              </w:rPr>
              <w:t xml:space="preserve">Rango</w:t>
            </w:r>
          </w:p>
        </w:tc>
        <w:tc>
          <w:tcPr>
            <w:tcW w:type="dxa" w:w="2600"/>
            <w:shd w:fill="D9E2F3" w:val="clear"/>
            <w:tcMar>
              <w:top w:type="dxa" w:w="80"/>
              <w:left w:type="dxa" w:w="120"/>
              <w:bottom w:type="dxa" w:w="80"/>
              <w:right w:type="dxa" w:w="120"/>
            </w:tcMar>
            <w:vAlign w:val="center"/>
          </w:tcPr>
          <w:p>
            <w:pPr>
              <w:jc w:val="center"/>
            </w:pPr>
            <w:r>
              <w:rPr>
                <w:b/>
                <w:bCs/>
              </w:rPr>
              <w:t xml:space="preserve">Desviación estándar muestral</w:t>
            </w:r>
          </w:p>
        </w:tc>
      </w:tr>
      <w:tr>
        <w:tc>
          <w:tcPr>
            <w:tcW w:type="dxa" w:w="2200"/>
            <w:tcMar>
              <w:top w:type="dxa" w:w="80"/>
              <w:left w:type="dxa" w:w="120"/>
              <w:bottom w:type="dxa" w:w="80"/>
              <w:right w:type="dxa" w:w="120"/>
            </w:tcMar>
            <w:vAlign w:val="center"/>
          </w:tcPr>
          <w:p>
            <w:pPr>
              <w:jc w:val="center"/>
            </w:pPr>
            <w:r>
              <w:rPr>
                <w:b w:val="false"/>
                <w:bCs w:val="false"/>
              </w:rPr>
              <w:t xml:space="preserve">Norte</w:t>
            </w:r>
          </w:p>
        </w:tc>
        <w:tc>
          <w:tcPr>
            <w:tcW w:type="dxa" w:w="2200"/>
            <w:tcMar>
              <w:top w:type="dxa" w:w="80"/>
              <w:left w:type="dxa" w:w="120"/>
              <w:bottom w:type="dxa" w:w="80"/>
              <w:right w:type="dxa" w:w="120"/>
            </w:tcMar>
            <w:vAlign w:val="center"/>
          </w:tcPr>
          <w:p>
            <w:pPr>
              <w:jc w:val="center"/>
            </w:pPr>
            <w:r>
              <w:rPr>
                <w:b w:val="false"/>
                <w:bCs w:val="false"/>
              </w:rPr>
              <w:t xml:space="preserve">500</w:t>
            </w:r>
          </w:p>
        </w:tc>
        <w:tc>
          <w:tcPr>
            <w:tcW w:type="dxa" w:w="2600"/>
            <w:tcMar>
              <w:top w:type="dxa" w:w="80"/>
              <w:left w:type="dxa" w:w="120"/>
              <w:bottom w:type="dxa" w:w="80"/>
              <w:right w:type="dxa" w:w="120"/>
            </w:tcMar>
            <w:vAlign w:val="center"/>
          </w:tcPr>
          <w:p>
            <w:pPr>
              <w:jc w:val="center"/>
            </w:pPr>
            <w:r>
              <w:rPr>
                <w:b w:val="false"/>
                <w:bCs w:val="false"/>
              </w:rPr>
              <w:t xml:space="preserve">20 (510 − 490)</w:t>
            </w:r>
          </w:p>
        </w:tc>
        <w:tc>
          <w:tcPr>
            <w:tcW w:type="dxa" w:w="2600"/>
            <w:tcMar>
              <w:top w:type="dxa" w:w="80"/>
              <w:left w:type="dxa" w:w="120"/>
              <w:bottom w:type="dxa" w:w="80"/>
              <w:right w:type="dxa" w:w="120"/>
            </w:tcMar>
            <w:vAlign w:val="center"/>
          </w:tcPr>
          <w:p>
            <w:pPr>
              <w:jc w:val="center"/>
            </w:pPr>
            <w:r>
              <w:rPr>
                <w:b w:val="false"/>
                <w:bCs w:val="false"/>
              </w:rPr>
              <w:t xml:space="preserve">7,91</w:t>
            </w:r>
          </w:p>
        </w:tc>
      </w:tr>
      <w:tr>
        <w:tc>
          <w:tcPr>
            <w:tcW w:type="dxa" w:w="2200"/>
            <w:tcMar>
              <w:top w:type="dxa" w:w="80"/>
              <w:left w:type="dxa" w:w="120"/>
              <w:bottom w:type="dxa" w:w="80"/>
              <w:right w:type="dxa" w:w="120"/>
            </w:tcMar>
            <w:vAlign w:val="center"/>
          </w:tcPr>
          <w:p>
            <w:pPr>
              <w:jc w:val="center"/>
            </w:pPr>
            <w:r>
              <w:rPr>
                <w:b w:val="false"/>
                <w:bCs w:val="false"/>
              </w:rPr>
              <w:t xml:space="preserve">Sur</w:t>
            </w:r>
          </w:p>
        </w:tc>
        <w:tc>
          <w:tcPr>
            <w:tcW w:type="dxa" w:w="2200"/>
            <w:tcMar>
              <w:top w:type="dxa" w:w="80"/>
              <w:left w:type="dxa" w:w="120"/>
              <w:bottom w:type="dxa" w:w="80"/>
              <w:right w:type="dxa" w:w="120"/>
            </w:tcMar>
            <w:vAlign w:val="center"/>
          </w:tcPr>
          <w:p>
            <w:pPr>
              <w:jc w:val="center"/>
            </w:pPr>
            <w:r>
              <w:rPr>
                <w:b w:val="false"/>
                <w:bCs w:val="false"/>
              </w:rPr>
              <w:t xml:space="preserve">500</w:t>
            </w:r>
          </w:p>
        </w:tc>
        <w:tc>
          <w:tcPr>
            <w:tcW w:type="dxa" w:w="2600"/>
            <w:tcMar>
              <w:top w:type="dxa" w:w="80"/>
              <w:left w:type="dxa" w:w="120"/>
              <w:bottom w:type="dxa" w:w="80"/>
              <w:right w:type="dxa" w:w="120"/>
            </w:tcMar>
            <w:vAlign w:val="center"/>
          </w:tcPr>
          <w:p>
            <w:pPr>
              <w:jc w:val="center"/>
            </w:pPr>
            <w:r>
              <w:rPr>
                <w:b w:val="false"/>
                <w:bCs w:val="false"/>
              </w:rPr>
              <w:t xml:space="preserve">1.150 (1.200 − 50)</w:t>
            </w:r>
          </w:p>
        </w:tc>
        <w:tc>
          <w:tcPr>
            <w:tcW w:type="dxa" w:w="2600"/>
            <w:tcMar>
              <w:top w:type="dxa" w:w="80"/>
              <w:left w:type="dxa" w:w="120"/>
              <w:bottom w:type="dxa" w:w="80"/>
              <w:right w:type="dxa" w:w="120"/>
            </w:tcMar>
            <w:vAlign w:val="center"/>
          </w:tcPr>
          <w:p>
            <w:pPr>
              <w:jc w:val="center"/>
            </w:pPr>
            <w:r>
              <w:rPr>
                <w:b w:val="false"/>
                <w:bCs w:val="false"/>
              </w:rPr>
              <w:t xml:space="preserve">518,41</w:t>
            </w:r>
          </w:p>
        </w:tc>
      </w:tr>
    </w:tbl>
    <w:p>
      <w:pPr>
        <w:pStyle w:val="Heading3"/>
        <w:spacing w:after="80" w:before="200"/>
      </w:pPr>
      <w:r>
        <w:t xml:space="preserve">Conclusión</w:t>
      </w:r>
    </w:p>
    <w:p>
      <w:pPr>
        <w:spacing w:after="160"/>
      </w:pPr>
      <w:r>
        <w:t xml:space="preserve">Ambas sucursales tienen exactamente la misma media de ventas ($500), por lo que mirar solo el promedio llevaría a pensar que son igual de previsibles. Pero el rango y la desviación estándar muestran una diferencia enorme: Norte varía apenas ±10 dólares entre sus peores y mejores días, mientras que Sur oscila entre $50 y $1.200, con una desviación 65 veces mayor. Preferiría gestionar la sucursal Norte, porque su baja variabilidad permite planificar inventario, turnos y flujo de caja con confianza; Sur, aunque tiene días excelentes, es mucho más riesgosa de proyectar.</w:t>
      </w:r>
    </w:p>
    <w:p>
      <w:pPr>
        <w:pStyle w:val="Heading2"/>
        <w:spacing w:after="120" w:before="300"/>
      </w:pPr>
      <w:r>
        <w:t xml:space="preserve">Parte 2 — Validación estadística de RetailPro</w:t>
      </w:r>
    </w:p>
    <w:p>
      <w:pPr>
        <w:spacing w:after="160"/>
      </w:pPr>
      <w:r>
        <w:t xml:space="preserve">Análisis sobre la columna total_venta de la tabla ventas (Ventas_Tech_DB, 10 registros: 2400, 140, 450, 240, 285, 1200, 224, 900, 120, 380).</w:t>
      </w:r>
    </w:p>
    <w:p>
      <w:pPr>
        <w:pStyle w:val="Heading3"/>
        <w:spacing w:after="80" w:before="200"/>
      </w:pPr>
      <w:r>
        <w:t xml:space="preserve">a) Ticket promedio real vs. representativo</w:t>
      </w:r>
    </w:p>
    <w:tbl>
      <w:tblPr>
        <w:tblW w:type="dxa" w:w="9600"/>
        <w:tblBorders>
          <w:top w:val="single" w:color="999999" w:sz="2"/>
          <w:left w:val="single" w:color="999999" w:sz="2"/>
          <w:bottom w:val="single" w:color="999999" w:sz="2"/>
          <w:right w:val="single" w:color="999999" w:sz="2"/>
          <w:insideH w:val="single" w:color="CCCCCC" w:sz="2"/>
          <w:insideV w:val="single" w:color="CCCCCC" w:sz="2"/>
        </w:tblBorders>
      </w:tblPr>
      <w:tblGrid>
        <w:gridCol w:w="4800"/>
        <w:gridCol w:w="4800"/>
      </w:tblGrid>
      <w:tr>
        <w:tc>
          <w:tcPr>
            <w:tcW w:type="dxa" w:w="4800"/>
            <w:shd w:fill="D9E2F3" w:val="clear"/>
            <w:tcMar>
              <w:top w:type="dxa" w:w="80"/>
              <w:left w:type="dxa" w:w="120"/>
              <w:bottom w:type="dxa" w:w="80"/>
              <w:right w:type="dxa" w:w="120"/>
            </w:tcMar>
            <w:vAlign w:val="center"/>
          </w:tcPr>
          <w:p>
            <w:pPr>
              <w:jc w:val="center"/>
            </w:pPr>
            <w:r>
              <w:rPr>
                <w:b/>
                <w:bCs/>
              </w:rPr>
              <w:t xml:space="preserve">Medida</w:t>
            </w:r>
          </w:p>
        </w:tc>
        <w:tc>
          <w:tcPr>
            <w:tcW w:type="dxa" w:w="4800"/>
            <w:shd w:fill="D9E2F3" w:val="clear"/>
            <w:tcMar>
              <w:top w:type="dxa" w:w="80"/>
              <w:left w:type="dxa" w:w="120"/>
              <w:bottom w:type="dxa" w:w="80"/>
              <w:right w:type="dxa" w:w="120"/>
            </w:tcMar>
            <w:vAlign w:val="center"/>
          </w:tcPr>
          <w:p>
            <w:pPr>
              <w:jc w:val="center"/>
            </w:pPr>
            <w:r>
              <w:rPr>
                <w:b/>
                <w:bCs/>
              </w:rPr>
              <w:t xml:space="preserve">Valor</w:t>
            </w:r>
          </w:p>
        </w:tc>
      </w:tr>
      <w:tr>
        <w:tc>
          <w:tcPr>
            <w:tcW w:type="dxa" w:w="4800"/>
            <w:tcMar>
              <w:top w:type="dxa" w:w="80"/>
              <w:left w:type="dxa" w:w="120"/>
              <w:bottom w:type="dxa" w:w="80"/>
              <w:right w:type="dxa" w:w="120"/>
            </w:tcMar>
            <w:vAlign w:val="center"/>
          </w:tcPr>
          <w:p>
            <w:pPr>
              <w:jc w:val="center"/>
            </w:pPr>
            <w:r>
              <w:rPr>
                <w:b w:val="false"/>
                <w:bCs w:val="false"/>
              </w:rPr>
              <w:t xml:space="preserve">Media</w:t>
            </w:r>
          </w:p>
        </w:tc>
        <w:tc>
          <w:tcPr>
            <w:tcW w:type="dxa" w:w="4800"/>
            <w:tcMar>
              <w:top w:type="dxa" w:w="80"/>
              <w:left w:type="dxa" w:w="120"/>
              <w:bottom w:type="dxa" w:w="80"/>
              <w:right w:type="dxa" w:w="120"/>
            </w:tcMar>
            <w:vAlign w:val="center"/>
          </w:tcPr>
          <w:p>
            <w:pPr>
              <w:jc w:val="center"/>
            </w:pPr>
            <w:r>
              <w:rPr>
                <w:b w:val="false"/>
                <w:bCs w:val="false"/>
              </w:rPr>
              <w:t xml:space="preserve">$633,90</w:t>
            </w:r>
          </w:p>
        </w:tc>
      </w:tr>
      <w:tr>
        <w:tc>
          <w:tcPr>
            <w:tcW w:type="dxa" w:w="4800"/>
            <w:tcMar>
              <w:top w:type="dxa" w:w="80"/>
              <w:left w:type="dxa" w:w="120"/>
              <w:bottom w:type="dxa" w:w="80"/>
              <w:right w:type="dxa" w:w="120"/>
            </w:tcMar>
            <w:vAlign w:val="center"/>
          </w:tcPr>
          <w:p>
            <w:pPr>
              <w:jc w:val="center"/>
            </w:pPr>
            <w:r>
              <w:rPr>
                <w:b w:val="false"/>
                <w:bCs w:val="false"/>
              </w:rPr>
              <w:t xml:space="preserve">Mediana</w:t>
            </w:r>
          </w:p>
        </w:tc>
        <w:tc>
          <w:tcPr>
            <w:tcW w:type="dxa" w:w="4800"/>
            <w:tcMar>
              <w:top w:type="dxa" w:w="80"/>
              <w:left w:type="dxa" w:w="120"/>
              <w:bottom w:type="dxa" w:w="80"/>
              <w:right w:type="dxa" w:w="120"/>
            </w:tcMar>
            <w:vAlign w:val="center"/>
          </w:tcPr>
          <w:p>
            <w:pPr>
              <w:jc w:val="center"/>
            </w:pPr>
            <w:r>
              <w:rPr>
                <w:b w:val="false"/>
                <w:bCs w:val="false"/>
              </w:rPr>
              <w:t xml:space="preserve">$332,50</w:t>
            </w:r>
          </w:p>
        </w:tc>
      </w:tr>
      <w:tr>
        <w:tc>
          <w:tcPr>
            <w:tcW w:type="dxa" w:w="4800"/>
            <w:tcMar>
              <w:top w:type="dxa" w:w="80"/>
              <w:left w:type="dxa" w:w="120"/>
              <w:bottom w:type="dxa" w:w="80"/>
              <w:right w:type="dxa" w:w="120"/>
            </w:tcMar>
            <w:vAlign w:val="center"/>
          </w:tcPr>
          <w:p>
            <w:pPr>
              <w:jc w:val="center"/>
            </w:pPr>
            <w:r>
              <w:rPr>
                <w:b w:val="false"/>
                <w:bCs w:val="false"/>
              </w:rPr>
              <w:t xml:space="preserve">Diferencia</w:t>
            </w:r>
          </w:p>
        </w:tc>
        <w:tc>
          <w:tcPr>
            <w:tcW w:type="dxa" w:w="4800"/>
            <w:tcMar>
              <w:top w:type="dxa" w:w="80"/>
              <w:left w:type="dxa" w:w="120"/>
              <w:bottom w:type="dxa" w:w="80"/>
              <w:right w:type="dxa" w:w="120"/>
            </w:tcMar>
            <w:vAlign w:val="center"/>
          </w:tcPr>
          <w:p>
            <w:pPr>
              <w:jc w:val="center"/>
            </w:pPr>
            <w:r>
              <w:rPr>
                <w:b w:val="false"/>
                <w:bCs w:val="false"/>
              </w:rPr>
              <w:t xml:space="preserve">$301,40 (la media es ~91% más alta que la mediana)</w:t>
            </w:r>
          </w:p>
        </w:tc>
      </w:tr>
    </w:tbl>
    <w:p>
      <w:pPr>
        <w:spacing w:after="160"/>
      </w:pPr>
      <w:r>
        <w:t xml:space="preserve">La media casi duplica a la mediana. Esa diferencia tan grande indica que la distribución está sesgada a la derecha: hay unas pocas ventas muy altas que arrastran el promedio hacia arriba, mientras que la mayoría de las transacciones son bastante más chicas. Conclusión: un eventual KPI de "Ticket Promedio" calculado como media simple no sería representativo de una venta típica de RetailPro — está inflado por ventas puntuales de alto valor, no por un comportamiento general del negocio.</w:t>
      </w:r>
    </w:p>
    <w:p>
      <w:pPr>
        <w:pStyle w:val="Heading3"/>
        <w:spacing w:after="80" w:before="200"/>
      </w:pPr>
      <w:r>
        <w:t xml:space="preserve">b) Detección de outliers con IQR</w:t>
      </w:r>
    </w:p>
    <w:tbl>
      <w:tblPr>
        <w:tblW w:type="dxa" w:w="9500"/>
        <w:tblBorders>
          <w:top w:val="single" w:color="999999" w:sz="2"/>
          <w:left w:val="single" w:color="999999" w:sz="2"/>
          <w:bottom w:val="single" w:color="999999" w:sz="2"/>
          <w:right w:val="single" w:color="999999" w:sz="2"/>
          <w:insideH w:val="single" w:color="CCCCCC" w:sz="2"/>
          <w:insideV w:val="single" w:color="CCCCCC" w:sz="2"/>
        </w:tblBorders>
      </w:tblPr>
      <w:tblGrid>
        <w:gridCol w:w="1900"/>
        <w:gridCol w:w="1900"/>
        <w:gridCol w:w="1900"/>
        <w:gridCol w:w="1900"/>
        <w:gridCol w:w="1900"/>
      </w:tblGrid>
      <w:tr>
        <w:tc>
          <w:tcPr>
            <w:tcW w:type="dxa" w:w="1900"/>
            <w:shd w:fill="D9E2F3" w:val="clear"/>
            <w:tcMar>
              <w:top w:type="dxa" w:w="80"/>
              <w:left w:type="dxa" w:w="120"/>
              <w:bottom w:type="dxa" w:w="80"/>
              <w:right w:type="dxa" w:w="120"/>
            </w:tcMar>
            <w:vAlign w:val="center"/>
          </w:tcPr>
          <w:p>
            <w:pPr>
              <w:jc w:val="center"/>
            </w:pPr>
            <w:r>
              <w:rPr>
                <w:b/>
                <w:bCs/>
              </w:rPr>
              <w:t xml:space="preserve">Q1</w:t>
            </w:r>
          </w:p>
        </w:tc>
        <w:tc>
          <w:tcPr>
            <w:tcW w:type="dxa" w:w="1900"/>
            <w:shd w:fill="D9E2F3" w:val="clear"/>
            <w:tcMar>
              <w:top w:type="dxa" w:w="80"/>
              <w:left w:type="dxa" w:w="120"/>
              <w:bottom w:type="dxa" w:w="80"/>
              <w:right w:type="dxa" w:w="120"/>
            </w:tcMar>
            <w:vAlign w:val="center"/>
          </w:tcPr>
          <w:p>
            <w:pPr>
              <w:jc w:val="center"/>
            </w:pPr>
            <w:r>
              <w:rPr>
                <w:b/>
                <w:bCs/>
              </w:rPr>
              <w:t xml:space="preserve">Q3</w:t>
            </w:r>
          </w:p>
        </w:tc>
        <w:tc>
          <w:tcPr>
            <w:tcW w:type="dxa" w:w="1900"/>
            <w:shd w:fill="D9E2F3" w:val="clear"/>
            <w:tcMar>
              <w:top w:type="dxa" w:w="80"/>
              <w:left w:type="dxa" w:w="120"/>
              <w:bottom w:type="dxa" w:w="80"/>
              <w:right w:type="dxa" w:w="120"/>
            </w:tcMar>
            <w:vAlign w:val="center"/>
          </w:tcPr>
          <w:p>
            <w:pPr>
              <w:jc w:val="center"/>
            </w:pPr>
            <w:r>
              <w:rPr>
                <w:b/>
                <w:bCs/>
              </w:rPr>
              <w:t xml:space="preserve">IQR</w:t>
            </w:r>
          </w:p>
        </w:tc>
        <w:tc>
          <w:tcPr>
            <w:tcW w:type="dxa" w:w="1900"/>
            <w:shd w:fill="D9E2F3" w:val="clear"/>
            <w:tcMar>
              <w:top w:type="dxa" w:w="80"/>
              <w:left w:type="dxa" w:w="120"/>
              <w:bottom w:type="dxa" w:w="80"/>
              <w:right w:type="dxa" w:w="120"/>
            </w:tcMar>
            <w:vAlign w:val="center"/>
          </w:tcPr>
          <w:p>
            <w:pPr>
              <w:jc w:val="center"/>
            </w:pPr>
            <w:r>
              <w:rPr>
                <w:b/>
                <w:bCs/>
              </w:rPr>
              <w:t xml:space="preserve">Límite inferior</w:t>
            </w:r>
          </w:p>
        </w:tc>
        <w:tc>
          <w:tcPr>
            <w:tcW w:type="dxa" w:w="1900"/>
            <w:shd w:fill="D9E2F3" w:val="clear"/>
            <w:tcMar>
              <w:top w:type="dxa" w:w="80"/>
              <w:left w:type="dxa" w:w="120"/>
              <w:bottom w:type="dxa" w:w="80"/>
              <w:right w:type="dxa" w:w="120"/>
            </w:tcMar>
            <w:vAlign w:val="center"/>
          </w:tcPr>
          <w:p>
            <w:pPr>
              <w:jc w:val="center"/>
            </w:pPr>
            <w:r>
              <w:rPr>
                <w:b/>
                <w:bCs/>
              </w:rPr>
              <w:t xml:space="preserve">Límite superior</w:t>
            </w:r>
          </w:p>
        </w:tc>
      </w:tr>
      <w:tr>
        <w:tc>
          <w:tcPr>
            <w:tcW w:type="dxa" w:w="1900"/>
            <w:tcMar>
              <w:top w:type="dxa" w:w="80"/>
              <w:left w:type="dxa" w:w="120"/>
              <w:bottom w:type="dxa" w:w="80"/>
              <w:right w:type="dxa" w:w="120"/>
            </w:tcMar>
            <w:vAlign w:val="center"/>
          </w:tcPr>
          <w:p>
            <w:pPr>
              <w:jc w:val="center"/>
            </w:pPr>
            <w:r>
              <w:rPr>
                <w:b w:val="false"/>
                <w:bCs w:val="false"/>
              </w:rPr>
              <w:t xml:space="preserve">228,00</w:t>
            </w:r>
          </w:p>
        </w:tc>
        <w:tc>
          <w:tcPr>
            <w:tcW w:type="dxa" w:w="1900"/>
            <w:tcMar>
              <w:top w:type="dxa" w:w="80"/>
              <w:left w:type="dxa" w:w="120"/>
              <w:bottom w:type="dxa" w:w="80"/>
              <w:right w:type="dxa" w:w="120"/>
            </w:tcMar>
            <w:vAlign w:val="center"/>
          </w:tcPr>
          <w:p>
            <w:pPr>
              <w:jc w:val="center"/>
            </w:pPr>
            <w:r>
              <w:rPr>
                <w:b w:val="false"/>
                <w:bCs w:val="false"/>
              </w:rPr>
              <w:t xml:space="preserve">787,50</w:t>
            </w:r>
          </w:p>
        </w:tc>
        <w:tc>
          <w:tcPr>
            <w:tcW w:type="dxa" w:w="1900"/>
            <w:tcMar>
              <w:top w:type="dxa" w:w="80"/>
              <w:left w:type="dxa" w:w="120"/>
              <w:bottom w:type="dxa" w:w="80"/>
              <w:right w:type="dxa" w:w="120"/>
            </w:tcMar>
            <w:vAlign w:val="center"/>
          </w:tcPr>
          <w:p>
            <w:pPr>
              <w:jc w:val="center"/>
            </w:pPr>
            <w:r>
              <w:rPr>
                <w:b w:val="false"/>
                <w:bCs w:val="false"/>
              </w:rPr>
              <w:t xml:space="preserve">559,50</w:t>
            </w:r>
          </w:p>
        </w:tc>
        <w:tc>
          <w:tcPr>
            <w:tcW w:type="dxa" w:w="1900"/>
            <w:tcMar>
              <w:top w:type="dxa" w:w="80"/>
              <w:left w:type="dxa" w:w="120"/>
              <w:bottom w:type="dxa" w:w="80"/>
              <w:right w:type="dxa" w:w="120"/>
            </w:tcMar>
            <w:vAlign w:val="center"/>
          </w:tcPr>
          <w:p>
            <w:pPr>
              <w:jc w:val="center"/>
            </w:pPr>
            <w:r>
              <w:rPr>
                <w:b w:val="false"/>
                <w:bCs w:val="false"/>
              </w:rPr>
              <w:t xml:space="preserve">−611,25</w:t>
            </w:r>
          </w:p>
        </w:tc>
        <w:tc>
          <w:tcPr>
            <w:tcW w:type="dxa" w:w="1900"/>
            <w:tcMar>
              <w:top w:type="dxa" w:w="80"/>
              <w:left w:type="dxa" w:w="120"/>
              <w:bottom w:type="dxa" w:w="80"/>
              <w:right w:type="dxa" w:w="120"/>
            </w:tcMar>
            <w:vAlign w:val="center"/>
          </w:tcPr>
          <w:p>
            <w:pPr>
              <w:jc w:val="center"/>
            </w:pPr>
            <w:r>
              <w:rPr>
                <w:b w:val="false"/>
                <w:bCs w:val="false"/>
              </w:rPr>
              <w:t xml:space="preserve">1.626,75</w:t>
            </w:r>
          </w:p>
        </w:tc>
      </w:tr>
    </w:tbl>
    <w:p>
      <w:pPr>
        <w:spacing w:after="160"/>
      </w:pPr>
      <w:r>
        <w:t xml:space="preserve">Con esos límites, un solo registro cae fuera del rango esperado:</w:t>
      </w:r>
    </w:p>
    <w:tbl>
      <w:tblPr>
        <w:tblW w:type="dxa" w:w="10000"/>
        <w:tblBorders>
          <w:top w:val="single" w:color="999999" w:sz="2"/>
          <w:left w:val="single" w:color="999999" w:sz="2"/>
          <w:bottom w:val="single" w:color="999999" w:sz="2"/>
          <w:right w:val="single" w:color="999999" w:sz="2"/>
          <w:insideH w:val="single" w:color="CCCCCC" w:sz="2"/>
          <w:insideV w:val="single" w:color="CCCCCC" w:sz="2"/>
        </w:tblBorders>
      </w:tblPr>
      <w:tblGrid>
        <w:gridCol w:w="1600"/>
        <w:gridCol w:w="3400"/>
        <w:gridCol w:w="1600"/>
        <w:gridCol w:w="1800"/>
        <w:gridCol w:w="1600"/>
      </w:tblGrid>
      <w:tr>
        <w:tc>
          <w:tcPr>
            <w:tcW w:type="dxa" w:w="1600"/>
            <w:shd w:fill="D9E2F3" w:val="clear"/>
            <w:tcMar>
              <w:top w:type="dxa" w:w="80"/>
              <w:left w:type="dxa" w:w="120"/>
              <w:bottom w:type="dxa" w:w="80"/>
              <w:right w:type="dxa" w:w="120"/>
            </w:tcMar>
            <w:vAlign w:val="center"/>
          </w:tcPr>
          <w:p>
            <w:pPr>
              <w:jc w:val="center"/>
            </w:pPr>
            <w:r>
              <w:rPr>
                <w:b/>
                <w:bCs/>
              </w:rPr>
              <w:t xml:space="preserve">id_venta</w:t>
            </w:r>
          </w:p>
        </w:tc>
        <w:tc>
          <w:tcPr>
            <w:tcW w:type="dxa" w:w="3400"/>
            <w:shd w:fill="D9E2F3" w:val="clear"/>
            <w:tcMar>
              <w:top w:type="dxa" w:w="80"/>
              <w:left w:type="dxa" w:w="120"/>
              <w:bottom w:type="dxa" w:w="80"/>
              <w:right w:type="dxa" w:w="120"/>
            </w:tcMar>
            <w:vAlign w:val="center"/>
          </w:tcPr>
          <w:p>
            <w:pPr>
              <w:jc w:val="center"/>
            </w:pPr>
            <w:r>
              <w:rPr>
                <w:b/>
                <w:bCs/>
              </w:rPr>
              <w:t xml:space="preserve">Producto</w:t>
            </w:r>
          </w:p>
        </w:tc>
        <w:tc>
          <w:tcPr>
            <w:tcW w:type="dxa" w:w="1600"/>
            <w:shd w:fill="D9E2F3" w:val="clear"/>
            <w:tcMar>
              <w:top w:type="dxa" w:w="80"/>
              <w:left w:type="dxa" w:w="120"/>
              <w:bottom w:type="dxa" w:w="80"/>
              <w:right w:type="dxa" w:w="120"/>
            </w:tcMar>
            <w:vAlign w:val="center"/>
          </w:tcPr>
          <w:p>
            <w:pPr>
              <w:jc w:val="center"/>
            </w:pPr>
            <w:r>
              <w:rPr>
                <w:b/>
                <w:bCs/>
              </w:rPr>
              <w:t xml:space="preserve">Cantidad</w:t>
            </w:r>
          </w:p>
        </w:tc>
        <w:tc>
          <w:tcPr>
            <w:tcW w:type="dxa" w:w="1800"/>
            <w:shd w:fill="D9E2F3" w:val="clear"/>
            <w:tcMar>
              <w:top w:type="dxa" w:w="80"/>
              <w:left w:type="dxa" w:w="120"/>
              <w:bottom w:type="dxa" w:w="80"/>
              <w:right w:type="dxa" w:w="120"/>
            </w:tcMar>
            <w:vAlign w:val="center"/>
          </w:tcPr>
          <w:p>
            <w:pPr>
              <w:jc w:val="center"/>
            </w:pPr>
            <w:r>
              <w:rPr>
                <w:b/>
                <w:bCs/>
              </w:rPr>
              <w:t xml:space="preserve">Total venta</w:t>
            </w:r>
          </w:p>
        </w:tc>
        <w:tc>
          <w:tcPr>
            <w:tcW w:type="dxa" w:w="1600"/>
            <w:shd w:fill="D9E2F3" w:val="clear"/>
            <w:tcMar>
              <w:top w:type="dxa" w:w="80"/>
              <w:left w:type="dxa" w:w="120"/>
              <w:bottom w:type="dxa" w:w="80"/>
              <w:right w:type="dxa" w:w="120"/>
            </w:tcMar>
            <w:vAlign w:val="center"/>
          </w:tcPr>
          <w:p>
            <w:pPr>
              <w:jc w:val="center"/>
            </w:pPr>
            <w:r>
              <w:rPr>
                <w:b/>
                <w:bCs/>
              </w:rPr>
              <w:t xml:space="preserve">Canal</w:t>
            </w:r>
          </w:p>
        </w:tc>
      </w:tr>
      <w:tr>
        <w:tc>
          <w:tcPr>
            <w:tcW w:type="dxa" w:w="1600"/>
            <w:tcMar>
              <w:top w:type="dxa" w:w="80"/>
              <w:left w:type="dxa" w:w="120"/>
              <w:bottom w:type="dxa" w:w="80"/>
              <w:right w:type="dxa" w:w="120"/>
            </w:tcMar>
            <w:vAlign w:val="center"/>
          </w:tcPr>
          <w:p>
            <w:pPr>
              <w:jc w:val="center"/>
            </w:pPr>
            <w:r>
              <w:rPr>
                <w:b w:val="false"/>
                <w:bCs w:val="false"/>
              </w:rPr>
              <w:t xml:space="preserve">1</w:t>
            </w:r>
          </w:p>
        </w:tc>
        <w:tc>
          <w:tcPr>
            <w:tcW w:type="dxa" w:w="3400"/>
            <w:tcMar>
              <w:top w:type="dxa" w:w="80"/>
              <w:left w:type="dxa" w:w="120"/>
              <w:bottom w:type="dxa" w:w="80"/>
              <w:right w:type="dxa" w:w="120"/>
            </w:tcMar>
            <w:vAlign w:val="center"/>
          </w:tcPr>
          <w:p>
            <w:pPr>
              <w:jc w:val="center"/>
            </w:pPr>
            <w:r>
              <w:rPr>
                <w:b w:val="false"/>
                <w:bCs w:val="false"/>
              </w:rPr>
              <w:t xml:space="preserve">Laptop Pro 15</w:t>
            </w:r>
          </w:p>
        </w:tc>
        <w:tc>
          <w:tcPr>
            <w:tcW w:type="dxa" w:w="1600"/>
            <w:tcMar>
              <w:top w:type="dxa" w:w="80"/>
              <w:left w:type="dxa" w:w="120"/>
              <w:bottom w:type="dxa" w:w="80"/>
              <w:right w:type="dxa" w:w="120"/>
            </w:tcMar>
            <w:vAlign w:val="center"/>
          </w:tcPr>
          <w:p>
            <w:pPr>
              <w:jc w:val="center"/>
            </w:pPr>
            <w:r>
              <w:rPr>
                <w:b w:val="false"/>
                <w:bCs w:val="false"/>
              </w:rPr>
              <w:t xml:space="preserve">2</w:t>
            </w:r>
          </w:p>
        </w:tc>
        <w:tc>
          <w:tcPr>
            <w:tcW w:type="dxa" w:w="1800"/>
            <w:tcMar>
              <w:top w:type="dxa" w:w="80"/>
              <w:left w:type="dxa" w:w="120"/>
              <w:bottom w:type="dxa" w:w="80"/>
              <w:right w:type="dxa" w:w="120"/>
            </w:tcMar>
            <w:vAlign w:val="center"/>
          </w:tcPr>
          <w:p>
            <w:pPr>
              <w:jc w:val="center"/>
            </w:pPr>
            <w:r>
              <w:rPr>
                <w:b w:val="false"/>
                <w:bCs w:val="false"/>
              </w:rPr>
              <w:t xml:space="preserve">$2.400</w:t>
            </w:r>
          </w:p>
        </w:tc>
        <w:tc>
          <w:tcPr>
            <w:tcW w:type="dxa" w:w="1600"/>
            <w:tcMar>
              <w:top w:type="dxa" w:w="80"/>
              <w:left w:type="dxa" w:w="120"/>
              <w:bottom w:type="dxa" w:w="80"/>
              <w:right w:type="dxa" w:w="120"/>
            </w:tcMar>
            <w:vAlign w:val="center"/>
          </w:tcPr>
          <w:p>
            <w:pPr>
              <w:jc w:val="center"/>
            </w:pPr>
            <w:r>
              <w:rPr>
                <w:b w:val="false"/>
                <w:bCs w:val="false"/>
              </w:rPr>
              <w:t xml:space="preserve">Online</w:t>
            </w:r>
          </w:p>
        </w:tc>
      </w:tr>
    </w:tbl>
    <w:p>
      <w:pPr>
        <w:spacing w:after="160"/>
      </w:pPr>
      <w:r>
        <w:t xml:space="preserve">Es un evento legítimo de negocio, no un error de carga: corresponde a la venta de 2 unidades de Laptop Pro 15 (precio unitario $1.200), un producto de alto valor. No hay nada inconsistente en el dato — simplemente es una transacción grande en un dataset con muy pocas filas, lo cual la vuelve estadísticamente un outlier aunque sea perfectamente válida como venta real.</w:t>
      </w:r>
    </w:p>
    <w:p>
      <w:pPr>
        <w:pStyle w:val="Heading3"/>
        <w:spacing w:after="80" w:before="200"/>
      </w:pPr>
      <w:r>
        <w:t xml:space="preserve">c) Conexión con el dashboard (boceto de M7)</w:t>
      </w:r>
    </w:p>
    <w:p>
      <w:pPr>
        <w:spacing w:after="160"/>
      </w:pPr>
      <w:r>
        <w:t xml:space="preserve">Este resultado confirma algo que ya había aparecido en las consultas de M4: el producto 1 (Laptop Pro 15) concentra una porción grande de la facturación con muy pocas unidades vendidas (3 en total), mientras que otro producto (id 2) vende más unidades pero genera menos ingresos. Esto es relevante para el KPI "Producto Más Vendido" del boceto: la fórmula definida en el brief de M1 es SUM(cantidad) por producto, es decir que ese KPI en realidad va a mostrar el producto con más unidades vendidas — no el que más factura. Como ambos productos podrían confundirse fácilmente ("más vendido" suena a "el que más genera"), ajusto el título del KPI en el dashboard.</w:t>
      </w:r>
    </w:p>
    <w:p>
      <w:pPr>
        <w:spacing w:after="120"/>
      </w:pPr>
      <w:r>
        <w:rPr>
          <w:b/>
          <w:bCs/>
        </w:rPr>
        <w:t xml:space="preserve">Ajuste realizado: </w:t>
      </w:r>
      <w:r>
        <w:t xml:space="preserve">Cambié el título del KPI de "Producto Más Vendido" a "Producto Más Vendido (por unidades)", para dejar explícito el criterio y evitar que el gerente lo confunda con el producto de mayor facturación (que es distinto, y está influenciado por esta venta outlier de alto valor).</w:t>
      </w:r>
    </w:p>
    <w:p>
      <w:pPr>
        <w:spacing w:after="160"/>
      </w:pPr>
      <w:r>
        <w:t xml:space="preserve">No agrego la mediana como KPI adicional en esta etapa porque el boceto actual no incluye un KPI de "Ticket Promedio" — los 4 KPIs de la Zona de Oro (Ventas Totales, Cantidad de Ventas, Producto Más Vendido, Ventas por Región) no se ven afectados por este hallazgo de la media vs. mediana. Si más adelante se agrega un KPI de ticket promedio al dashboard, la recomendación queda documentada acá: mostrar la mediana junto a la media, o aclarar en el visual que el promedio puede estar influenciado por ventas de alto valor.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2026-09-12T23:44:29.667Z</dcterms:created>
  <dcterms:modified xsi:type="dcterms:W3CDTF">2026-09-12T23:44:29.678Z</dcterms:modified>
</cp:coreProperties>
</file>

<file path=docProps/custom.xml><?xml version="1.0" encoding="utf-8"?>
<Properties xmlns="http://schemas.openxmlformats.org/officeDocument/2006/custom-properties" xmlns:vt="http://schemas.openxmlformats.org/officeDocument/2006/docPropsVTypes"/>
</file>