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IA en el flujo del proyecto RetailPro</w:t>
      </w:r>
    </w:p>
    <w:p>
      <w:pPr>
        <w:spacing w:after="400"/>
        <w:jc w:val="center"/>
      </w:pPr>
      <w:r>
        <w:rPr>
          <w:i/>
          <w:iCs/>
        </w:rPr>
        <w:t xml:space="preserve">Cecilia Pintos — Pre-entrega: IA en el flujo del proyecto</w:t>
      </w:r>
    </w:p>
    <w:p>
      <w:pPr>
        <w:pStyle w:val="Heading2"/>
        <w:spacing w:after="120" w:before="300"/>
      </w:pPr>
      <w:r>
        <w:t xml:space="preserve">Tarea 1 — Optimización SQL</w:t>
      </w:r>
    </w:p>
    <w:p>
      <w:pPr>
        <w:spacing w:after="120"/>
      </w:pPr>
      <w:r>
        <w:rPr>
          <w:b/>
          <w:bCs/>
        </w:rPr>
        <w:t xml:space="preserve">Prompt usado: </w:t>
      </w:r>
      <w:r>
        <w:t xml:space="preserve">"Revisá esta consulta de SQL Server (INNER JOIN entre ventas, clientes, productos, categorias y territorio) y sugerime mejoras de rendimiento y legibilidad, teniendo en cuenta que después la consume Power BI en modo importación:"</w:t>
      </w:r>
    </w:p>
    <w:p>
      <w:pPr>
        <w:pStyle w:val="Heading3"/>
        <w:spacing w:after="80" w:before="200"/>
      </w:pPr>
      <w:r>
        <w:t xml:space="preserve">Consulta original (M5 — Vista base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2"/>
              <w:left w:val="single" w:color="CCCCCC" w:sz="2"/>
              <w:bottom w:val="single" w:color="CCCCCC" w:sz="2"/>
              <w:right w:val="single" w:color="CCCCCC" w:sz="2"/>
            </w:tcBorders>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SELECT</w:t>
            </w:r>
          </w:p>
          <w:p>
            <w:pPr>
              <w:spacing w:after="0"/>
            </w:pPr>
            <w:r>
              <w:rPr>
                <w:rFonts w:ascii="Courier New" w:cs="Courier New" w:eastAsia="Courier New" w:hAnsi="Courier New"/>
                <w:sz w:val="18"/>
                <w:szCs w:val="18"/>
              </w:rPr>
              <w:t xml:space="preserve">    v.fecha_venta,</w:t>
            </w:r>
          </w:p>
          <w:p>
            <w:pPr>
              <w:spacing w:after="0"/>
            </w:pPr>
            <w:r>
              <w:rPr>
                <w:rFonts w:ascii="Courier New" w:cs="Courier New" w:eastAsia="Courier New" w:hAnsi="Courier New"/>
                <w:sz w:val="18"/>
                <w:szCs w:val="18"/>
              </w:rPr>
              <w:t xml:space="preserve">    c.nombre         AS nombre_cliente,</w:t>
            </w:r>
          </w:p>
          <w:p>
            <w:pPr>
              <w:spacing w:after="0"/>
            </w:pPr>
            <w:r>
              <w:rPr>
                <w:rFonts w:ascii="Courier New" w:cs="Courier New" w:eastAsia="Courier New" w:hAnsi="Courier New"/>
                <w:sz w:val="18"/>
                <w:szCs w:val="18"/>
              </w:rPr>
              <w:t xml:space="preserve">    c.segmento,</w:t>
            </w:r>
          </w:p>
          <w:p>
            <w:pPr>
              <w:spacing w:after="0"/>
            </w:pPr>
            <w:r>
              <w:rPr>
                <w:rFonts w:ascii="Courier New" w:cs="Courier New" w:eastAsia="Courier New" w:hAnsi="Courier New"/>
                <w:sz w:val="18"/>
                <w:szCs w:val="18"/>
              </w:rPr>
              <w:t xml:space="preserve">    t.region,</w:t>
            </w:r>
          </w:p>
          <w:p>
            <w:pPr>
              <w:spacing w:after="0"/>
            </w:pPr>
            <w:r>
              <w:rPr>
                <w:rFonts w:ascii="Courier New" w:cs="Courier New" w:eastAsia="Courier New" w:hAnsi="Courier New"/>
                <w:sz w:val="18"/>
                <w:szCs w:val="18"/>
              </w:rPr>
              <w:t xml:space="preserve">    p.nombre_producto,</w:t>
            </w:r>
          </w:p>
          <w:p>
            <w:pPr>
              <w:spacing w:after="0"/>
            </w:pPr>
            <w:r>
              <w:rPr>
                <w:rFonts w:ascii="Courier New" w:cs="Courier New" w:eastAsia="Courier New" w:hAnsi="Courier New"/>
                <w:sz w:val="18"/>
                <w:szCs w:val="18"/>
              </w:rPr>
              <w:t xml:space="preserve">    cat.nombre_categoria AS categoria,</w:t>
            </w:r>
          </w:p>
          <w:p>
            <w:pPr>
              <w:spacing w:after="0"/>
            </w:pPr>
            <w:r>
              <w:rPr>
                <w:rFonts w:ascii="Courier New" w:cs="Courier New" w:eastAsia="Courier New" w:hAnsi="Courier New"/>
                <w:sz w:val="18"/>
                <w:szCs w:val="18"/>
              </w:rPr>
              <w:t xml:space="preserve">    v.cantidad,</w:t>
            </w:r>
          </w:p>
          <w:p>
            <w:pPr>
              <w:spacing w:after="0"/>
            </w:pPr>
            <w:r>
              <w:rPr>
                <w:rFonts w:ascii="Courier New" w:cs="Courier New" w:eastAsia="Courier New" w:hAnsi="Courier New"/>
                <w:sz w:val="18"/>
                <w:szCs w:val="18"/>
              </w:rPr>
              <w:t xml:space="preserve">    p.precio          AS precio_unitario,</w:t>
            </w:r>
          </w:p>
          <w:p>
            <w:pPr>
              <w:spacing w:after="0"/>
            </w:pPr>
            <w:r>
              <w:rPr>
                <w:rFonts w:ascii="Courier New" w:cs="Courier New" w:eastAsia="Courier New" w:hAnsi="Courier New"/>
                <w:sz w:val="18"/>
                <w:szCs w:val="18"/>
              </w:rPr>
              <w:t xml:space="preserve">    v.total_venta,</w:t>
            </w:r>
          </w:p>
          <w:p>
            <w:pPr>
              <w:spacing w:after="0"/>
            </w:pPr>
            <w:r>
              <w:rPr>
                <w:rFonts w:ascii="Courier New" w:cs="Courier New" w:eastAsia="Courier New" w:hAnsi="Courier New"/>
                <w:sz w:val="18"/>
                <w:szCs w:val="18"/>
              </w:rPr>
              <w:t xml:space="preserve">    v.canal</w:t>
            </w:r>
          </w:p>
          <w:p>
            <w:pPr>
              <w:spacing w:after="0"/>
            </w:pPr>
            <w:r>
              <w:rPr>
                <w:rFonts w:ascii="Courier New" w:cs="Courier New" w:eastAsia="Courier New" w:hAnsi="Courier New"/>
                <w:sz w:val="18"/>
                <w:szCs w:val="18"/>
              </w:rPr>
              <w:t xml:space="preserve">FROM ventas v</w:t>
            </w:r>
          </w:p>
          <w:p>
            <w:pPr>
              <w:spacing w:after="0"/>
            </w:pPr>
            <w:r>
              <w:rPr>
                <w:rFonts w:ascii="Courier New" w:cs="Courier New" w:eastAsia="Courier New" w:hAnsi="Courier New"/>
                <w:sz w:val="18"/>
                <w:szCs w:val="18"/>
              </w:rPr>
              <w:t xml:space="preserve">INNER JOIN clientes   c   ON v.id_cliente = c.id_cliente</w:t>
            </w:r>
          </w:p>
          <w:p>
            <w:pPr>
              <w:spacing w:after="0"/>
            </w:pPr>
            <w:r>
              <w:rPr>
                <w:rFonts w:ascii="Courier New" w:cs="Courier New" w:eastAsia="Courier New" w:hAnsi="Courier New"/>
                <w:sz w:val="18"/>
                <w:szCs w:val="18"/>
              </w:rPr>
              <w:t xml:space="preserve">INNER JOIN productos  p   ON v.id_producto = p.id_producto</w:t>
            </w:r>
          </w:p>
          <w:p>
            <w:pPr>
              <w:spacing w:after="0"/>
            </w:pPr>
            <w:r>
              <w:rPr>
                <w:rFonts w:ascii="Courier New" w:cs="Courier New" w:eastAsia="Courier New" w:hAnsi="Courier New"/>
                <w:sz w:val="18"/>
                <w:szCs w:val="18"/>
              </w:rPr>
              <w:t xml:space="preserve">INNER JOIN categorias cat ON p.id_categoria = cat.id_categoria</w:t>
            </w:r>
          </w:p>
          <w:p>
            <w:pPr>
              <w:spacing w:after="0"/>
            </w:pPr>
            <w:r>
              <w:rPr>
                <w:rFonts w:ascii="Courier New" w:cs="Courier New" w:eastAsia="Courier New" w:hAnsi="Courier New"/>
                <w:sz w:val="18"/>
                <w:szCs w:val="18"/>
              </w:rPr>
              <w:t xml:space="preserve">INNER JOIN territorio t   ON v.id_territorio = t.id_territorio</w:t>
            </w:r>
          </w:p>
          <w:p>
            <w:pPr>
              <w:spacing w:after="0"/>
            </w:pPr>
            <w:r>
              <w:rPr>
                <w:rFonts w:ascii="Courier New" w:cs="Courier New" w:eastAsia="Courier New" w:hAnsi="Courier New"/>
                <w:sz w:val="18"/>
                <w:szCs w:val="18"/>
              </w:rPr>
              <w:t xml:space="preserve">ORDER BY v.fecha_venta;</w:t>
            </w:r>
          </w:p>
        </w:tc>
      </w:tr>
    </w:tbl>
    <w:p>
      <w:pPr>
        <w:pStyle w:val="Heading3"/>
        <w:spacing w:after="80" w:before="200"/>
      </w:pPr>
      <w:r>
        <w:t xml:space="preserve">Respuesta de la IA</w:t>
      </w:r>
    </w:p>
    <w:p>
      <w:pPr>
        <w:pStyle w:val="ListParagraph"/>
        <w:numPr>
          <w:ilvl w:val="0"/>
          <w:numId w:val="1"/>
        </w:numPr>
        <w:spacing w:after="60"/>
      </w:pPr>
      <w:r>
        <w:t xml:space="preserve">Crear índices no clusterizados sobre las columnas usadas en los JOIN (ventas.id_cliente, ventas.id_producto, ventas.id_territorio y productos.id_categoria). Con pocas filas no se nota, pero es la mejora que más impacto tiene a medida que crece la tabla de ventas.</w:t>
      </w:r>
    </w:p>
    <w:p>
      <w:pPr>
        <w:pStyle w:val="ListParagraph"/>
        <w:numPr>
          <w:ilvl w:val="0"/>
          <w:numId w:val="1"/>
        </w:numPr>
        <w:spacing w:after="60"/>
      </w:pPr>
      <w:r>
        <w:t xml:space="preserve">Si el dataset crece, agregar un filtro de fecha (WHERE v.fecha_venta &gt;= @fecha_inicio) para no traer todo el historial en cada actualización de Power BI, sobre todo si en el futuro se pasa a carga incremental.</w:t>
      </w:r>
    </w:p>
    <w:p>
      <w:pPr>
        <w:pStyle w:val="ListParagraph"/>
        <w:numPr>
          <w:ilvl w:val="0"/>
          <w:numId w:val="1"/>
        </w:numPr>
        <w:spacing w:after="60"/>
      </w:pPr>
      <w:r>
        <w:t xml:space="preserve">Los alias de tabla ya son claros y consistentes (v, c, p, cat, t) — no hace falta cambiarlos.</w:t>
      </w:r>
    </w:p>
    <w:p>
      <w:pPr>
        <w:pStyle w:val="ListParagraph"/>
        <w:numPr>
          <w:ilvl w:val="0"/>
          <w:numId w:val="1"/>
        </w:numPr>
        <w:spacing w:after="60"/>
      </w:pPr>
      <w:r>
        <w:t xml:space="preserve">Evaluar si todas las columnas seleccionadas se usan realmente en el dashboard; traer columnas de más no rompe nada pero infla el modelo importado sin necesidad.</w:t>
      </w:r>
    </w:p>
    <w:p>
      <w:pPr>
        <w:pStyle w:val="ListParagraph"/>
        <w:numPr>
          <w:ilvl w:val="0"/>
          <w:numId w:val="1"/>
        </w:numPr>
        <w:spacing w:after="60"/>
      </w:pPr>
      <w:r>
        <w:t xml:space="preserve">No usar hints como NOLOCK en este caso: son útiles en tablas con alta concurrencia de escritura, y este es un proyecto analítico sin ese escenario — agregarlo introduciría riesgo de lecturas sucias sin ningún beneficio real.</w:t>
      </w:r>
    </w:p>
    <w:p>
      <w:pPr>
        <w:pStyle w:val="Heading3"/>
        <w:spacing w:after="80" w:before="200"/>
      </w:pPr>
      <w:r>
        <w:t xml:space="preserve">Evaluación técnica</w:t>
      </w:r>
    </w:p>
    <w:p>
      <w:pPr>
        <w:spacing w:after="160"/>
      </w:pPr>
      <w:r>
        <w:t xml:space="preserve">Acepto la sugerencia de indexar las columnas de JOIN como buena práctica a futuro, aunque con el volumen actual (10 filas) no genera ninguna diferencia medible — la incorporo como comentario para cuando el dataset crezca, no como cambio inmediato. También acepto la idea del filtro de fecha para cargas incrementales, pensando en la escalabilidad del proyecto hacia M11. Rechazo la sugerencia de NOLOCK: mi proyecto no tiene escritura concurrente, así que agregarlo sería copiar una "optimización" de otro contexto sin que aplique acá, y podría enmascarar errores de lectura si el escenario cambiara. Sobre recortar columnas, decido no tocarlo: las columnas de la vista base efectivamente se usan todas en el dashboard de Power BI (Zona de Oro, gráficos y tabla de detalle), así que quitar alguna rompería el merge que ya hice en M6.</w:t>
      </w:r>
    </w:p>
    <w:p>
      <w:pPr>
        <w:pStyle w:val="Heading2"/>
        <w:spacing w:after="120" w:before="300"/>
      </w:pPr>
      <w:r>
        <w:t xml:space="preserve">Tarea 2 — Generación de insights</w:t>
      </w:r>
    </w:p>
    <w:p>
      <w:pPr>
        <w:spacing w:after="120"/>
      </w:pPr>
      <w:r>
        <w:rPr>
          <w:b/>
          <w:bCs/>
        </w:rPr>
        <w:t xml:space="preserve">Prompt usado: </w:t>
      </w:r>
      <w:r>
        <w:t xml:space="preserve">"Estos son los resultados de mis 4 consultas de negocio sobre la tabla ventas (resumen mensual, ranking de productos, clientes recurrentes y comparación contra el promedio). Identificá los 3 hallazgos más importantes para el equipo comercial de RetailPro: [pegué los resultados de M4]"</w:t>
      </w:r>
    </w:p>
    <w:p>
      <w:pPr>
        <w:pStyle w:val="Heading3"/>
        <w:spacing w:after="80" w:before="200"/>
      </w:pPr>
      <w:r>
        <w:t xml:space="preserve">Respuesta de la IA</w:t>
      </w:r>
    </w:p>
    <w:p>
      <w:pPr>
        <w:pStyle w:val="ListParagraph"/>
        <w:numPr>
          <w:ilvl w:val="0"/>
          <w:numId w:val="1"/>
        </w:numPr>
        <w:spacing w:after="60"/>
      </w:pPr>
      <w:r>
        <w:t xml:space="preserve">Concentración de ingresos en un cliente: el cliente 1 generó $3244 en 4 pedidos, muy por encima del resto — representa un riesgo si se pierde esa cuenta y una oportunidad si se prioriza su atención.</w:t>
      </w:r>
    </w:p>
    <w:p>
      <w:pPr>
        <w:pStyle w:val="ListParagraph"/>
        <w:numPr>
          <w:ilvl w:val="0"/>
          <w:numId w:val="1"/>
        </w:numPr>
        <w:spacing w:after="60"/>
      </w:pPr>
      <w:r>
        <w:t xml:space="preserve">El producto 1 explica una porción desproporcionada de la facturación con apenas 3 unidades vendidas, lo que indica que es un producto de precio alto/baja frecuencia — conviene revisar si merece una estrategia de marketing diferenciada frente a productos de alta rotación y bajo ticket.</w:t>
      </w:r>
    </w:p>
    <w:p>
      <w:pPr>
        <w:pStyle w:val="ListParagraph"/>
        <w:numPr>
          <w:ilvl w:val="0"/>
          <w:numId w:val="1"/>
        </w:numPr>
        <w:spacing w:after="60"/>
      </w:pPr>
      <w:r>
        <w:t xml:space="preserve">Los datos actuales caen todos en un único mes (marzo 2024), por lo que cualquier lectura de tendencia mensual o comparación contra el promedio general no es representativa todavía — es una limitación de datos, no un hallazgo de negocio, pero condiciona cómo se deben comunicar los otros dos puntos.</w:t>
      </w:r>
    </w:p>
    <w:p>
      <w:pPr>
        <w:pStyle w:val="Heading3"/>
        <w:spacing w:after="80" w:before="200"/>
      </w:pPr>
      <w:r>
        <w:t xml:space="preserve">Evaluación crítica</w:t>
      </w:r>
    </w:p>
    <w:p>
      <w:pPr>
        <w:spacing w:after="160"/>
      </w:pPr>
      <w:r>
        <w:t xml:space="preserve">Los dos primeros hallazgos son correctos y accionables: se pueden verificar directamente contra los resultados de M4 (consulta 3 para el cliente, consulta 2 para el producto), y ambos sugieren una acción concreta (gestión de cuenta clave, revisión de estrategia de precio/marketing). El tercero es correcto pero es más una advertencia metodológica que un insight de negocio — igual es valioso incluirlo porque evita que el equipo comercial saque conclusiones prematuras sobre estacionalidad.</w:t>
      </w:r>
    </w:p>
    <w:p>
      <w:pPr>
        <w:spacing w:after="160"/>
      </w:pPr>
      <w:r>
        <w:t xml:space="preserve">Un hallazgo que la IA no pudo ver porque no se lo di en este prompt: en M5 encontré que el canal Online factura más que el canal Tienda ($3479 vs $2860) con la misma cantidad de operaciones, lo que sugiere un ticket promedio más alto en Online — esto no aparece en la respuesta simplemente porque los datos de canal no estaban en el resultado que le pasé, no porque la IA lo haya pasado por alto. Queda como ejemplo de que el output de la IA es tan bueno como la información que se le da, y que sigue siendo mi trabajo cruzar hallazgos de distintas consultas para armar el panorama completo.</w:t>
      </w:r>
    </w:p>
    <w:p>
      <w:pPr>
        <w:pStyle w:val="Heading2"/>
        <w:spacing w:after="120" w:before="300"/>
      </w:pPr>
      <w:r>
        <w:t xml:space="preserve">Tarea 3 — README del repositorio</w:t>
      </w:r>
    </w:p>
    <w:p>
      <w:pPr>
        <w:spacing w:after="120"/>
      </w:pPr>
      <w:r>
        <w:rPr>
          <w:b/>
          <w:bCs/>
        </w:rPr>
        <w:t xml:space="preserve">Prompt usado: </w:t>
      </w:r>
      <w:r>
        <w:t xml:space="preserve">"Generá un README.md para mi repositorio de GitHub del proyecto RetailPro: es un proyecto de análisis de datos con SQL Server, Power BI y Power Query, con carpetas de pre-entregas por módulo. Describí el proyecto, las herramientas usadas y cómo ejecutar los scripts SQL."</w:t>
      </w:r>
    </w:p>
    <w:p>
      <w:pPr>
        <w:pStyle w:val="Heading3"/>
        <w:spacing w:after="80" w:before="200"/>
      </w:pPr>
      <w:r>
        <w:t xml:space="preserve">README.md generado por la IA (versión antes de editar)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2"/>
              <w:left w:val="single" w:color="CCCCCC" w:sz="2"/>
              <w:bottom w:val="single" w:color="CCCCCC" w:sz="2"/>
              <w:right w:val="single" w:color="CCCCCC" w:sz="2"/>
            </w:tcBorders>
            <w:shd w:fill="F2F2F2" w:val="clear"/>
            <w:tcMar>
              <w:top w:type="dxa" w:w="120"/>
              <w:left w:type="dxa" w:w="150"/>
              <w:bottom w:type="dxa" w:w="120"/>
              <w:right w:type="dxa" w:w="150"/>
            </w:tcMar>
          </w:tcPr>
          <w:p>
            <w:pPr>
              <w:spacing w:after="0"/>
            </w:pPr>
            <w:r>
              <w:rPr>
                <w:rFonts w:ascii="Courier New" w:cs="Courier New" w:eastAsia="Courier New" w:hAnsi="Courier New"/>
                <w:sz w:val="18"/>
                <w:szCs w:val="18"/>
              </w:rPr>
              <w:t xml:space="preserve"># RetailPro — Proyecto de Análisis de Datos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Proyecto integrador del curso de Análisis de Datos, desarrollado sobre</w:t>
            </w:r>
          </w:p>
          <w:p>
            <w:pPr>
              <w:spacing w:after="0"/>
            </w:pPr>
            <w:r>
              <w:rPr>
                <w:rFonts w:ascii="Courier New" w:cs="Courier New" w:eastAsia="Courier New" w:hAnsi="Courier New"/>
                <w:sz w:val="18"/>
                <w:szCs w:val="18"/>
              </w:rPr>
              <w:t xml:space="preserve">un caso de negocio de retail tecnológico (TechStore / RetailPro).</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Herramientas utilizadas</w:t>
            </w:r>
          </w:p>
          <w:p>
            <w:pPr>
              <w:spacing w:after="0"/>
            </w:pPr>
            <w:r>
              <w:rPr>
                <w:rFonts w:ascii="Courier New" w:cs="Courier New" w:eastAsia="Courier New" w:hAnsi="Courier New"/>
                <w:sz w:val="18"/>
                <w:szCs w:val="18"/>
              </w:rPr>
              <w:t xml:space="preserve">- SQL Server (motor de base de datos, Ventas_Tech_DB)</w:t>
            </w:r>
          </w:p>
          <w:p>
            <w:pPr>
              <w:spacing w:after="0"/>
            </w:pPr>
            <w:r>
              <w:rPr>
                <w:rFonts w:ascii="Courier New" w:cs="Courier New" w:eastAsia="Courier New" w:hAnsi="Courier New"/>
                <w:sz w:val="18"/>
                <w:szCs w:val="18"/>
              </w:rPr>
              <w:t xml:space="preserve">- Power BI Desktop (modelado, Power Query, DAX)</w:t>
            </w:r>
          </w:p>
          <w:p>
            <w:pPr>
              <w:spacing w:after="0"/>
            </w:pPr>
            <w:r>
              <w:rPr>
                <w:rFonts w:ascii="Courier New" w:cs="Courier New" w:eastAsia="Courier New" w:hAnsi="Courier New"/>
                <w:sz w:val="18"/>
                <w:szCs w:val="18"/>
              </w:rPr>
              <w:t xml:space="preserve">- GitHub (control de versiones y entrega)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Estructura del repositorio</w:t>
            </w:r>
          </w:p>
          <w:p>
            <w:pPr>
              <w:spacing w:after="0"/>
            </w:pPr>
            <w:r>
              <w:rPr>
                <w:rFonts w:ascii="Courier New" w:cs="Courier New" w:eastAsia="Courier New" w:hAnsi="Courier New"/>
                <w:sz w:val="18"/>
                <w:szCs w:val="18"/>
              </w:rPr>
              <w:t xml:space="preserve">- /3Pre-entrega: scripts SQL de cada módulo (creación de base,</w:t>
            </w:r>
          </w:p>
          <w:p>
            <w:pPr>
              <w:spacing w:after="0"/>
            </w:pPr>
            <w:r>
              <w:rPr>
                <w:rFonts w:ascii="Courier New" w:cs="Courier New" w:eastAsia="Courier New" w:hAnsi="Courier New"/>
                <w:sz w:val="18"/>
                <w:szCs w:val="18"/>
              </w:rPr>
              <w:t xml:space="preserve">  consultas de negocio, JOINs) y archivos .pbix de Power BI.</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Cómo ejecutar los scripts SQL</w:t>
            </w:r>
          </w:p>
          <w:p>
            <w:pPr>
              <w:spacing w:after="0"/>
            </w:pPr>
            <w:r>
              <w:rPr>
                <w:rFonts w:ascii="Courier New" w:cs="Courier New" w:eastAsia="Courier New" w:hAnsi="Courier New"/>
                <w:sz w:val="18"/>
                <w:szCs w:val="18"/>
              </w:rPr>
              <w:t xml:space="preserve">1. Abrir SQL Server Management Studio (SSMS).</w:t>
            </w:r>
          </w:p>
          <w:p>
            <w:pPr>
              <w:spacing w:after="0"/>
            </w:pPr>
            <w:r>
              <w:rPr>
                <w:rFonts w:ascii="Courier New" w:cs="Courier New" w:eastAsia="Courier New" w:hAnsi="Courier New"/>
                <w:sz w:val="18"/>
                <w:szCs w:val="18"/>
              </w:rPr>
              <w:t xml:space="preserve">2. Conectarse a una instancia local o remota de SQL Server.</w:t>
            </w:r>
          </w:p>
          <w:p>
            <w:pPr>
              <w:spacing w:after="0"/>
            </w:pPr>
            <w:r>
              <w:rPr>
                <w:rFonts w:ascii="Courier New" w:cs="Courier New" w:eastAsia="Courier New" w:hAnsi="Courier New"/>
                <w:sz w:val="18"/>
                <w:szCs w:val="18"/>
              </w:rPr>
              <w:t xml:space="preserve">3. Ejecutar ventas_tech_db.sql para crear las tablas y cargar los datos.</w:t>
            </w:r>
          </w:p>
          <w:p>
            <w:pPr>
              <w:spacing w:after="0"/>
            </w:pPr>
            <w:r>
              <w:rPr>
                <w:rFonts w:ascii="Courier New" w:cs="Courier New" w:eastAsia="Courier New" w:hAnsi="Courier New"/>
                <w:sz w:val="18"/>
                <w:szCs w:val="18"/>
              </w:rPr>
              <w:t xml:space="preserve">4. Ejecutar los scripts de cada módulo (m4_consultas_negocio.sql,</w:t>
            </w:r>
          </w:p>
          <w:p>
            <w:pPr>
              <w:spacing w:after="0"/>
            </w:pPr>
            <w:r>
              <w:rPr>
                <w:rFonts w:ascii="Courier New" w:cs="Courier New" w:eastAsia="Courier New" w:hAnsi="Courier New"/>
                <w:sz w:val="18"/>
                <w:szCs w:val="18"/>
              </w:rPr>
              <w:t xml:space="preserve">   m5_consultas_joins.sql) sobre la base Ventas_Tech_DB ya creada.</w:t>
            </w:r>
          </w:p>
        </w:tc>
      </w:tr>
    </w:tbl>
    <w:p>
      <w:pPr>
        <w:pStyle w:val="Heading3"/>
        <w:spacing w:after="80" w:before="200"/>
      </w:pPr>
      <w:r>
        <w:t xml:space="preserve">Cambios realizados sobre la versión generada (con justificación)</w:t>
      </w:r>
    </w:p>
    <w:p>
      <w:pPr>
        <w:pStyle w:val="ListParagraph"/>
        <w:numPr>
          <w:ilvl w:val="0"/>
          <w:numId w:val="1"/>
        </w:numPr>
        <w:spacing w:after="60"/>
      </w:pPr>
      <w:r>
        <w:t xml:space="preserve">Agregué el nombre real de la base de datos y aclaré que hay que ejecutar los scripts en orden (primero ventas_tech_db.sql, después los de cada módulo) porque la IA no tenía el detalle de que las consultas de M4 y M5 dependen de que las tablas ya existan.</w:t>
      </w:r>
    </w:p>
    <w:p>
      <w:pPr>
        <w:pStyle w:val="ListParagraph"/>
        <w:numPr>
          <w:ilvl w:val="0"/>
          <w:numId w:val="1"/>
        </w:numPr>
        <w:spacing w:after="60"/>
      </w:pPr>
      <w:r>
        <w:t xml:space="preserve">Sumé una sección "Estado del proyecto" listando qué entregables están completos por módulo (M3 a M8), porque el README generado no reflejaba el avance real ni daba contexto a un analista nuevo sobre en qué etapa está el proyecto.</w:t>
      </w:r>
    </w:p>
    <w:p>
      <w:pPr>
        <w:pStyle w:val="ListParagraph"/>
        <w:numPr>
          <w:ilvl w:val="0"/>
          <w:numId w:val="1"/>
        </w:numPr>
        <w:spacing w:after="60"/>
      </w:pPr>
      <w:r>
        <w:t xml:space="preserve">Corregí la ruta de la carpeta a 3Pre-entrega (la IA había asumido un nombre de carpeta genérico) para que coincida exactamente con la estructura real del repositorio y los links no queden rotos.</w:t>
      </w:r>
    </w:p>
    <w:p>
      <w:pPr>
        <w:pStyle w:val="Heading2"/>
        <w:spacing w:after="120" w:before="300"/>
      </w:pPr>
      <w:r>
        <w:t xml:space="preserve">Tarea 4 — Reflexión</w:t>
      </w:r>
    </w:p>
    <w:p>
      <w:pPr>
        <w:spacing w:after="160"/>
      </w:pPr>
      <w:r>
        <w:t xml:space="preserve">La IA fue más útil en las tareas mecánicas y de traducción entre lo que yo ya sabía que quería y la sintaxis exacta que había que escribir: adaptar consultas SQL entre motores, escribir las fórmulas DAX de inteligencia temporal, y armar un primer borrador de documentación como este README. En esos casos, ahorró tiempo sin reemplazar ninguna decisión mía. Mi criterio analítico, en cambio, fue más importante en los momentos donde había que decidir con contexto de negocio: qué hacer con los valores nulos en clientes y productos (elegí completar en vez de borrar, para no perder ventas asociadas), cómo justificar la elección de KPIs para el dashboard según la pregunta diagnóstica del brief, y sobre todo detectar cuándo una sugerencia técnica de la IA no aplicaba a mi caso real — como el motor de base de datos (SQL Server, no Postgres como asumía el enunciado) o el nombre real de columnas que la IA no podía adivinar sin que yo se los mostrara. En definitiva, la IA aceleró la escritura; el criterio siguió siendo enteramente mío.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2026-09-12T23:34:22.838Z</dcterms:created>
  <dcterms:modified xsi:type="dcterms:W3CDTF">2026-09-12T23:34:22.848Z</dcterms:modified>
</cp:coreProperties>
</file>

<file path=docProps/custom.xml><?xml version="1.0" encoding="utf-8"?>
<Properties xmlns="http://schemas.openxmlformats.org/officeDocument/2006/custom-properties" xmlns:vt="http://schemas.openxmlformats.org/officeDocument/2006/docPropsVTypes"/>
</file>