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888888"/>
          <w:sz w:val="20"/>
        </w:rPr>
        <w:t>INFORME DE AVANCE — TESIS DE PREGRADO</w:t>
      </w:r>
    </w:p>
    <w:p>
      <w:r>
        <w:rPr>
          <w:b/>
          <w:i w:val="0"/>
          <w:color w:val="1F3864"/>
          <w:sz w:val="30"/>
        </w:rPr>
        <w:t>El efecto de la elegibilidad a Pensión 65 sobre la adopción</w:t>
        <w:br/>
        <w:t>de billeteras digitales en Perú</w:t>
      </w:r>
    </w:p>
    <w:p>
      <w:r>
        <w:rPr>
          <w:b w:val="0"/>
          <w:i w:val="0"/>
          <w:color w:val="555555"/>
          <w:sz w:val="20"/>
        </w:rPr>
        <w:t>Cecilia Sadeli Vargas Risco  |  Asesor: Alexander Quispe  |  PUCP, Mayo 2026</w:t>
      </w:r>
    </w:p>
    <w:p>
      <w:r>
        <w:rPr>
          <w:b w:val="0"/>
          <w:i w:val="0"/>
          <w:color w:val="2E75B6"/>
          <w:sz w:val="20"/>
        </w:rPr>
        <w:t>Avance: construcción del proxy SISFOH, robustez al ancho de banda y próximos pasos</w:t>
      </w:r>
    </w:p>
    <w:p/>
    <w:p>
      <w:pPr>
        <w:pStyle w:val="Heading1"/>
      </w:pPr>
      <w:r>
        <w:rPr>
          <w:b/>
          <w:color w:val="1F3864"/>
          <w:sz w:val="28"/>
        </w:rPr>
        <w:t>1. Construcción del proxy SISFOH</w:t>
      </w:r>
    </w:p>
    <w:p>
      <w:pPr>
        <w:pStyle w:val="Heading2"/>
      </w:pPr>
      <w:r>
        <w:rPr>
          <w:b/>
          <w:color w:val="2E75B6"/>
          <w:sz w:val="24"/>
        </w:rPr>
        <w:t>1.1  Motivación</w:t>
      </w:r>
    </w:p>
    <w:p>
      <w:r>
        <w:rPr>
          <w:b w:val="0"/>
          <w:i w:val="0"/>
          <w:sz w:val="22"/>
        </w:rPr>
        <w:t xml:space="preserve">La elegibilidad a Pensión 65 requiere, además de tener 65 años o más, estar clasificado como en </w:t>
      </w:r>
      <w:r>
        <w:rPr>
          <w:b/>
          <w:i w:val="0"/>
          <w:sz w:val="22"/>
        </w:rPr>
        <w:t>extrema pobreza</w:t>
      </w:r>
      <w:r>
        <w:rPr>
          <w:b w:val="0"/>
          <w:i w:val="0"/>
          <w:sz w:val="22"/>
        </w:rPr>
        <w:t xml:space="preserve"> según el Sistema de Focalización de Hogares (SISFOH) del MIDIS. Sin embargo, la variable disponible en ENAHO — </w:t>
      </w:r>
      <w:r>
        <w:rPr>
          <w:b/>
          <w:i w:val="0"/>
          <w:sz w:val="22"/>
        </w:rPr>
        <w:t>POBREZA</w:t>
      </w:r>
      <w:r>
        <w:rPr>
          <w:b w:val="0"/>
          <w:i w:val="0"/>
          <w:sz w:val="22"/>
        </w:rPr>
        <w:t xml:space="preserve"> de la Sumaria — mide pobreza </w:t>
      </w:r>
      <w:r>
        <w:rPr>
          <w:b/>
          <w:i w:val="0"/>
          <w:sz w:val="22"/>
        </w:rPr>
        <w:t>monetaria</w:t>
      </w:r>
      <w:r>
        <w:rPr>
          <w:b w:val="0"/>
          <w:i w:val="0"/>
          <w:sz w:val="22"/>
        </w:rPr>
        <w:t xml:space="preserve"> (comparación de gasto per cápita con la línea de pobreza del INEI), no la categoría SISFOH.</w:t>
      </w:r>
    </w:p>
    <w:tbl>
      <w:tblPr>
        <w:tblStyle w:val="TableGrid"/>
        <w:tblW w:type="auto" w:w="0"/>
        <w:tblLook w:firstColumn="1" w:firstRow="1" w:lastColumn="0" w:lastRow="0" w:noHBand="0" w:noVBand="1" w:val="04A0"/>
      </w:tblPr>
      <w:tblGrid>
        <w:gridCol w:w="9632"/>
      </w:tblGrid>
      <w:tr>
        <w:tc>
          <w:tcPr>
            <w:tcW w:type="dxa" w:w="9632"/>
            <w:shd w:val="clear" w:color="auto" w:fill="D6E4F0"/>
            <w:tcMar>
              <w:top w:w="113" w:type="dxa"/>
              <w:left w:w="113" w:type="dxa"/>
              <w:bottom w:w="113" w:type="dxa"/>
              <w:right w:w="113" w:type="dxa"/>
            </w:tcMar>
          </w:tcPr>
          <w:p>
            <w:r>
              <w:rPr>
                <w:b/>
                <w:i w:val="0"/>
                <w:color w:val="1F3864"/>
                <w:sz w:val="22"/>
              </w:rPr>
              <w:t>Hallazgo crítico</w:t>
            </w:r>
          </w:p>
          <w:p>
            <w:r>
              <w:rPr>
                <w:b w:val="0"/>
                <w:i w:val="0"/>
                <w:sz w:val="21"/>
              </w:rPr>
              <w:t xml:space="preserve">El 88.7% de los receptores reales de Pensión 65 en ENAHO 2024 (identificados vía </w:t>
            </w:r>
            <w:r>
              <w:rPr>
                <w:b/>
                <w:i w:val="0"/>
                <w:sz w:val="21"/>
              </w:rPr>
              <w:t>P5567A</w:t>
            </w:r>
            <w:r>
              <w:rPr>
                <w:b w:val="0"/>
                <w:i w:val="0"/>
                <w:sz w:val="21"/>
              </w:rPr>
              <w:t>) tiene POBREZA ≥ 2 (no extrema pobreza monetaria). Tres razones: (1) reverse causality — la transferencia S/250/mes eleva el gasto del hogar; (2) SISFOH ≠ pobreza monetaria; (3) error de clasificación cruzado entre sistemas.</w:t>
            </w:r>
          </w:p>
        </w:tc>
      </w:tr>
    </w:tbl>
    <w:p/>
    <w:p>
      <w:r>
        <w:rPr>
          <w:b w:val="0"/>
          <w:i w:val="0"/>
          <w:sz w:val="22"/>
        </w:rPr>
        <w:t xml:space="preserve">Para resolver este problema, se construye un </w:t>
      </w:r>
      <w:r>
        <w:rPr>
          <w:b/>
          <w:i w:val="0"/>
          <w:sz w:val="22"/>
        </w:rPr>
        <w:t>índice proxy del SISFOH</w:t>
      </w:r>
      <w:r>
        <w:rPr>
          <w:b w:val="0"/>
          <w:i w:val="0"/>
          <w:sz w:val="22"/>
        </w:rPr>
        <w:t xml:space="preserve"> siguiendo la metodología canónica de bienestar de hogar. Este índice replica la lógica del proxy means test del MIDIS y sirve como running variable alternativa en el RDD2, independiente del gasto corriente.</w:t>
      </w:r>
    </w:p>
    <w:p/>
    <w:p>
      <w:pPr>
        <w:pStyle w:val="Heading2"/>
      </w:pPr>
      <w:r>
        <w:rPr>
          <w:b/>
          <w:color w:val="2E75B6"/>
          <w:sz w:val="24"/>
        </w:rPr>
        <w:t>1.2  Metodología: PCA siguiendo Filmer &amp; Pritchett (2001)</w:t>
      </w:r>
    </w:p>
    <w:p>
      <w:r>
        <w:rPr>
          <w:b w:val="0"/>
          <w:i w:val="0"/>
          <w:sz w:val="22"/>
        </w:rPr>
        <w:t xml:space="preserve">Se construye un índice de bienestar mediante Análisis de Componentes Principales (PCA) sobre variables </w:t>
      </w:r>
      <w:r>
        <w:rPr>
          <w:b/>
          <w:i w:val="0"/>
          <w:sz w:val="22"/>
        </w:rPr>
        <w:t>predeterminadas</w:t>
      </w:r>
      <w:r>
        <w:rPr>
          <w:b w:val="0"/>
          <w:i w:val="0"/>
          <w:sz w:val="22"/>
        </w:rPr>
        <w:t xml:space="preserve"> al tratamiento: características estructurales de la vivienda y tenencia de bienes durables del hogar — ambas capturadas en ENAHO 2024 y conceptualmente anteriores a la recepción de la transferencia.</w:t>
      </w:r>
    </w:p>
    <w:p>
      <w:r>
        <w:rPr>
          <w:b/>
          <w:i w:val="0"/>
          <w:sz w:val="22"/>
        </w:rPr>
        <w:t>Variables excluidas del PCA:</w:t>
      </w:r>
    </w:p>
    <w:p>
      <w:pPr>
        <w:pStyle w:val="ListParagraph"/>
        <w:ind w:left="397"/>
      </w:pPr>
      <w:r>
        <w:rPr>
          <w:sz w:val="22"/>
        </w:rPr>
        <w:t xml:space="preserve">• </w:t>
      </w:r>
      <w:r>
        <w:rPr>
          <w:b/>
          <w:i w:val="0"/>
          <w:sz w:val="22"/>
        </w:rPr>
        <w:t>INGRESO_PC / POBREZA</w:t>
      </w:r>
      <w:r>
        <w:rPr>
          <w:b w:val="0"/>
          <w:i w:val="0"/>
          <w:sz w:val="22"/>
        </w:rPr>
        <w:t>: endógenas al tratamiento — la transferencia eleva el ingreso.</w:t>
      </w:r>
    </w:p>
    <w:p>
      <w:pPr>
        <w:pStyle w:val="ListParagraph"/>
        <w:ind w:left="397"/>
      </w:pPr>
      <w:r>
        <w:rPr>
          <w:sz w:val="22"/>
        </w:rPr>
        <w:t xml:space="preserve">• </w:t>
      </w:r>
      <w:r>
        <w:rPr>
          <w:b/>
          <w:i w:val="0"/>
          <w:sz w:val="22"/>
        </w:rPr>
        <w:t>TIENE_BILLETERA</w:t>
      </w:r>
      <w:r>
        <w:rPr>
          <w:b w:val="0"/>
          <w:i w:val="0"/>
          <w:sz w:val="22"/>
        </w:rPr>
        <w:t>: es la variable de resultado; nunca puede ser input del índice.</w:t>
      </w:r>
    </w:p>
    <w:p>
      <w:pPr>
        <w:pStyle w:val="ListParagraph"/>
        <w:ind w:left="397"/>
      </w:pPr>
      <w:r>
        <w:rPr>
          <w:sz w:val="22"/>
        </w:rPr>
        <w:t xml:space="preserve">• </w:t>
      </w:r>
      <w:r>
        <w:rPr>
          <w:b/>
          <w:i w:val="0"/>
          <w:sz w:val="22"/>
        </w:rPr>
        <w:t>LAVADORA</w:t>
      </w:r>
      <w:r>
        <w:rPr>
          <w:b w:val="0"/>
          <w:i w:val="0"/>
          <w:sz w:val="22"/>
        </w:rPr>
        <w:t xml:space="preserve"> (8.9% tenencia), </w:t>
      </w:r>
      <w:r>
        <w:rPr>
          <w:b/>
          <w:i w:val="0"/>
          <w:sz w:val="22"/>
        </w:rPr>
        <w:t>LAPTOP</w:t>
      </w:r>
      <w:r>
        <w:rPr>
          <w:b w:val="0"/>
          <w:i w:val="0"/>
          <w:sz w:val="22"/>
        </w:rPr>
        <w:t xml:space="preserve">, </w:t>
      </w:r>
      <w:r>
        <w:rPr>
          <w:b/>
          <w:i w:val="0"/>
          <w:sz w:val="22"/>
        </w:rPr>
        <w:t>TABLET</w:t>
      </w:r>
      <w:r>
        <w:rPr>
          <w:b w:val="0"/>
          <w:i w:val="0"/>
          <w:sz w:val="22"/>
        </w:rPr>
        <w:t xml:space="preserve"> (0.1%): varianza casi nula en adultos mayores pobres — no discriminan bienestar en esta submuestra.</w:t>
      </w:r>
    </w:p>
    <w:p>
      <w:pPr>
        <w:pStyle w:val="ListParagraph"/>
        <w:ind w:left="397"/>
      </w:pPr>
      <w:r>
        <w:rPr>
          <w:sz w:val="22"/>
        </w:rPr>
        <w:t xml:space="preserve">• </w:t>
      </w:r>
      <w:r>
        <w:rPr>
          <w:b/>
          <w:i w:val="0"/>
          <w:sz w:val="22"/>
        </w:rPr>
        <w:t>MIEPERHO</w:t>
      </w:r>
      <w:r>
        <w:rPr>
          <w:b w:val="0"/>
          <w:i w:val="0"/>
          <w:sz w:val="22"/>
        </w:rPr>
        <w:t>: entra indirectamente vía HACINAMIENTO = MIEPERHO / P104; incluirla dos veces inflaría su peso.</w:t>
      </w:r>
    </w:p>
    <w:p/>
    <w:p>
      <w:pPr>
        <w:pStyle w:val="Heading2"/>
      </w:pPr>
      <w:r>
        <w:rPr>
          <w:b/>
          <w:color w:val="2E75B6"/>
          <w:sz w:val="24"/>
        </w:rPr>
        <w:t>1.3  Variables incluidas — aliases verificados en ENAHO 2024</w:t>
      </w:r>
    </w:p>
    <w:p>
      <w:r>
        <w:rPr>
          <w:b w:val="0"/>
          <w:i w:val="0"/>
          <w:sz w:val="22"/>
        </w:rPr>
        <w:t>La exploración empírica de los módulos 01 y 18 confirmó que los nombres de columna difieren de ediciones anteriores de ENAHO. La tabla usa los aliases verificados directamente sobre los CSV de INEI 2024 (N=44,731 hogares para módulo 01; 943,348 filas formato long para módulo 18).</w:t>
      </w:r>
    </w:p>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701"/>
            <w:shd w:val="clear" w:color="auto" w:fill="1F3864"/>
            <w:vAlign w:val="center"/>
          </w:tcPr>
          <w:p>
            <w:pPr>
              <w:jc w:val="center"/>
            </w:pPr>
            <w:r>
              <w:rPr>
                <w:b/>
                <w:i w:val="0"/>
                <w:color w:val="FFFFFF"/>
                <w:sz w:val="20"/>
              </w:rPr>
              <w:t>Variable</w:t>
            </w:r>
          </w:p>
        </w:tc>
        <w:tc>
          <w:tcPr>
            <w:tcW w:type="dxa" w:w="1984"/>
            <w:shd w:val="clear" w:color="auto" w:fill="1F3864"/>
            <w:vAlign w:val="center"/>
          </w:tcPr>
          <w:p>
            <w:pPr>
              <w:jc w:val="center"/>
            </w:pPr>
            <w:r>
              <w:rPr>
                <w:b/>
                <w:i w:val="0"/>
                <w:color w:val="FFFFFF"/>
                <w:sz w:val="20"/>
              </w:rPr>
              <w:t>Alias ENAHO 2024</w:t>
            </w:r>
          </w:p>
        </w:tc>
        <w:tc>
          <w:tcPr>
            <w:tcW w:type="dxa" w:w="1417"/>
            <w:shd w:val="clear" w:color="auto" w:fill="1F3864"/>
            <w:vAlign w:val="center"/>
          </w:tcPr>
          <w:p>
            <w:pPr>
              <w:jc w:val="center"/>
            </w:pPr>
            <w:r>
              <w:rPr>
                <w:b/>
                <w:i w:val="0"/>
                <w:color w:val="FFFFFF"/>
                <w:sz w:val="20"/>
              </w:rPr>
              <w:t>Grupo</w:t>
            </w:r>
          </w:p>
        </w:tc>
        <w:tc>
          <w:tcPr>
            <w:tcW w:type="dxa" w:w="680"/>
            <w:shd w:val="clear" w:color="auto" w:fill="1F3864"/>
            <w:vAlign w:val="center"/>
          </w:tcPr>
          <w:p>
            <w:pPr>
              <w:jc w:val="center"/>
            </w:pPr>
            <w:r>
              <w:rPr>
                <w:b/>
                <w:i w:val="0"/>
                <w:color w:val="FFFFFF"/>
                <w:sz w:val="20"/>
              </w:rPr>
              <w:t>F&amp;P</w:t>
            </w:r>
          </w:p>
        </w:tc>
        <w:tc>
          <w:tcPr>
            <w:tcW w:type="dxa" w:w="1417"/>
            <w:shd w:val="clear" w:color="auto" w:fill="1F3864"/>
            <w:vAlign w:val="center"/>
          </w:tcPr>
          <w:p>
            <w:pPr>
              <w:jc w:val="center"/>
            </w:pPr>
            <w:r>
              <w:rPr>
                <w:b/>
                <w:i w:val="0"/>
                <w:color w:val="FFFFFF"/>
                <w:sz w:val="20"/>
              </w:rPr>
              <w:t>Loading PC1</w:t>
            </w:r>
          </w:p>
        </w:tc>
        <w:tc>
          <w:tcPr>
            <w:tcW w:type="dxa" w:w="1417"/>
            <w:shd w:val="clear" w:color="auto" w:fill="1F3864"/>
            <w:vAlign w:val="center"/>
          </w:tcPr>
          <w:p>
            <w:pPr>
              <w:jc w:val="center"/>
            </w:pPr>
            <w:r>
              <w:rPr>
                <w:b/>
                <w:i w:val="0"/>
                <w:color w:val="FFFFFF"/>
                <w:sz w:val="20"/>
              </w:rPr>
              <w:t>Dirección</w:t>
            </w:r>
          </w:p>
        </w:tc>
      </w:tr>
      <w:tr>
        <w:tc>
          <w:tcPr>
            <w:tcW w:type="dxa" w:w="1701"/>
            <w:shd w:val="clear" w:color="auto" w:fill="EBF5FB"/>
            <w:vAlign w:val="center"/>
          </w:tcPr>
          <w:p>
            <w:pPr>
              <w:jc w:val="left"/>
            </w:pPr>
            <w:r>
              <w:rPr>
                <w:b/>
                <w:i w:val="0"/>
                <w:color w:val="2C3E50"/>
                <w:sz w:val="20"/>
              </w:rPr>
              <w:t>PARED</w:t>
            </w:r>
          </w:p>
        </w:tc>
        <w:tc>
          <w:tcPr>
            <w:tcW w:type="dxa" w:w="1984"/>
            <w:shd w:val="clear" w:color="auto" w:fill="EBF5FB"/>
            <w:vAlign w:val="center"/>
          </w:tcPr>
          <w:p>
            <w:pPr>
              <w:jc w:val="left"/>
            </w:pPr>
            <w:r>
              <w:rPr>
                <w:b w:val="0"/>
                <w:i w:val="0"/>
                <w:color w:val="2C3E50"/>
                <w:sz w:val="20"/>
              </w:rPr>
              <w:t>P102</w:t>
            </w:r>
          </w:p>
        </w:tc>
        <w:tc>
          <w:tcPr>
            <w:tcW w:type="dxa" w:w="1417"/>
            <w:shd w:val="clear" w:color="auto" w:fill="EBF5FB"/>
            <w:vAlign w:val="center"/>
          </w:tcPr>
          <w:p>
            <w:pPr>
              <w:jc w:val="center"/>
            </w:pPr>
            <w:r>
              <w:rPr>
                <w:b w:val="0"/>
                <w:i w:val="0"/>
                <w:color w:val="2C3E50"/>
                <w:sz w:val="20"/>
              </w:rPr>
              <w:t>Vivienda</w:t>
            </w:r>
          </w:p>
        </w:tc>
        <w:tc>
          <w:tcPr>
            <w:tcW w:type="dxa" w:w="680"/>
            <w:shd w:val="clear" w:color="auto" w:fill="EBF5FB"/>
            <w:vAlign w:val="center"/>
          </w:tcPr>
          <w:p>
            <w:pPr>
              <w:jc w:val="center"/>
            </w:pPr>
            <w:r>
              <w:rPr>
                <w:b w:val="0"/>
                <w:i w:val="0"/>
                <w:color w:val="0F6E56"/>
                <w:sz w:val="20"/>
              </w:rPr>
              <w:t>✓</w:t>
            </w:r>
          </w:p>
        </w:tc>
        <w:tc>
          <w:tcPr>
            <w:tcW w:type="dxa" w:w="1417"/>
            <w:shd w:val="clear" w:color="auto" w:fill="EBF5FB"/>
            <w:vAlign w:val="center"/>
          </w:tcPr>
          <w:p>
            <w:pPr>
              <w:jc w:val="center"/>
            </w:pPr>
            <w:r>
              <w:rPr>
                <w:b w:val="0"/>
                <w:i w:val="0"/>
                <w:color w:val="993C1D"/>
                <w:sz w:val="20"/>
              </w:rPr>
              <w:t>+0.355</w:t>
            </w:r>
          </w:p>
        </w:tc>
        <w:tc>
          <w:tcPr>
            <w:tcW w:type="dxa" w:w="1417"/>
            <w:shd w:val="clear" w:color="auto" w:fill="EBF5FB"/>
            <w:vAlign w:val="center"/>
          </w:tcPr>
          <w:p>
            <w:pPr>
              <w:jc w:val="center"/>
            </w:pPr>
            <w:r>
              <w:rPr>
                <w:b w:val="0"/>
                <w:i w:val="0"/>
                <w:color w:val="993C1D"/>
                <w:sz w:val="20"/>
              </w:rPr>
              <w:t>↑ pobre</w:t>
            </w:r>
          </w:p>
        </w:tc>
      </w:tr>
      <w:tr>
        <w:tc>
          <w:tcPr>
            <w:tcW w:type="dxa" w:w="1701"/>
            <w:shd w:val="clear" w:color="auto" w:fill="FFFFFF"/>
            <w:vAlign w:val="center"/>
          </w:tcPr>
          <w:p>
            <w:pPr>
              <w:jc w:val="left"/>
            </w:pPr>
            <w:r>
              <w:rPr>
                <w:b/>
                <w:i w:val="0"/>
                <w:color w:val="2C3E50"/>
                <w:sz w:val="20"/>
              </w:rPr>
              <w:t>PISO</w:t>
            </w:r>
          </w:p>
        </w:tc>
        <w:tc>
          <w:tcPr>
            <w:tcW w:type="dxa" w:w="1984"/>
            <w:shd w:val="clear" w:color="auto" w:fill="FFFFFF"/>
            <w:vAlign w:val="center"/>
          </w:tcPr>
          <w:p>
            <w:pPr>
              <w:jc w:val="left"/>
            </w:pPr>
            <w:r>
              <w:rPr>
                <w:b w:val="0"/>
                <w:i w:val="0"/>
                <w:color w:val="2C3E50"/>
                <w:sz w:val="20"/>
              </w:rPr>
              <w:t>P103</w:t>
            </w:r>
          </w:p>
        </w:tc>
        <w:tc>
          <w:tcPr>
            <w:tcW w:type="dxa" w:w="1417"/>
            <w:shd w:val="clear" w:color="auto" w:fill="FFFFFF"/>
            <w:vAlign w:val="center"/>
          </w:tcPr>
          <w:p>
            <w:pPr>
              <w:jc w:val="center"/>
            </w:pPr>
            <w:r>
              <w:rPr>
                <w:b w:val="0"/>
                <w:i w:val="0"/>
                <w:color w:val="2C3E50"/>
                <w:sz w:val="20"/>
              </w:rPr>
              <w:t>Vivienda</w:t>
            </w:r>
          </w:p>
        </w:tc>
        <w:tc>
          <w:tcPr>
            <w:tcW w:type="dxa" w:w="680"/>
            <w:shd w:val="clear" w:color="auto" w:fill="FFFFFF"/>
            <w:vAlign w:val="center"/>
          </w:tcPr>
          <w:p>
            <w:pPr>
              <w:jc w:val="center"/>
            </w:pPr>
            <w:r>
              <w:rPr>
                <w:b w:val="0"/>
                <w:i w:val="0"/>
                <w:color w:val="0F6E56"/>
                <w:sz w:val="20"/>
              </w:rPr>
              <w:t>✓</w:t>
            </w:r>
          </w:p>
        </w:tc>
        <w:tc>
          <w:tcPr>
            <w:tcW w:type="dxa" w:w="1417"/>
            <w:shd w:val="clear" w:color="auto" w:fill="FFFFFF"/>
            <w:vAlign w:val="center"/>
          </w:tcPr>
          <w:p>
            <w:pPr>
              <w:jc w:val="center"/>
            </w:pPr>
            <w:r>
              <w:rPr>
                <w:b w:val="0"/>
                <w:i w:val="0"/>
                <w:color w:val="993C1D"/>
                <w:sz w:val="20"/>
              </w:rPr>
              <w:t>+0.356</w:t>
            </w:r>
          </w:p>
        </w:tc>
        <w:tc>
          <w:tcPr>
            <w:tcW w:type="dxa" w:w="1417"/>
            <w:shd w:val="clear" w:color="auto" w:fill="FFFFFF"/>
            <w:vAlign w:val="center"/>
          </w:tcPr>
          <w:p>
            <w:pPr>
              <w:jc w:val="center"/>
            </w:pPr>
            <w:r>
              <w:rPr>
                <w:b w:val="0"/>
                <w:i w:val="0"/>
                <w:color w:val="993C1D"/>
                <w:sz w:val="20"/>
              </w:rPr>
              <w:t>↑ pobre</w:t>
            </w:r>
          </w:p>
        </w:tc>
      </w:tr>
      <w:tr>
        <w:tc>
          <w:tcPr>
            <w:tcW w:type="dxa" w:w="1701"/>
            <w:shd w:val="clear" w:color="auto" w:fill="EBF5FB"/>
            <w:vAlign w:val="center"/>
          </w:tcPr>
          <w:p>
            <w:pPr>
              <w:jc w:val="left"/>
            </w:pPr>
            <w:r>
              <w:rPr>
                <w:b/>
                <w:i w:val="0"/>
                <w:color w:val="2C3E50"/>
                <w:sz w:val="20"/>
              </w:rPr>
              <w:t>ABASTAGUADOM</w:t>
            </w:r>
          </w:p>
        </w:tc>
        <w:tc>
          <w:tcPr>
            <w:tcW w:type="dxa" w:w="1984"/>
            <w:shd w:val="clear" w:color="auto" w:fill="EBF5FB"/>
            <w:vAlign w:val="center"/>
          </w:tcPr>
          <w:p>
            <w:pPr>
              <w:jc w:val="left"/>
            </w:pPr>
            <w:r>
              <w:rPr>
                <w:b w:val="0"/>
                <w:i w:val="0"/>
                <w:color w:val="2C3E50"/>
                <w:sz w:val="20"/>
              </w:rPr>
              <w:t>P110</w:t>
            </w:r>
          </w:p>
        </w:tc>
        <w:tc>
          <w:tcPr>
            <w:tcW w:type="dxa" w:w="1417"/>
            <w:shd w:val="clear" w:color="auto" w:fill="EBF5FB"/>
            <w:vAlign w:val="center"/>
          </w:tcPr>
          <w:p>
            <w:pPr>
              <w:jc w:val="center"/>
            </w:pPr>
            <w:r>
              <w:rPr>
                <w:b w:val="0"/>
                <w:i w:val="0"/>
                <w:color w:val="2C3E50"/>
                <w:sz w:val="20"/>
              </w:rPr>
              <w:t>Vivienda</w:t>
            </w:r>
          </w:p>
        </w:tc>
        <w:tc>
          <w:tcPr>
            <w:tcW w:type="dxa" w:w="680"/>
            <w:shd w:val="clear" w:color="auto" w:fill="EBF5FB"/>
            <w:vAlign w:val="center"/>
          </w:tcPr>
          <w:p>
            <w:pPr>
              <w:jc w:val="center"/>
            </w:pPr>
            <w:r>
              <w:rPr>
                <w:b w:val="0"/>
                <w:i w:val="0"/>
                <w:color w:val="0F6E56"/>
                <w:sz w:val="20"/>
              </w:rPr>
              <w:t>✓</w:t>
            </w:r>
          </w:p>
        </w:tc>
        <w:tc>
          <w:tcPr>
            <w:tcW w:type="dxa" w:w="1417"/>
            <w:shd w:val="clear" w:color="auto" w:fill="EBF5FB"/>
            <w:vAlign w:val="center"/>
          </w:tcPr>
          <w:p>
            <w:pPr>
              <w:jc w:val="center"/>
            </w:pPr>
            <w:r>
              <w:rPr>
                <w:b w:val="0"/>
                <w:i w:val="0"/>
                <w:color w:val="993C1D"/>
                <w:sz w:val="20"/>
              </w:rPr>
              <w:t>+0.301</w:t>
            </w:r>
          </w:p>
        </w:tc>
        <w:tc>
          <w:tcPr>
            <w:tcW w:type="dxa" w:w="1417"/>
            <w:shd w:val="clear" w:color="auto" w:fill="EBF5FB"/>
            <w:vAlign w:val="center"/>
          </w:tcPr>
          <w:p>
            <w:pPr>
              <w:jc w:val="center"/>
            </w:pPr>
            <w:r>
              <w:rPr>
                <w:b w:val="0"/>
                <w:i w:val="0"/>
                <w:color w:val="993C1D"/>
                <w:sz w:val="20"/>
              </w:rPr>
              <w:t>↑ pobre</w:t>
            </w:r>
          </w:p>
        </w:tc>
      </w:tr>
      <w:tr>
        <w:tc>
          <w:tcPr>
            <w:tcW w:type="dxa" w:w="1701"/>
            <w:shd w:val="clear" w:color="auto" w:fill="FFFFFF"/>
            <w:vAlign w:val="center"/>
          </w:tcPr>
          <w:p>
            <w:pPr>
              <w:jc w:val="left"/>
            </w:pPr>
            <w:r>
              <w:rPr>
                <w:b/>
                <w:i w:val="0"/>
                <w:color w:val="2C3E50"/>
                <w:sz w:val="20"/>
              </w:rPr>
              <w:t>SERVSANIT</w:t>
            </w:r>
          </w:p>
        </w:tc>
        <w:tc>
          <w:tcPr>
            <w:tcW w:type="dxa" w:w="1984"/>
            <w:shd w:val="clear" w:color="auto" w:fill="FFFFFF"/>
            <w:vAlign w:val="center"/>
          </w:tcPr>
          <w:p>
            <w:pPr>
              <w:jc w:val="left"/>
            </w:pPr>
            <w:r>
              <w:rPr>
                <w:b w:val="0"/>
                <w:i w:val="0"/>
                <w:color w:val="2C3E50"/>
                <w:sz w:val="20"/>
              </w:rPr>
              <w:t>P111A</w:t>
            </w:r>
          </w:p>
        </w:tc>
        <w:tc>
          <w:tcPr>
            <w:tcW w:type="dxa" w:w="1417"/>
            <w:shd w:val="clear" w:color="auto" w:fill="FFFFFF"/>
            <w:vAlign w:val="center"/>
          </w:tcPr>
          <w:p>
            <w:pPr>
              <w:jc w:val="center"/>
            </w:pPr>
            <w:r>
              <w:rPr>
                <w:b w:val="0"/>
                <w:i w:val="0"/>
                <w:color w:val="2C3E50"/>
                <w:sz w:val="20"/>
              </w:rPr>
              <w:t>Vivienda</w:t>
            </w:r>
          </w:p>
        </w:tc>
        <w:tc>
          <w:tcPr>
            <w:tcW w:type="dxa" w:w="680"/>
            <w:shd w:val="clear" w:color="auto" w:fill="FFFFFF"/>
            <w:vAlign w:val="center"/>
          </w:tcPr>
          <w:p>
            <w:pPr>
              <w:jc w:val="center"/>
            </w:pPr>
            <w:r>
              <w:rPr>
                <w:b w:val="0"/>
                <w:i w:val="0"/>
                <w:color w:val="0F6E56"/>
                <w:sz w:val="20"/>
              </w:rPr>
              <w:t>✓</w:t>
            </w:r>
          </w:p>
        </w:tc>
        <w:tc>
          <w:tcPr>
            <w:tcW w:type="dxa" w:w="1417"/>
            <w:shd w:val="clear" w:color="auto" w:fill="FFFFFF"/>
            <w:vAlign w:val="center"/>
          </w:tcPr>
          <w:p>
            <w:pPr>
              <w:jc w:val="center"/>
            </w:pPr>
            <w:r>
              <w:rPr>
                <w:b w:val="0"/>
                <w:i w:val="0"/>
                <w:color w:val="993C1D"/>
                <w:sz w:val="20"/>
              </w:rPr>
              <w:t>+0.413</w:t>
            </w:r>
          </w:p>
        </w:tc>
        <w:tc>
          <w:tcPr>
            <w:tcW w:type="dxa" w:w="1417"/>
            <w:shd w:val="clear" w:color="auto" w:fill="FFFFFF"/>
            <w:vAlign w:val="center"/>
          </w:tcPr>
          <w:p>
            <w:pPr>
              <w:jc w:val="center"/>
            </w:pPr>
            <w:r>
              <w:rPr>
                <w:b w:val="0"/>
                <w:i w:val="0"/>
                <w:color w:val="993C1D"/>
                <w:sz w:val="20"/>
              </w:rPr>
              <w:t>↑ pobre</w:t>
            </w:r>
          </w:p>
        </w:tc>
      </w:tr>
      <w:tr>
        <w:tc>
          <w:tcPr>
            <w:tcW w:type="dxa" w:w="1701"/>
            <w:shd w:val="clear" w:color="auto" w:fill="EBF5FB"/>
            <w:vAlign w:val="center"/>
          </w:tcPr>
          <w:p>
            <w:pPr>
              <w:jc w:val="left"/>
            </w:pPr>
            <w:r>
              <w:rPr>
                <w:b/>
                <w:i w:val="0"/>
                <w:color w:val="2C3E50"/>
                <w:sz w:val="20"/>
              </w:rPr>
              <w:t>ALUMBRADO</w:t>
            </w:r>
          </w:p>
        </w:tc>
        <w:tc>
          <w:tcPr>
            <w:tcW w:type="dxa" w:w="1984"/>
            <w:shd w:val="clear" w:color="auto" w:fill="EBF5FB"/>
            <w:vAlign w:val="center"/>
          </w:tcPr>
          <w:p>
            <w:pPr>
              <w:jc w:val="left"/>
            </w:pPr>
            <w:r>
              <w:rPr>
                <w:b w:val="0"/>
                <w:i w:val="0"/>
                <w:color w:val="2C3E50"/>
                <w:sz w:val="20"/>
              </w:rPr>
              <w:t>P112A</w:t>
            </w:r>
          </w:p>
        </w:tc>
        <w:tc>
          <w:tcPr>
            <w:tcW w:type="dxa" w:w="1417"/>
            <w:shd w:val="clear" w:color="auto" w:fill="EBF5FB"/>
            <w:vAlign w:val="center"/>
          </w:tcPr>
          <w:p>
            <w:pPr>
              <w:jc w:val="center"/>
            </w:pPr>
            <w:r>
              <w:rPr>
                <w:b w:val="0"/>
                <w:i w:val="0"/>
                <w:color w:val="2C3E50"/>
                <w:sz w:val="20"/>
              </w:rPr>
              <w:t>Vivienda</w:t>
            </w:r>
          </w:p>
        </w:tc>
        <w:tc>
          <w:tcPr>
            <w:tcW w:type="dxa" w:w="680"/>
            <w:shd w:val="clear" w:color="auto" w:fill="EBF5FB"/>
            <w:vAlign w:val="center"/>
          </w:tcPr>
          <w:p>
            <w:pPr>
              <w:jc w:val="center"/>
            </w:pPr>
            <w:r>
              <w:rPr>
                <w:b w:val="0"/>
                <w:i w:val="0"/>
                <w:color w:val="0F6E56"/>
                <w:sz w:val="20"/>
              </w:rPr>
              <w:t>✓</w:t>
            </w:r>
          </w:p>
        </w:tc>
        <w:tc>
          <w:tcPr>
            <w:tcW w:type="dxa" w:w="1417"/>
            <w:shd w:val="clear" w:color="auto" w:fill="EBF5FB"/>
            <w:vAlign w:val="center"/>
          </w:tcPr>
          <w:p>
            <w:pPr>
              <w:jc w:val="center"/>
            </w:pPr>
            <w:r>
              <w:rPr>
                <w:b w:val="0"/>
                <w:i w:val="0"/>
                <w:color w:val="993C1D"/>
                <w:sz w:val="20"/>
              </w:rPr>
              <w:t>+0.025</w:t>
            </w:r>
          </w:p>
        </w:tc>
        <w:tc>
          <w:tcPr>
            <w:tcW w:type="dxa" w:w="1417"/>
            <w:shd w:val="clear" w:color="auto" w:fill="EBF5FB"/>
            <w:vAlign w:val="center"/>
          </w:tcPr>
          <w:p>
            <w:pPr>
              <w:jc w:val="center"/>
            </w:pPr>
            <w:r>
              <w:rPr>
                <w:b w:val="0"/>
                <w:i w:val="0"/>
                <w:color w:val="993C1D"/>
                <w:sz w:val="20"/>
              </w:rPr>
              <w:t>↑ pobre</w:t>
            </w:r>
          </w:p>
        </w:tc>
      </w:tr>
      <w:tr>
        <w:tc>
          <w:tcPr>
            <w:tcW w:type="dxa" w:w="1701"/>
            <w:shd w:val="clear" w:color="auto" w:fill="FFFFFF"/>
            <w:vAlign w:val="center"/>
          </w:tcPr>
          <w:p>
            <w:pPr>
              <w:jc w:val="left"/>
            </w:pPr>
            <w:r>
              <w:rPr>
                <w:b/>
                <w:i w:val="0"/>
                <w:color w:val="2C3E50"/>
                <w:sz w:val="20"/>
              </w:rPr>
              <w:t>COMBUSTIBLE</w:t>
            </w:r>
          </w:p>
        </w:tc>
        <w:tc>
          <w:tcPr>
            <w:tcW w:type="dxa" w:w="1984"/>
            <w:shd w:val="clear" w:color="auto" w:fill="FFFFFF"/>
            <w:vAlign w:val="center"/>
          </w:tcPr>
          <w:p>
            <w:pPr>
              <w:jc w:val="left"/>
            </w:pPr>
            <w:r>
              <w:rPr>
                <w:b w:val="0"/>
                <w:i w:val="0"/>
                <w:color w:val="2C3E50"/>
                <w:sz w:val="20"/>
              </w:rPr>
              <w:t>P113A</w:t>
            </w:r>
          </w:p>
        </w:tc>
        <w:tc>
          <w:tcPr>
            <w:tcW w:type="dxa" w:w="1417"/>
            <w:shd w:val="clear" w:color="auto" w:fill="FFFFFF"/>
            <w:vAlign w:val="center"/>
          </w:tcPr>
          <w:p>
            <w:pPr>
              <w:jc w:val="center"/>
            </w:pPr>
            <w:r>
              <w:rPr>
                <w:b w:val="0"/>
                <w:i w:val="0"/>
                <w:color w:val="2C3E50"/>
                <w:sz w:val="20"/>
              </w:rPr>
              <w:t>Vivienda</w:t>
            </w:r>
          </w:p>
        </w:tc>
        <w:tc>
          <w:tcPr>
            <w:tcW w:type="dxa" w:w="680"/>
            <w:shd w:val="clear" w:color="auto" w:fill="FFFFFF"/>
            <w:vAlign w:val="center"/>
          </w:tcPr>
          <w:p>
            <w:pPr>
              <w:jc w:val="center"/>
            </w:pPr>
            <w:r>
              <w:rPr>
                <w:b w:val="0"/>
                <w:i w:val="0"/>
                <w:color w:val="666666"/>
                <w:sz w:val="20"/>
              </w:rPr>
              <w:t>—</w:t>
            </w:r>
          </w:p>
        </w:tc>
        <w:tc>
          <w:tcPr>
            <w:tcW w:type="dxa" w:w="1417"/>
            <w:shd w:val="clear" w:color="auto" w:fill="FFFFFF"/>
            <w:vAlign w:val="center"/>
          </w:tcPr>
          <w:p>
            <w:pPr>
              <w:jc w:val="center"/>
            </w:pPr>
            <w:r>
              <w:rPr>
                <w:b w:val="0"/>
                <w:i w:val="0"/>
                <w:color w:val="993C1D"/>
                <w:sz w:val="20"/>
              </w:rPr>
              <w:t>+0.406</w:t>
            </w:r>
          </w:p>
        </w:tc>
        <w:tc>
          <w:tcPr>
            <w:tcW w:type="dxa" w:w="1417"/>
            <w:shd w:val="clear" w:color="auto" w:fill="FFFFFF"/>
            <w:vAlign w:val="center"/>
          </w:tcPr>
          <w:p>
            <w:pPr>
              <w:jc w:val="center"/>
            </w:pPr>
            <w:r>
              <w:rPr>
                <w:b w:val="0"/>
                <w:i w:val="0"/>
                <w:color w:val="993C1D"/>
                <w:sz w:val="20"/>
              </w:rPr>
              <w:t>↑ pobre</w:t>
            </w:r>
          </w:p>
        </w:tc>
      </w:tr>
      <w:tr>
        <w:tc>
          <w:tcPr>
            <w:tcW w:type="dxa" w:w="1701"/>
            <w:shd w:val="clear" w:color="auto" w:fill="EBF5FB"/>
            <w:vAlign w:val="center"/>
          </w:tcPr>
          <w:p>
            <w:pPr>
              <w:jc w:val="left"/>
            </w:pPr>
            <w:r>
              <w:rPr>
                <w:b/>
                <w:i w:val="0"/>
                <w:color w:val="2C3E50"/>
                <w:sz w:val="20"/>
              </w:rPr>
              <w:t>HACINAMIENTO</w:t>
            </w:r>
          </w:p>
        </w:tc>
        <w:tc>
          <w:tcPr>
            <w:tcW w:type="dxa" w:w="1984"/>
            <w:shd w:val="clear" w:color="auto" w:fill="EBF5FB"/>
            <w:vAlign w:val="center"/>
          </w:tcPr>
          <w:p>
            <w:pPr>
              <w:jc w:val="left"/>
            </w:pPr>
            <w:r>
              <w:rPr>
                <w:b w:val="0"/>
                <w:i w:val="0"/>
                <w:color w:val="2C3E50"/>
                <w:sz w:val="20"/>
              </w:rPr>
              <w:t>MIEPERHO/P104</w:t>
            </w:r>
          </w:p>
        </w:tc>
        <w:tc>
          <w:tcPr>
            <w:tcW w:type="dxa" w:w="1417"/>
            <w:shd w:val="clear" w:color="auto" w:fill="EBF5FB"/>
            <w:vAlign w:val="center"/>
          </w:tcPr>
          <w:p>
            <w:pPr>
              <w:jc w:val="center"/>
            </w:pPr>
            <w:r>
              <w:rPr>
                <w:b w:val="0"/>
                <w:i w:val="0"/>
                <w:color w:val="2C3E50"/>
                <w:sz w:val="20"/>
              </w:rPr>
              <w:t>Vivienda</w:t>
            </w:r>
          </w:p>
        </w:tc>
        <w:tc>
          <w:tcPr>
            <w:tcW w:type="dxa" w:w="680"/>
            <w:shd w:val="clear" w:color="auto" w:fill="EBF5FB"/>
            <w:vAlign w:val="center"/>
          </w:tcPr>
          <w:p>
            <w:pPr>
              <w:jc w:val="center"/>
            </w:pPr>
            <w:r>
              <w:rPr>
                <w:b w:val="0"/>
                <w:i w:val="0"/>
                <w:color w:val="0F6E56"/>
                <w:sz w:val="20"/>
              </w:rPr>
              <w:t>✓</w:t>
            </w:r>
          </w:p>
        </w:tc>
        <w:tc>
          <w:tcPr>
            <w:tcW w:type="dxa" w:w="1417"/>
            <w:shd w:val="clear" w:color="auto" w:fill="EBF5FB"/>
            <w:vAlign w:val="center"/>
          </w:tcPr>
          <w:p>
            <w:pPr>
              <w:jc w:val="center"/>
            </w:pPr>
            <w:r>
              <w:rPr>
                <w:b w:val="0"/>
                <w:i w:val="0"/>
                <w:color w:val="993C1D"/>
                <w:sz w:val="20"/>
              </w:rPr>
              <w:t>+0.126</w:t>
            </w:r>
          </w:p>
        </w:tc>
        <w:tc>
          <w:tcPr>
            <w:tcW w:type="dxa" w:w="1417"/>
            <w:shd w:val="clear" w:color="auto" w:fill="EBF5FB"/>
            <w:vAlign w:val="center"/>
          </w:tcPr>
          <w:p>
            <w:pPr>
              <w:jc w:val="center"/>
            </w:pPr>
            <w:r>
              <w:rPr>
                <w:b w:val="0"/>
                <w:i w:val="0"/>
                <w:color w:val="993C1D"/>
                <w:sz w:val="20"/>
              </w:rPr>
              <w:t>↑ pobre</w:t>
            </w:r>
          </w:p>
        </w:tc>
      </w:tr>
      <w:tr>
        <w:tc>
          <w:tcPr>
            <w:tcW w:type="dxa" w:w="1701"/>
            <w:shd w:val="clear" w:color="auto" w:fill="FFFFFF"/>
            <w:vAlign w:val="center"/>
          </w:tcPr>
          <w:p>
            <w:pPr>
              <w:jc w:val="left"/>
            </w:pPr>
            <w:r>
              <w:rPr>
                <w:b/>
                <w:i w:val="0"/>
                <w:color w:val="2C3E50"/>
                <w:sz w:val="20"/>
              </w:rPr>
              <w:t>REFRIGERADOR</w:t>
            </w:r>
          </w:p>
        </w:tc>
        <w:tc>
          <w:tcPr>
            <w:tcW w:type="dxa" w:w="1984"/>
            <w:shd w:val="clear" w:color="auto" w:fill="FFFFFF"/>
            <w:vAlign w:val="center"/>
          </w:tcPr>
          <w:p>
            <w:pPr>
              <w:jc w:val="left"/>
            </w:pPr>
            <w:r>
              <w:rPr>
                <w:b w:val="0"/>
                <w:i w:val="0"/>
                <w:color w:val="2C3E50"/>
                <w:sz w:val="20"/>
              </w:rPr>
              <w:t>P612N=4</w:t>
            </w:r>
          </w:p>
        </w:tc>
        <w:tc>
          <w:tcPr>
            <w:tcW w:type="dxa" w:w="1417"/>
            <w:shd w:val="clear" w:color="auto" w:fill="FFFFFF"/>
            <w:vAlign w:val="center"/>
          </w:tcPr>
          <w:p>
            <w:pPr>
              <w:jc w:val="center"/>
            </w:pPr>
            <w:r>
              <w:rPr>
                <w:b w:val="0"/>
                <w:i w:val="0"/>
                <w:color w:val="2C3E50"/>
                <w:sz w:val="20"/>
              </w:rPr>
              <w:t>Durables</w:t>
            </w:r>
          </w:p>
        </w:tc>
        <w:tc>
          <w:tcPr>
            <w:tcW w:type="dxa" w:w="680"/>
            <w:shd w:val="clear" w:color="auto" w:fill="FFFFFF"/>
            <w:vAlign w:val="center"/>
          </w:tcPr>
          <w:p>
            <w:pPr>
              <w:jc w:val="center"/>
            </w:pPr>
            <w:r>
              <w:rPr>
                <w:b w:val="0"/>
                <w:i w:val="0"/>
                <w:color w:val="666666"/>
                <w:sz w:val="20"/>
              </w:rPr>
              <w:t>—</w:t>
            </w:r>
          </w:p>
        </w:tc>
        <w:tc>
          <w:tcPr>
            <w:tcW w:type="dxa" w:w="1417"/>
            <w:shd w:val="clear" w:color="auto" w:fill="FFFFFF"/>
            <w:vAlign w:val="center"/>
          </w:tcPr>
          <w:p>
            <w:pPr>
              <w:jc w:val="center"/>
            </w:pPr>
            <w:r>
              <w:rPr>
                <w:b w:val="0"/>
                <w:i w:val="0"/>
                <w:color w:val="993C1D"/>
                <w:sz w:val="20"/>
              </w:rPr>
              <w:t>-0.291</w:t>
            </w:r>
          </w:p>
        </w:tc>
        <w:tc>
          <w:tcPr>
            <w:tcW w:type="dxa" w:w="1417"/>
            <w:shd w:val="clear" w:color="auto" w:fill="FFFFFF"/>
            <w:vAlign w:val="center"/>
          </w:tcPr>
          <w:p>
            <w:pPr>
              <w:jc w:val="center"/>
            </w:pPr>
            <w:r>
              <w:rPr>
                <w:b w:val="0"/>
                <w:i w:val="0"/>
                <w:color w:val="993C1D"/>
                <w:sz w:val="20"/>
              </w:rPr>
              <w:t>↓ pobre</w:t>
            </w:r>
          </w:p>
        </w:tc>
      </w:tr>
      <w:tr>
        <w:tc>
          <w:tcPr>
            <w:tcW w:type="dxa" w:w="1701"/>
            <w:shd w:val="clear" w:color="auto" w:fill="EBF5FB"/>
            <w:vAlign w:val="center"/>
          </w:tcPr>
          <w:p>
            <w:pPr>
              <w:jc w:val="left"/>
            </w:pPr>
            <w:r>
              <w:rPr>
                <w:b/>
                <w:i w:val="0"/>
                <w:color w:val="2C3E50"/>
                <w:sz w:val="20"/>
              </w:rPr>
              <w:t>TIENE_TV</w:t>
            </w:r>
          </w:p>
        </w:tc>
        <w:tc>
          <w:tcPr>
            <w:tcW w:type="dxa" w:w="1984"/>
            <w:shd w:val="clear" w:color="auto" w:fill="EBF5FB"/>
            <w:vAlign w:val="center"/>
          </w:tcPr>
          <w:p>
            <w:pPr>
              <w:jc w:val="left"/>
            </w:pPr>
            <w:r>
              <w:rPr>
                <w:b w:val="0"/>
                <w:i w:val="0"/>
                <w:color w:val="2C3E50"/>
                <w:sz w:val="20"/>
              </w:rPr>
              <w:t>P612N=2</w:t>
            </w:r>
          </w:p>
        </w:tc>
        <w:tc>
          <w:tcPr>
            <w:tcW w:type="dxa" w:w="1417"/>
            <w:shd w:val="clear" w:color="auto" w:fill="EBF5FB"/>
            <w:vAlign w:val="center"/>
          </w:tcPr>
          <w:p>
            <w:pPr>
              <w:jc w:val="center"/>
            </w:pPr>
            <w:r>
              <w:rPr>
                <w:b w:val="0"/>
                <w:i w:val="0"/>
                <w:color w:val="2C3E50"/>
                <w:sz w:val="20"/>
              </w:rPr>
              <w:t>Durables</w:t>
            </w:r>
          </w:p>
        </w:tc>
        <w:tc>
          <w:tcPr>
            <w:tcW w:type="dxa" w:w="680"/>
            <w:shd w:val="clear" w:color="auto" w:fill="EBF5FB"/>
            <w:vAlign w:val="center"/>
          </w:tcPr>
          <w:p>
            <w:pPr>
              <w:jc w:val="center"/>
            </w:pPr>
            <w:r>
              <w:rPr>
                <w:b w:val="0"/>
                <w:i w:val="0"/>
                <w:color w:val="666666"/>
                <w:sz w:val="20"/>
              </w:rPr>
              <w:t>—</w:t>
            </w:r>
          </w:p>
        </w:tc>
        <w:tc>
          <w:tcPr>
            <w:tcW w:type="dxa" w:w="1417"/>
            <w:shd w:val="clear" w:color="auto" w:fill="EBF5FB"/>
            <w:vAlign w:val="center"/>
          </w:tcPr>
          <w:p>
            <w:pPr>
              <w:jc w:val="center"/>
            </w:pPr>
            <w:r>
              <w:rPr>
                <w:b w:val="0"/>
                <w:i w:val="0"/>
                <w:color w:val="993C1D"/>
                <w:sz w:val="20"/>
              </w:rPr>
              <w:t>-0.378</w:t>
            </w:r>
          </w:p>
        </w:tc>
        <w:tc>
          <w:tcPr>
            <w:tcW w:type="dxa" w:w="1417"/>
            <w:shd w:val="clear" w:color="auto" w:fill="EBF5FB"/>
            <w:vAlign w:val="center"/>
          </w:tcPr>
          <w:p>
            <w:pPr>
              <w:jc w:val="center"/>
            </w:pPr>
            <w:r>
              <w:rPr>
                <w:b w:val="0"/>
                <w:i w:val="0"/>
                <w:color w:val="993C1D"/>
                <w:sz w:val="20"/>
              </w:rPr>
              <w:t>↓ pobre</w:t>
            </w:r>
          </w:p>
        </w:tc>
      </w:tr>
      <w:tr>
        <w:tc>
          <w:tcPr>
            <w:tcW w:type="dxa" w:w="1701"/>
            <w:shd w:val="clear" w:color="auto" w:fill="FFFFFF"/>
            <w:vAlign w:val="center"/>
          </w:tcPr>
          <w:p>
            <w:pPr>
              <w:jc w:val="left"/>
            </w:pPr>
            <w:r>
              <w:rPr>
                <w:b/>
                <w:i w:val="0"/>
                <w:color w:val="2C3E50"/>
                <w:sz w:val="20"/>
              </w:rPr>
              <w:t>SMARTPHONE</w:t>
            </w:r>
          </w:p>
        </w:tc>
        <w:tc>
          <w:tcPr>
            <w:tcW w:type="dxa" w:w="1984"/>
            <w:shd w:val="clear" w:color="auto" w:fill="FFFFFF"/>
            <w:vAlign w:val="center"/>
          </w:tcPr>
          <w:p>
            <w:pPr>
              <w:jc w:val="left"/>
            </w:pPr>
            <w:r>
              <w:rPr>
                <w:b w:val="0"/>
                <w:i w:val="0"/>
                <w:color w:val="2C3E50"/>
                <w:sz w:val="20"/>
              </w:rPr>
              <w:t>P612N=10</w:t>
            </w:r>
          </w:p>
        </w:tc>
        <w:tc>
          <w:tcPr>
            <w:tcW w:type="dxa" w:w="1417"/>
            <w:shd w:val="clear" w:color="auto" w:fill="FFFFFF"/>
            <w:vAlign w:val="center"/>
          </w:tcPr>
          <w:p>
            <w:pPr>
              <w:jc w:val="center"/>
            </w:pPr>
            <w:r>
              <w:rPr>
                <w:b w:val="0"/>
                <w:i w:val="0"/>
                <w:color w:val="2C3E50"/>
                <w:sz w:val="20"/>
              </w:rPr>
              <w:t>Durables</w:t>
            </w:r>
          </w:p>
        </w:tc>
        <w:tc>
          <w:tcPr>
            <w:tcW w:type="dxa" w:w="680"/>
            <w:shd w:val="clear" w:color="auto" w:fill="FFFFFF"/>
            <w:vAlign w:val="center"/>
          </w:tcPr>
          <w:p>
            <w:pPr>
              <w:jc w:val="center"/>
            </w:pPr>
            <w:r>
              <w:rPr>
                <w:b w:val="0"/>
                <w:i w:val="0"/>
                <w:color w:val="666666"/>
                <w:sz w:val="20"/>
              </w:rPr>
              <w:t>—</w:t>
            </w:r>
          </w:p>
        </w:tc>
        <w:tc>
          <w:tcPr>
            <w:tcW w:type="dxa" w:w="1417"/>
            <w:shd w:val="clear" w:color="auto" w:fill="FFFFFF"/>
            <w:vAlign w:val="center"/>
          </w:tcPr>
          <w:p>
            <w:pPr>
              <w:jc w:val="center"/>
            </w:pPr>
            <w:r>
              <w:rPr>
                <w:b w:val="0"/>
                <w:i w:val="0"/>
                <w:color w:val="993C1D"/>
                <w:sz w:val="20"/>
              </w:rPr>
              <w:t>-0.277</w:t>
            </w:r>
          </w:p>
        </w:tc>
        <w:tc>
          <w:tcPr>
            <w:tcW w:type="dxa" w:w="1417"/>
            <w:shd w:val="clear" w:color="auto" w:fill="FFFFFF"/>
            <w:vAlign w:val="center"/>
          </w:tcPr>
          <w:p>
            <w:pPr>
              <w:jc w:val="center"/>
            </w:pPr>
            <w:r>
              <w:rPr>
                <w:b w:val="0"/>
                <w:i w:val="0"/>
                <w:color w:val="993C1D"/>
                <w:sz w:val="20"/>
              </w:rPr>
              <w:t>↓ pobre</w:t>
            </w:r>
          </w:p>
        </w:tc>
      </w:tr>
    </w:tbl>
    <w:p>
      <w:r>
        <w:rPr>
          <w:b w:val="0"/>
          <w:i w:val="0"/>
          <w:color w:val="666666"/>
          <w:sz w:val="18"/>
        </w:rPr>
        <w:t>F&amp;P = variable canónica de Filmer &amp; Pritchett (2001). HACINAMIENTO = MIEPERHO / P104. Los aliases P111A, P112A, P113A fueron verificados en el CSV Enaho01-2024-100.csv (N=44,731 hogares). P612N=k fue verificado en el dataset completo de 943,348 filas del módulo 18 — los códigos 9 y 10 existen en la muestra completa pero no aparecían en las 5 filas del script exploratorio inicial.</w:t>
      </w:r>
    </w:p>
    <w:p/>
    <w:p>
      <w:pPr>
        <w:pStyle w:val="Heading2"/>
      </w:pPr>
      <w:r>
        <w:rPr>
          <w:b/>
          <w:color w:val="2E75B6"/>
          <w:sz w:val="24"/>
        </w:rPr>
        <w:t>1.4  Resultados del PCA</w:t>
      </w:r>
    </w:p>
    <w:p>
      <w:r>
        <w:rPr>
          <w:b w:val="0"/>
          <w:i w:val="0"/>
          <w:sz w:val="22"/>
        </w:rPr>
        <w:t xml:space="preserve">Varianza explicada por PC1: </w:t>
      </w:r>
      <w:r>
        <w:rPr>
          <w:b/>
          <w:i w:val="0"/>
          <w:sz w:val="22"/>
        </w:rPr>
        <w:t>31.4%</w:t>
      </w:r>
      <w:r>
        <w:rPr>
          <w:b w:val="0"/>
          <w:i w:val="0"/>
          <w:sz w:val="22"/>
        </w:rPr>
        <w:t xml:space="preserve"> (PC2: 11.1%) — dentro del rango esperado para índices de bienestar construidos con variables binarias y categóricas. Las cargas más altas en módulo absoluto corresponden a saneamiento (</w:t>
      </w:r>
      <w:r>
        <w:rPr>
          <w:b/>
          <w:i w:val="0"/>
          <w:sz w:val="22"/>
        </w:rPr>
        <w:t>SERVSANIT</w:t>
      </w:r>
      <w:r>
        <w:rPr>
          <w:b w:val="0"/>
          <w:i w:val="0"/>
          <w:sz w:val="22"/>
        </w:rPr>
        <w:t>, loading = +0.413) y combustible de cocina (</w:t>
      </w:r>
      <w:r>
        <w:rPr>
          <w:b/>
          <w:i w:val="0"/>
          <w:sz w:val="22"/>
        </w:rPr>
        <w:t>COMBUSTIBLE</w:t>
      </w:r>
      <w:r>
        <w:rPr>
          <w:b w:val="0"/>
          <w:i w:val="0"/>
          <w:sz w:val="22"/>
        </w:rPr>
        <w:t>, loading = +0.406), seguidas por tenencia de TV (</w:t>
      </w:r>
      <w:r>
        <w:rPr>
          <w:b/>
          <w:i w:val="0"/>
          <w:sz w:val="22"/>
        </w:rPr>
        <w:t>TIENE_TV</w:t>
      </w:r>
      <w:r>
        <w:rPr>
          <w:b w:val="0"/>
          <w:i w:val="0"/>
          <w:sz w:val="22"/>
        </w:rPr>
        <w:t>, loading = -0.378) y materiales de piso y paredes.</w:t>
      </w:r>
    </w:p>
    <w:p>
      <w:r>
        <w:rPr>
          <w:b w:val="0"/>
          <w:i w:val="0"/>
          <w:sz w:val="22"/>
        </w:rPr>
        <w:t xml:space="preserve">Correlación SISFOH_PROXY con POBREZA (monetaria): </w:t>
      </w:r>
      <w:r>
        <w:rPr>
          <w:b/>
          <w:i w:val="0"/>
          <w:sz w:val="22"/>
        </w:rPr>
        <w:t>r = -0.372</w:t>
      </w:r>
      <w:r>
        <w:rPr>
          <w:b w:val="0"/>
          <w:i w:val="0"/>
          <w:sz w:val="22"/>
        </w:rPr>
        <w:t>. La correlación negativa refleja que valores altos del índice corresponden a mayor pobreza (orientación correcta: el PC1 no requirió inversión en la corrida actual porque el grupo POBREZA=1 ya tenía la media más alta). La magnitud moderada (~0.37) es esperada dado que SISFOH y pobreza monetaria miden conceptos relacionados pero distintos.</w:t>
      </w:r>
    </w:p>
    <w:tbl>
      <w:tblPr>
        <w:tblStyle w:val="TableGrid"/>
        <w:tblW w:type="auto" w:w="0"/>
        <w:tblLook w:firstColumn="1" w:firstRow="1" w:lastColumn="0" w:lastRow="0" w:noHBand="0" w:noVBand="1" w:val="04A0"/>
      </w:tblPr>
      <w:tblGrid>
        <w:gridCol w:w="9632"/>
      </w:tblGrid>
      <w:tr>
        <w:tc>
          <w:tcPr>
            <w:tcW w:type="dxa" w:w="9632"/>
            <w:shd w:val="clear" w:color="auto" w:fill="D6E4F0"/>
            <w:tcMar>
              <w:top w:w="113" w:type="dxa"/>
              <w:left w:w="113" w:type="dxa"/>
              <w:bottom w:w="113" w:type="dxa"/>
              <w:right w:w="113" w:type="dxa"/>
            </w:tcMar>
          </w:tcPr>
          <w:p>
            <w:r>
              <w:rPr>
                <w:b/>
                <w:i w:val="0"/>
                <w:color w:val="1F3864"/>
                <w:sz w:val="22"/>
              </w:rPr>
              <w:t>Verificación de coherencia económica</w:t>
            </w:r>
          </w:p>
          <w:p>
            <w:r>
              <w:rPr>
                <w:b/>
                <w:i w:val="0"/>
                <w:sz w:val="21"/>
              </w:rPr>
              <w:t xml:space="preserve">Orientación verificada: </w:t>
            </w:r>
            <w:r>
              <w:rPr>
                <w:b w:val="0"/>
                <w:i w:val="0"/>
                <w:sz w:val="21"/>
              </w:rPr>
              <w:t>media PC1 en POBREZA=1 (extrema) = 1.956; media PC1 en POBREZA≥2 (no extrema) = -0.111. Diferencia = 2.067 — el índice clasifica correctamente a los más pobres con valores más altos.</w:t>
            </w:r>
          </w:p>
        </w:tc>
      </w:tr>
    </w:tbl>
    <w:p/>
    <w:p>
      <w:pPr>
        <w:pStyle w:val="Heading2"/>
      </w:pPr>
      <w:r>
        <w:rPr>
          <w:b/>
          <w:color w:val="2E75B6"/>
          <w:sz w:val="24"/>
        </w:rPr>
        <w:t>1.5  Resultado del RDD2 (proxy SISFOH como running variable)</w:t>
      </w:r>
    </w:p>
    <w:p>
      <w:r>
        <w:rPr>
          <w:b w:val="0"/>
          <w:i w:val="0"/>
          <w:sz w:val="22"/>
        </w:rPr>
        <w:t xml:space="preserve">Con el índice SISFOH_PROXY centrado en el cutoff calibrado entre POBREZA=1 y POBREZA=2 sobre adultos ≥ 65 años (cutoff = 1.668 SD), se estima un RDD2 con </w:t>
      </w:r>
      <w:r>
        <w:rPr>
          <w:b/>
          <w:i w:val="0"/>
          <w:sz w:val="22"/>
        </w:rPr>
        <w:t>rdrobust</w:t>
      </w:r>
      <w:r>
        <w:rPr>
          <w:b w:val="0"/>
          <w:i w:val="0"/>
          <w:sz w:val="22"/>
        </w:rPr>
        <w:t>, kernel triangular y bandwidth MSE-óptimo:</w:t>
      </w:r>
    </w:p>
    <w:p/>
    <w:tbl>
      <w:tblPr>
        <w:tblW w:type="auto" w:w="0"/>
        <w:jc w:val="center"/>
        <w:tblLook w:firstColumn="1" w:firstRow="1" w:lastColumn="0" w:lastRow="0" w:noHBand="0" w:noVBand="1" w:val="04A0"/>
      </w:tblPr>
      <w:tblGrid>
        <w:gridCol w:w="1926"/>
        <w:gridCol w:w="1926"/>
        <w:gridCol w:w="1926"/>
        <w:gridCol w:w="1926"/>
        <w:gridCol w:w="1926"/>
      </w:tblGrid>
      <w:tr>
        <w:tc>
          <w:tcPr>
            <w:tcW w:type="dxa" w:w="2268"/>
            <w:shd w:val="clear" w:color="auto" w:fill="1F3864"/>
            <w:vAlign w:val="center"/>
          </w:tcPr>
          <w:p>
            <w:pPr>
              <w:jc w:val="center"/>
            </w:pPr>
            <w:r>
              <w:rPr>
                <w:b/>
                <w:i w:val="0"/>
                <w:color w:val="FFFFFF"/>
                <w:sz w:val="20"/>
              </w:rPr>
              <w:t>Outcome</w:t>
            </w:r>
          </w:p>
        </w:tc>
        <w:tc>
          <w:tcPr>
            <w:tcW w:type="dxa" w:w="1417"/>
            <w:shd w:val="clear" w:color="auto" w:fill="1F3864"/>
            <w:vAlign w:val="center"/>
          </w:tcPr>
          <w:p>
            <w:pPr>
              <w:jc w:val="center"/>
            </w:pPr>
            <w:r>
              <w:rPr>
                <w:b/>
                <w:i w:val="0"/>
                <w:color w:val="FFFFFF"/>
                <w:sz w:val="20"/>
              </w:rPr>
              <w:t>Estimador</w:t>
            </w:r>
          </w:p>
        </w:tc>
        <w:tc>
          <w:tcPr>
            <w:tcW w:type="dxa" w:w="1417"/>
            <w:shd w:val="clear" w:color="auto" w:fill="1F3864"/>
            <w:vAlign w:val="center"/>
          </w:tcPr>
          <w:p>
            <w:pPr>
              <w:jc w:val="center"/>
            </w:pPr>
            <w:r>
              <w:rPr>
                <w:b/>
                <w:i w:val="0"/>
                <w:color w:val="FFFFFF"/>
                <w:sz w:val="20"/>
              </w:rPr>
              <w:t>SE robusto</w:t>
            </w:r>
          </w:p>
        </w:tc>
        <w:tc>
          <w:tcPr>
            <w:tcW w:type="dxa" w:w="2551"/>
            <w:shd w:val="clear" w:color="auto" w:fill="1F3864"/>
            <w:vAlign w:val="center"/>
          </w:tcPr>
          <w:p>
            <w:pPr>
              <w:jc w:val="center"/>
            </w:pPr>
            <w:r>
              <w:rPr>
                <w:b/>
                <w:i w:val="0"/>
                <w:color w:val="FFFFFF"/>
                <w:sz w:val="20"/>
              </w:rPr>
              <w:t>IC 95%</w:t>
            </w:r>
          </w:p>
        </w:tc>
        <w:tc>
          <w:tcPr>
            <w:tcW w:type="dxa" w:w="1984"/>
            <w:shd w:val="clear" w:color="auto" w:fill="1F3864"/>
            <w:vAlign w:val="center"/>
          </w:tcPr>
          <w:p>
            <w:pPr>
              <w:jc w:val="center"/>
            </w:pPr>
            <w:r>
              <w:rPr>
                <w:b/>
                <w:i w:val="0"/>
                <w:color w:val="FFFFFF"/>
                <w:sz w:val="20"/>
              </w:rPr>
              <w:t>BW / N ef.</w:t>
            </w:r>
          </w:p>
        </w:tc>
      </w:tr>
      <w:tr>
        <w:tc>
          <w:tcPr>
            <w:tcW w:type="dxa" w:w="2268"/>
            <w:shd w:val="clear" w:color="auto" w:fill="EBF5FB"/>
            <w:vAlign w:val="center"/>
          </w:tcPr>
          <w:p>
            <w:pPr>
              <w:jc w:val="left"/>
            </w:pPr>
            <w:r>
              <w:rPr>
                <w:b w:val="0"/>
                <w:i w:val="0"/>
                <w:color w:val="2C3E50"/>
                <w:sz w:val="20"/>
              </w:rPr>
              <w:t>TIENE_BILLETERA</w:t>
            </w:r>
          </w:p>
        </w:tc>
        <w:tc>
          <w:tcPr>
            <w:tcW w:type="dxa" w:w="1417"/>
            <w:shd w:val="clear" w:color="auto" w:fill="EBF5FB"/>
            <w:vAlign w:val="center"/>
          </w:tcPr>
          <w:p>
            <w:pPr>
              <w:jc w:val="center"/>
            </w:pPr>
            <w:r>
              <w:rPr>
                <w:b w:val="0"/>
                <w:i w:val="0"/>
                <w:color w:val="2C3E50"/>
                <w:sz w:val="20"/>
              </w:rPr>
              <w:t>-0.0300</w:t>
            </w:r>
          </w:p>
        </w:tc>
        <w:tc>
          <w:tcPr>
            <w:tcW w:type="dxa" w:w="1417"/>
            <w:shd w:val="clear" w:color="auto" w:fill="EBF5FB"/>
            <w:vAlign w:val="center"/>
          </w:tcPr>
          <w:p>
            <w:pPr>
              <w:jc w:val="center"/>
            </w:pPr>
            <w:r>
              <w:rPr>
                <w:b w:val="0"/>
                <w:i w:val="0"/>
                <w:color w:val="2C3E50"/>
                <w:sz w:val="20"/>
              </w:rPr>
              <w:t>0.0171</w:t>
            </w:r>
          </w:p>
        </w:tc>
        <w:tc>
          <w:tcPr>
            <w:tcW w:type="dxa" w:w="2551"/>
            <w:shd w:val="clear" w:color="auto" w:fill="EBF5FB"/>
            <w:vAlign w:val="center"/>
          </w:tcPr>
          <w:p>
            <w:pPr>
              <w:jc w:val="center"/>
            </w:pPr>
            <w:r>
              <w:rPr>
                <w:b w:val="0"/>
                <w:i w:val="0"/>
                <w:color w:val="2C3E50"/>
                <w:sz w:val="20"/>
              </w:rPr>
              <w:t>[-0.064, +0.004]</w:t>
            </w:r>
          </w:p>
        </w:tc>
        <w:tc>
          <w:tcPr>
            <w:tcW w:type="dxa" w:w="1984"/>
            <w:shd w:val="clear" w:color="auto" w:fill="EBF5FB"/>
            <w:vAlign w:val="center"/>
          </w:tcPr>
          <w:p>
            <w:pPr>
              <w:jc w:val="center"/>
            </w:pPr>
            <w:r>
              <w:rPr>
                <w:b w:val="0"/>
                <w:i w:val="0"/>
                <w:color w:val="2C3E50"/>
                <w:sz w:val="20"/>
              </w:rPr>
              <w:t>1.351 SD / 4,606</w:t>
            </w:r>
          </w:p>
        </w:tc>
      </w:tr>
      <w:tr>
        <w:tc>
          <w:tcPr>
            <w:tcW w:type="dxa" w:w="2268"/>
            <w:shd w:val="clear" w:color="auto" w:fill="FFFFFF"/>
            <w:vAlign w:val="center"/>
          </w:tcPr>
          <w:p>
            <w:pPr>
              <w:jc w:val="left"/>
            </w:pPr>
            <w:r>
              <w:rPr>
                <w:b w:val="0"/>
                <w:i w:val="0"/>
                <w:color w:val="2C3E50"/>
                <w:sz w:val="20"/>
              </w:rPr>
              <w:t>USA_BILLETERA</w:t>
            </w:r>
          </w:p>
        </w:tc>
        <w:tc>
          <w:tcPr>
            <w:tcW w:type="dxa" w:w="1417"/>
            <w:shd w:val="clear" w:color="auto" w:fill="FFFFFF"/>
            <w:vAlign w:val="center"/>
          </w:tcPr>
          <w:p>
            <w:pPr>
              <w:jc w:val="center"/>
            </w:pPr>
            <w:r>
              <w:rPr>
                <w:b w:val="0"/>
                <w:i w:val="0"/>
                <w:color w:val="2C3E50"/>
                <w:sz w:val="20"/>
              </w:rPr>
              <w:t>-0.0057</w:t>
            </w:r>
          </w:p>
        </w:tc>
        <w:tc>
          <w:tcPr>
            <w:tcW w:type="dxa" w:w="1417"/>
            <w:shd w:val="clear" w:color="auto" w:fill="FFFFFF"/>
            <w:vAlign w:val="center"/>
          </w:tcPr>
          <w:p>
            <w:pPr>
              <w:jc w:val="center"/>
            </w:pPr>
            <w:r>
              <w:rPr>
                <w:b w:val="0"/>
                <w:i w:val="0"/>
                <w:color w:val="2C3E50"/>
                <w:sz w:val="20"/>
              </w:rPr>
              <w:t>0.0037</w:t>
            </w:r>
          </w:p>
        </w:tc>
        <w:tc>
          <w:tcPr>
            <w:tcW w:type="dxa" w:w="2551"/>
            <w:shd w:val="clear" w:color="auto" w:fill="FFFFFF"/>
            <w:vAlign w:val="center"/>
          </w:tcPr>
          <w:p>
            <w:pPr>
              <w:jc w:val="center"/>
            </w:pPr>
            <w:r>
              <w:rPr>
                <w:b w:val="0"/>
                <w:i w:val="0"/>
                <w:color w:val="2C3E50"/>
                <w:sz w:val="20"/>
              </w:rPr>
              <w:t>[-0.013, +0.002]</w:t>
            </w:r>
          </w:p>
        </w:tc>
        <w:tc>
          <w:tcPr>
            <w:tcW w:type="dxa" w:w="1984"/>
            <w:shd w:val="clear" w:color="auto" w:fill="FFFFFF"/>
            <w:vAlign w:val="center"/>
          </w:tcPr>
          <w:p>
            <w:pPr>
              <w:jc w:val="center"/>
            </w:pPr>
            <w:r>
              <w:rPr>
                <w:b w:val="0"/>
                <w:i w:val="0"/>
                <w:color w:val="2C3E50"/>
                <w:sz w:val="20"/>
              </w:rPr>
              <w:t>0.806 SD / 2,775</w:t>
            </w:r>
          </w:p>
        </w:tc>
      </w:tr>
    </w:tbl>
    <w:p>
      <w:r>
        <w:rPr>
          <w:b w:val="0"/>
          <w:i w:val="0"/>
          <w:color w:val="666666"/>
          <w:sz w:val="18"/>
        </w:rPr>
        <w:t>rdrobust, kernel triangular, bandwidth MSE-óptimo. Ambos IC cruzan cero — resultado consistente con el null del RDD1. La muestra se restringe a adultos ≥ 65 (N = 14,088). PC1 explica 31.4% de la varianza del índice.</w:t>
      </w:r>
    </w:p>
    <w:tbl>
      <w:tblPr>
        <w:tblStyle w:val="TableGrid"/>
        <w:tblW w:type="auto" w:w="0"/>
        <w:tblLook w:firstColumn="1" w:firstRow="1" w:lastColumn="0" w:lastRow="0" w:noHBand="0" w:noVBand="1" w:val="04A0"/>
      </w:tblPr>
      <w:tblGrid>
        <w:gridCol w:w="9632"/>
      </w:tblGrid>
      <w:tr>
        <w:tc>
          <w:tcPr>
            <w:tcW w:type="dxa" w:w="9632"/>
            <w:shd w:val="clear" w:color="auto" w:fill="D6E4F0"/>
            <w:tcMar>
              <w:top w:w="113" w:type="dxa"/>
              <w:left w:w="113" w:type="dxa"/>
              <w:bottom w:w="113" w:type="dxa"/>
              <w:right w:w="113" w:type="dxa"/>
            </w:tcMar>
          </w:tcPr>
          <w:p>
            <w:r>
              <w:rPr>
                <w:b/>
                <w:i w:val="0"/>
                <w:color w:val="1F3864"/>
                <w:sz w:val="22"/>
              </w:rPr>
              <w:t>Respuesta metodológica — ¿Por qué usar el índice proxy?</w:t>
            </w:r>
          </w:p>
          <w:p>
            <w:r>
              <w:rPr>
                <w:b w:val="0"/>
                <w:i w:val="0"/>
                <w:sz w:val="21"/>
              </w:rPr>
              <w:t>El comité señaló que POBREZA=1 excluye el 88.7% de los receptores reales. El índice proxy resuelve el problema porque: (a) es predeterminado al tratamiento (vivienda y durables no cambian por recibir S/250/mes); (b) replica la lógica del proxy means test del MIDIS sin usar datos de gasto corriente; (c) permite construir un RDD2 con la muestra completa de adultos ≥ 65 (N=14,088 vs. 1,213 con POBREZA=1), mejorando sustancialmente el poder estadístico.</w:t>
            </w:r>
          </w:p>
        </w:tc>
      </w:tr>
    </w:tbl>
    <w:p/>
    <w:p>
      <w:pPr>
        <w:pStyle w:val="Heading1"/>
      </w:pPr>
      <w:r>
        <w:rPr>
          <w:b/>
          <w:color w:val="1F3864"/>
          <w:sz w:val="28"/>
        </w:rPr>
        <w:t>2. Robustez al ancho de banda (RDD1)</w:t>
      </w:r>
    </w:p>
    <w:p>
      <w:pPr>
        <w:pStyle w:val="Heading2"/>
      </w:pPr>
      <w:r>
        <w:rPr>
          <w:b/>
          <w:color w:val="2E75B6"/>
          <w:sz w:val="24"/>
        </w:rPr>
        <w:t>2.1  Observación del comité</w:t>
      </w:r>
    </w:p>
    <w:p>
      <w:r>
        <w:rPr>
          <w:b w:val="0"/>
          <w:i w:val="0"/>
          <w:sz w:val="22"/>
        </w:rPr>
        <w:t xml:space="preserve">El comité señaló que el bandwidth MSE-óptimo </w:t>
      </w:r>
      <w:r>
        <w:rPr>
          <w:b/>
          <w:i w:val="0"/>
          <w:sz w:val="22"/>
        </w:rPr>
        <w:t>h* = 18.04 años</w:t>
      </w:r>
      <w:r>
        <w:rPr>
          <w:b w:val="0"/>
          <w:i w:val="0"/>
          <w:sz w:val="22"/>
        </w:rPr>
        <w:t xml:space="preserve"> es amplio. Esta observación es válida: con h = 18, se comparan personas de 47 a 83 años, rango en el que la adopción digital tiene una tendencia secular muy pronunciada que podría dominar el efecto local en el cutoff. Se presenta un análisis de sensibilidad granular para responder directamente esta preocupación.</w:t>
      </w:r>
    </w:p>
    <w:p/>
    <w:p>
      <w:pPr>
        <w:pStyle w:val="Heading2"/>
      </w:pPr>
      <w:r>
        <w:rPr>
          <w:b/>
          <w:color w:val="2E75B6"/>
          <w:sz w:val="24"/>
        </w:rPr>
        <w:t>2.2  Análisis de sensibilidad — h ∈ {3, 5, 7, 10, 14, 18, 24} años</w:t>
      </w:r>
    </w:p>
    <w:p>
      <w:r>
        <w:rPr>
          <w:b w:val="0"/>
          <w:i w:val="0"/>
          <w:sz w:val="22"/>
        </w:rPr>
        <w:t xml:space="preserve">Se marcaron dos referencias: </w:t>
      </w:r>
      <w:r>
        <w:rPr>
          <w:b/>
          <w:i w:val="0"/>
          <w:sz w:val="22"/>
        </w:rPr>
        <w:t>h* = 18.04</w:t>
      </w:r>
      <w:r>
        <w:rPr>
          <w:b w:val="0"/>
          <w:i w:val="0"/>
          <w:sz w:val="22"/>
        </w:rPr>
        <w:t xml:space="preserve"> (MSE-óptimo, Calonico et al. 2014) y </w:t>
      </w:r>
      <w:r>
        <w:rPr>
          <w:b/>
          <w:i w:val="0"/>
          <w:sz w:val="22"/>
        </w:rPr>
        <w:t>h = 10</w:t>
      </w:r>
      <w:r>
        <w:rPr>
          <w:b w:val="0"/>
          <w:i w:val="0"/>
          <w:sz w:val="22"/>
        </w:rPr>
        <w:t xml:space="preserve"> (benchmark Torres y Salinas 2016). Para h = 3, se usó el fallback statsmodels (rdrobust no converge por muestra insuficiente en la ventana ±3 años). Todos los demás estimados son rdrobust con kernel triangular.</w:t>
      </w:r>
    </w:p>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020"/>
            <w:shd w:val="clear" w:color="auto" w:fill="1F3864"/>
            <w:vAlign w:val="center"/>
          </w:tcPr>
          <w:p>
            <w:pPr>
              <w:jc w:val="center"/>
            </w:pPr>
            <w:r>
              <w:rPr>
                <w:b/>
                <w:i w:val="0"/>
                <w:color w:val="FFFFFF"/>
                <w:sz w:val="19"/>
              </w:rPr>
              <w:t>h (años)</w:t>
            </w:r>
          </w:p>
        </w:tc>
        <w:tc>
          <w:tcPr>
            <w:tcW w:type="dxa" w:w="1587"/>
            <w:shd w:val="clear" w:color="auto" w:fill="1F3864"/>
            <w:vAlign w:val="center"/>
          </w:tcPr>
          <w:p>
            <w:pPr>
              <w:jc w:val="center"/>
            </w:pPr>
            <w:r>
              <w:rPr>
                <w:b/>
                <w:i w:val="0"/>
                <w:color w:val="FFFFFF"/>
                <w:sz w:val="19"/>
              </w:rPr>
              <w:t>Tiene Billetera</w:t>
              <w:br/>
              <w:t>estimado</w:t>
            </w:r>
          </w:p>
        </w:tc>
        <w:tc>
          <w:tcPr>
            <w:tcW w:type="dxa" w:w="2268"/>
            <w:shd w:val="clear" w:color="auto" w:fill="1F3864"/>
            <w:vAlign w:val="center"/>
          </w:tcPr>
          <w:p>
            <w:pPr>
              <w:jc w:val="center"/>
            </w:pPr>
            <w:r>
              <w:rPr>
                <w:b/>
                <w:i w:val="0"/>
                <w:color w:val="FFFFFF"/>
                <w:sz w:val="19"/>
              </w:rPr>
              <w:t>IC 95%</w:t>
              <w:br/>
              <w:t>(TIENE)</w:t>
            </w:r>
          </w:p>
        </w:tc>
        <w:tc>
          <w:tcPr>
            <w:tcW w:type="dxa" w:w="1587"/>
            <w:shd w:val="clear" w:color="auto" w:fill="1F3864"/>
            <w:vAlign w:val="center"/>
          </w:tcPr>
          <w:p>
            <w:pPr>
              <w:jc w:val="center"/>
            </w:pPr>
            <w:r>
              <w:rPr>
                <w:b/>
                <w:i w:val="0"/>
                <w:color w:val="FFFFFF"/>
                <w:sz w:val="19"/>
              </w:rPr>
              <w:t>Usa Billetera</w:t>
              <w:br/>
              <w:t>estimado</w:t>
            </w:r>
          </w:p>
        </w:tc>
        <w:tc>
          <w:tcPr>
            <w:tcW w:type="dxa" w:w="2268"/>
            <w:shd w:val="clear" w:color="auto" w:fill="1F3864"/>
            <w:vAlign w:val="center"/>
          </w:tcPr>
          <w:p>
            <w:pPr>
              <w:jc w:val="center"/>
            </w:pPr>
            <w:r>
              <w:rPr>
                <w:b/>
                <w:i w:val="0"/>
                <w:color w:val="FFFFFF"/>
                <w:sz w:val="19"/>
              </w:rPr>
              <w:t>IC 95%</w:t>
              <w:br/>
              <w:t>(USA)</w:t>
            </w:r>
          </w:p>
        </w:tc>
        <w:tc>
          <w:tcPr>
            <w:tcW w:type="dxa" w:w="1134"/>
            <w:shd w:val="clear" w:color="auto" w:fill="1F3864"/>
            <w:vAlign w:val="center"/>
          </w:tcPr>
          <w:p>
            <w:pPr>
              <w:jc w:val="center"/>
            </w:pPr>
            <w:r>
              <w:rPr>
                <w:b/>
                <w:i w:val="0"/>
                <w:color w:val="FFFFFF"/>
                <w:sz w:val="19"/>
              </w:rPr>
              <w:t>N ef.</w:t>
            </w:r>
          </w:p>
        </w:tc>
      </w:tr>
      <w:tr>
        <w:tc>
          <w:tcPr>
            <w:tcW w:type="dxa" w:w="1020"/>
            <w:shd w:val="clear" w:color="auto" w:fill="EBF5FB"/>
            <w:vAlign w:val="center"/>
          </w:tcPr>
          <w:p>
            <w:pPr>
              <w:jc w:val="center"/>
            </w:pPr>
            <w:r>
              <w:rPr>
                <w:b w:val="0"/>
                <w:i w:val="0"/>
                <w:color w:val="2C3E50"/>
                <w:sz w:val="19"/>
              </w:rPr>
              <w:t>3</w:t>
            </w:r>
          </w:p>
        </w:tc>
        <w:tc>
          <w:tcPr>
            <w:tcW w:type="dxa" w:w="1587"/>
            <w:shd w:val="clear" w:color="auto" w:fill="EBF5FB"/>
            <w:vAlign w:val="center"/>
          </w:tcPr>
          <w:p>
            <w:pPr>
              <w:jc w:val="center"/>
            </w:pPr>
            <w:r>
              <w:rPr>
                <w:b w:val="0"/>
                <w:i w:val="0"/>
                <w:color w:val="2C3E50"/>
                <w:sz w:val="19"/>
              </w:rPr>
              <w:t>+0.0050</w:t>
            </w:r>
          </w:p>
        </w:tc>
        <w:tc>
          <w:tcPr>
            <w:tcW w:type="dxa" w:w="2268"/>
            <w:shd w:val="clear" w:color="auto" w:fill="EBF5FB"/>
            <w:vAlign w:val="center"/>
          </w:tcPr>
          <w:p>
            <w:pPr>
              <w:jc w:val="center"/>
            </w:pPr>
            <w:r>
              <w:rPr>
                <w:b w:val="0"/>
                <w:i w:val="0"/>
                <w:color w:val="2C3E50"/>
                <w:sz w:val="19"/>
              </w:rPr>
              <w:t>[-0.047, +0.057]</w:t>
            </w:r>
          </w:p>
        </w:tc>
        <w:tc>
          <w:tcPr>
            <w:tcW w:type="dxa" w:w="1587"/>
            <w:shd w:val="clear" w:color="auto" w:fill="EBF5FB"/>
            <w:vAlign w:val="center"/>
          </w:tcPr>
          <w:p>
            <w:pPr>
              <w:jc w:val="center"/>
            </w:pPr>
            <w:r>
              <w:rPr>
                <w:b w:val="0"/>
                <w:i w:val="0"/>
                <w:color w:val="2C3E50"/>
                <w:sz w:val="19"/>
              </w:rPr>
              <w:t>+0.0134</w:t>
            </w:r>
          </w:p>
        </w:tc>
        <w:tc>
          <w:tcPr>
            <w:tcW w:type="dxa" w:w="2268"/>
            <w:shd w:val="clear" w:color="auto" w:fill="EBF5FB"/>
            <w:vAlign w:val="center"/>
          </w:tcPr>
          <w:p>
            <w:pPr>
              <w:jc w:val="center"/>
            </w:pPr>
            <w:r>
              <w:rPr>
                <w:b w:val="0"/>
                <w:i w:val="0"/>
                <w:color w:val="2C3E50"/>
                <w:sz w:val="19"/>
              </w:rPr>
              <w:t>[-0.024, +0.051]</w:t>
            </w:r>
          </w:p>
        </w:tc>
        <w:tc>
          <w:tcPr>
            <w:tcW w:type="dxa" w:w="1134"/>
            <w:shd w:val="clear" w:color="auto" w:fill="EBF5FB"/>
            <w:vAlign w:val="center"/>
          </w:tcPr>
          <w:p>
            <w:pPr>
              <w:jc w:val="center"/>
            </w:pPr>
            <w:r>
              <w:rPr>
                <w:b w:val="0"/>
                <w:i w:val="0"/>
                <w:color w:val="2C3E50"/>
                <w:sz w:val="19"/>
              </w:rPr>
              <w:t>6,891</w:t>
            </w:r>
          </w:p>
        </w:tc>
      </w:tr>
      <w:tr>
        <w:tc>
          <w:tcPr>
            <w:tcW w:type="dxa" w:w="1020"/>
            <w:shd w:val="clear" w:color="auto" w:fill="FFFFFF"/>
            <w:vAlign w:val="center"/>
          </w:tcPr>
          <w:p>
            <w:pPr>
              <w:jc w:val="center"/>
            </w:pPr>
            <w:r>
              <w:rPr>
                <w:b w:val="0"/>
                <w:i w:val="0"/>
                <w:color w:val="2C3E50"/>
                <w:sz w:val="19"/>
              </w:rPr>
              <w:t>5</w:t>
            </w:r>
          </w:p>
        </w:tc>
        <w:tc>
          <w:tcPr>
            <w:tcW w:type="dxa" w:w="1587"/>
            <w:shd w:val="clear" w:color="auto" w:fill="FFFFFF"/>
            <w:vAlign w:val="center"/>
          </w:tcPr>
          <w:p>
            <w:pPr>
              <w:jc w:val="center"/>
            </w:pPr>
            <w:r>
              <w:rPr>
                <w:b w:val="0"/>
                <w:i w:val="0"/>
                <w:color w:val="2C3E50"/>
                <w:sz w:val="19"/>
              </w:rPr>
              <w:t>-0.0016</w:t>
            </w:r>
          </w:p>
        </w:tc>
        <w:tc>
          <w:tcPr>
            <w:tcW w:type="dxa" w:w="2268"/>
            <w:shd w:val="clear" w:color="auto" w:fill="FFFFFF"/>
            <w:vAlign w:val="center"/>
          </w:tcPr>
          <w:p>
            <w:pPr>
              <w:jc w:val="center"/>
            </w:pPr>
            <w:r>
              <w:rPr>
                <w:b w:val="0"/>
                <w:i w:val="0"/>
                <w:color w:val="2C3E50"/>
                <w:sz w:val="19"/>
              </w:rPr>
              <w:t>[-0.072, +0.069]</w:t>
            </w:r>
          </w:p>
        </w:tc>
        <w:tc>
          <w:tcPr>
            <w:tcW w:type="dxa" w:w="1587"/>
            <w:shd w:val="clear" w:color="auto" w:fill="FFFFFF"/>
            <w:vAlign w:val="center"/>
          </w:tcPr>
          <w:p>
            <w:pPr>
              <w:jc w:val="center"/>
            </w:pPr>
            <w:r>
              <w:rPr>
                <w:b w:val="0"/>
                <w:i w:val="0"/>
                <w:color w:val="2C3E50"/>
                <w:sz w:val="19"/>
              </w:rPr>
              <w:t>+0.0040</w:t>
            </w:r>
          </w:p>
        </w:tc>
        <w:tc>
          <w:tcPr>
            <w:tcW w:type="dxa" w:w="2268"/>
            <w:shd w:val="clear" w:color="auto" w:fill="FFFFFF"/>
            <w:vAlign w:val="center"/>
          </w:tcPr>
          <w:p>
            <w:pPr>
              <w:jc w:val="center"/>
            </w:pPr>
            <w:r>
              <w:rPr>
                <w:b w:val="0"/>
                <w:i w:val="0"/>
                <w:color w:val="2C3E50"/>
                <w:sz w:val="19"/>
              </w:rPr>
              <w:t>[-0.055, +0.063]</w:t>
            </w:r>
          </w:p>
        </w:tc>
        <w:tc>
          <w:tcPr>
            <w:tcW w:type="dxa" w:w="1134"/>
            <w:shd w:val="clear" w:color="auto" w:fill="FFFFFF"/>
            <w:vAlign w:val="center"/>
          </w:tcPr>
          <w:p>
            <w:pPr>
              <w:jc w:val="center"/>
            </w:pPr>
            <w:r>
              <w:rPr>
                <w:b w:val="0"/>
                <w:i w:val="0"/>
                <w:color w:val="2C3E50"/>
                <w:sz w:val="19"/>
              </w:rPr>
              <w:t>8,926</w:t>
            </w:r>
          </w:p>
        </w:tc>
      </w:tr>
      <w:tr>
        <w:tc>
          <w:tcPr>
            <w:tcW w:type="dxa" w:w="1020"/>
            <w:shd w:val="clear" w:color="auto" w:fill="EBF5FB"/>
            <w:vAlign w:val="center"/>
          </w:tcPr>
          <w:p>
            <w:pPr>
              <w:jc w:val="center"/>
            </w:pPr>
            <w:r>
              <w:rPr>
                <w:b w:val="0"/>
                <w:i w:val="0"/>
                <w:color w:val="2C3E50"/>
                <w:sz w:val="19"/>
              </w:rPr>
              <w:t>7</w:t>
            </w:r>
          </w:p>
        </w:tc>
        <w:tc>
          <w:tcPr>
            <w:tcW w:type="dxa" w:w="1587"/>
            <w:shd w:val="clear" w:color="auto" w:fill="EBF5FB"/>
            <w:vAlign w:val="center"/>
          </w:tcPr>
          <w:p>
            <w:pPr>
              <w:jc w:val="center"/>
            </w:pPr>
            <w:r>
              <w:rPr>
                <w:b w:val="0"/>
                <w:i w:val="0"/>
                <w:color w:val="2C3E50"/>
                <w:sz w:val="19"/>
              </w:rPr>
              <w:t>-0.0001</w:t>
            </w:r>
          </w:p>
        </w:tc>
        <w:tc>
          <w:tcPr>
            <w:tcW w:type="dxa" w:w="2268"/>
            <w:shd w:val="clear" w:color="auto" w:fill="EBF5FB"/>
            <w:vAlign w:val="center"/>
          </w:tcPr>
          <w:p>
            <w:pPr>
              <w:jc w:val="center"/>
            </w:pPr>
            <w:r>
              <w:rPr>
                <w:b w:val="0"/>
                <w:i w:val="0"/>
                <w:color w:val="2C3E50"/>
                <w:sz w:val="19"/>
              </w:rPr>
              <w:t>[-0.055, +0.055]</w:t>
            </w:r>
          </w:p>
        </w:tc>
        <w:tc>
          <w:tcPr>
            <w:tcW w:type="dxa" w:w="1587"/>
            <w:shd w:val="clear" w:color="auto" w:fill="EBF5FB"/>
            <w:vAlign w:val="center"/>
          </w:tcPr>
          <w:p>
            <w:pPr>
              <w:jc w:val="center"/>
            </w:pPr>
            <w:r>
              <w:rPr>
                <w:b w:val="0"/>
                <w:i w:val="0"/>
                <w:color w:val="2C3E50"/>
                <w:sz w:val="19"/>
              </w:rPr>
              <w:t>+0.0133</w:t>
            </w:r>
          </w:p>
        </w:tc>
        <w:tc>
          <w:tcPr>
            <w:tcW w:type="dxa" w:w="2268"/>
            <w:shd w:val="clear" w:color="auto" w:fill="EBF5FB"/>
            <w:vAlign w:val="center"/>
          </w:tcPr>
          <w:p>
            <w:pPr>
              <w:jc w:val="center"/>
            </w:pPr>
            <w:r>
              <w:rPr>
                <w:b w:val="0"/>
                <w:i w:val="0"/>
                <w:color w:val="2C3E50"/>
                <w:sz w:val="19"/>
              </w:rPr>
              <w:t>[-0.029, +0.055]</w:t>
            </w:r>
          </w:p>
        </w:tc>
        <w:tc>
          <w:tcPr>
            <w:tcW w:type="dxa" w:w="1134"/>
            <w:shd w:val="clear" w:color="auto" w:fill="EBF5FB"/>
            <w:vAlign w:val="center"/>
          </w:tcPr>
          <w:p>
            <w:pPr>
              <w:jc w:val="center"/>
            </w:pPr>
            <w:r>
              <w:rPr>
                <w:b w:val="0"/>
                <w:i w:val="0"/>
                <w:color w:val="2C3E50"/>
                <w:sz w:val="19"/>
              </w:rPr>
              <w:t>12,831</w:t>
            </w:r>
          </w:p>
        </w:tc>
      </w:tr>
      <w:tr>
        <w:tc>
          <w:tcPr>
            <w:tcW w:type="dxa" w:w="1020"/>
            <w:shd w:val="clear" w:color="auto" w:fill="FFF3CD"/>
            <w:vAlign w:val="center"/>
          </w:tcPr>
          <w:p>
            <w:pPr>
              <w:jc w:val="center"/>
            </w:pPr>
            <w:r>
              <w:rPr>
                <w:b w:val="0"/>
                <w:i w:val="0"/>
                <w:color w:val="2C3E50"/>
                <w:sz w:val="19"/>
              </w:rPr>
              <w:t>10</w:t>
            </w:r>
          </w:p>
        </w:tc>
        <w:tc>
          <w:tcPr>
            <w:tcW w:type="dxa" w:w="1587"/>
            <w:shd w:val="clear" w:color="auto" w:fill="FFF3CD"/>
            <w:vAlign w:val="center"/>
          </w:tcPr>
          <w:p>
            <w:pPr>
              <w:jc w:val="center"/>
            </w:pPr>
            <w:r>
              <w:rPr>
                <w:b w:val="0"/>
                <w:i w:val="0"/>
                <w:color w:val="2C3E50"/>
                <w:sz w:val="19"/>
              </w:rPr>
              <w:t>-0.0083</w:t>
            </w:r>
          </w:p>
        </w:tc>
        <w:tc>
          <w:tcPr>
            <w:tcW w:type="dxa" w:w="2268"/>
            <w:shd w:val="clear" w:color="auto" w:fill="FFF3CD"/>
            <w:vAlign w:val="center"/>
          </w:tcPr>
          <w:p>
            <w:pPr>
              <w:jc w:val="center"/>
            </w:pPr>
            <w:r>
              <w:rPr>
                <w:b w:val="0"/>
                <w:i w:val="0"/>
                <w:color w:val="2C3E50"/>
                <w:sz w:val="19"/>
              </w:rPr>
              <w:t>[-0.055, +0.038]</w:t>
            </w:r>
          </w:p>
        </w:tc>
        <w:tc>
          <w:tcPr>
            <w:tcW w:type="dxa" w:w="1587"/>
            <w:shd w:val="clear" w:color="auto" w:fill="FFF3CD"/>
            <w:vAlign w:val="center"/>
          </w:tcPr>
          <w:p>
            <w:pPr>
              <w:jc w:val="center"/>
            </w:pPr>
            <w:r>
              <w:rPr>
                <w:b w:val="0"/>
                <w:i w:val="0"/>
                <w:color w:val="2C3E50"/>
                <w:sz w:val="19"/>
              </w:rPr>
              <w:t>+0.0071</w:t>
            </w:r>
          </w:p>
        </w:tc>
        <w:tc>
          <w:tcPr>
            <w:tcW w:type="dxa" w:w="2268"/>
            <w:shd w:val="clear" w:color="auto" w:fill="FFF3CD"/>
            <w:vAlign w:val="center"/>
          </w:tcPr>
          <w:p>
            <w:pPr>
              <w:jc w:val="center"/>
            </w:pPr>
            <w:r>
              <w:rPr>
                <w:b w:val="0"/>
                <w:i w:val="0"/>
                <w:color w:val="2C3E50"/>
                <w:sz w:val="19"/>
              </w:rPr>
              <w:t>[-0.033, +0.047]</w:t>
            </w:r>
          </w:p>
        </w:tc>
        <w:tc>
          <w:tcPr>
            <w:tcW w:type="dxa" w:w="1134"/>
            <w:shd w:val="clear" w:color="auto" w:fill="FFF3CD"/>
            <w:vAlign w:val="center"/>
          </w:tcPr>
          <w:p>
            <w:pPr>
              <w:jc w:val="center"/>
            </w:pPr>
            <w:r>
              <w:rPr>
                <w:b w:val="0"/>
                <w:i w:val="0"/>
                <w:color w:val="2C3E50"/>
                <w:sz w:val="19"/>
              </w:rPr>
              <w:t>18,649</w:t>
            </w:r>
          </w:p>
        </w:tc>
      </w:tr>
      <w:tr>
        <w:tc>
          <w:tcPr>
            <w:tcW w:type="dxa" w:w="1020"/>
            <w:shd w:val="clear" w:color="auto" w:fill="EBF5FB"/>
            <w:vAlign w:val="center"/>
          </w:tcPr>
          <w:p>
            <w:pPr>
              <w:jc w:val="center"/>
            </w:pPr>
            <w:r>
              <w:rPr>
                <w:b w:val="0"/>
                <w:i w:val="0"/>
                <w:color w:val="2C3E50"/>
                <w:sz w:val="19"/>
              </w:rPr>
              <w:t>14</w:t>
            </w:r>
          </w:p>
        </w:tc>
        <w:tc>
          <w:tcPr>
            <w:tcW w:type="dxa" w:w="1587"/>
            <w:shd w:val="clear" w:color="auto" w:fill="EBF5FB"/>
            <w:vAlign w:val="center"/>
          </w:tcPr>
          <w:p>
            <w:pPr>
              <w:jc w:val="center"/>
            </w:pPr>
            <w:r>
              <w:rPr>
                <w:b w:val="0"/>
                <w:i w:val="0"/>
                <w:color w:val="2C3E50"/>
                <w:sz w:val="19"/>
              </w:rPr>
              <w:t>-0.0062</w:t>
            </w:r>
          </w:p>
        </w:tc>
        <w:tc>
          <w:tcPr>
            <w:tcW w:type="dxa" w:w="2268"/>
            <w:shd w:val="clear" w:color="auto" w:fill="EBF5FB"/>
            <w:vAlign w:val="center"/>
          </w:tcPr>
          <w:p>
            <w:pPr>
              <w:jc w:val="center"/>
            </w:pPr>
            <w:r>
              <w:rPr>
                <w:b w:val="0"/>
                <w:i w:val="0"/>
                <w:color w:val="2C3E50"/>
                <w:sz w:val="19"/>
              </w:rPr>
              <w:t>[-0.047, +0.035]</w:t>
            </w:r>
          </w:p>
        </w:tc>
        <w:tc>
          <w:tcPr>
            <w:tcW w:type="dxa" w:w="1587"/>
            <w:shd w:val="clear" w:color="auto" w:fill="EBF5FB"/>
            <w:vAlign w:val="center"/>
          </w:tcPr>
          <w:p>
            <w:pPr>
              <w:jc w:val="center"/>
            </w:pPr>
            <w:r>
              <w:rPr>
                <w:b w:val="0"/>
                <w:i w:val="0"/>
                <w:color w:val="2C3E50"/>
                <w:sz w:val="19"/>
              </w:rPr>
              <w:t>+0.0026</w:t>
            </w:r>
          </w:p>
        </w:tc>
        <w:tc>
          <w:tcPr>
            <w:tcW w:type="dxa" w:w="2268"/>
            <w:shd w:val="clear" w:color="auto" w:fill="EBF5FB"/>
            <w:vAlign w:val="center"/>
          </w:tcPr>
          <w:p>
            <w:pPr>
              <w:jc w:val="center"/>
            </w:pPr>
            <w:r>
              <w:rPr>
                <w:b w:val="0"/>
                <w:i w:val="0"/>
                <w:color w:val="2C3E50"/>
                <w:sz w:val="19"/>
              </w:rPr>
              <w:t>[-0.036, +0.042]</w:t>
            </w:r>
          </w:p>
        </w:tc>
        <w:tc>
          <w:tcPr>
            <w:tcW w:type="dxa" w:w="1134"/>
            <w:shd w:val="clear" w:color="auto" w:fill="EBF5FB"/>
            <w:vAlign w:val="center"/>
          </w:tcPr>
          <w:p>
            <w:pPr>
              <w:jc w:val="center"/>
            </w:pPr>
            <w:r>
              <w:rPr>
                <w:b w:val="0"/>
                <w:i w:val="0"/>
                <w:color w:val="2C3E50"/>
                <w:sz w:val="19"/>
              </w:rPr>
              <w:t>26,035</w:t>
            </w:r>
          </w:p>
        </w:tc>
      </w:tr>
      <w:tr>
        <w:tc>
          <w:tcPr>
            <w:tcW w:type="dxa" w:w="1020"/>
            <w:shd w:val="clear" w:color="auto" w:fill="D6E4F0"/>
            <w:vAlign w:val="center"/>
          </w:tcPr>
          <w:p>
            <w:pPr>
              <w:jc w:val="center"/>
            </w:pPr>
            <w:r>
              <w:rPr>
                <w:b w:val="0"/>
                <w:i w:val="0"/>
                <w:color w:val="2C3E50"/>
                <w:sz w:val="19"/>
              </w:rPr>
              <w:t>18</w:t>
            </w:r>
          </w:p>
        </w:tc>
        <w:tc>
          <w:tcPr>
            <w:tcW w:type="dxa" w:w="1587"/>
            <w:shd w:val="clear" w:color="auto" w:fill="D6E4F0"/>
            <w:vAlign w:val="center"/>
          </w:tcPr>
          <w:p>
            <w:pPr>
              <w:jc w:val="center"/>
            </w:pPr>
            <w:r>
              <w:rPr>
                <w:b w:val="0"/>
                <w:i w:val="0"/>
                <w:color w:val="2C3E50"/>
                <w:sz w:val="19"/>
              </w:rPr>
              <w:t>-0.0022</w:t>
            </w:r>
          </w:p>
        </w:tc>
        <w:tc>
          <w:tcPr>
            <w:tcW w:type="dxa" w:w="2268"/>
            <w:shd w:val="clear" w:color="auto" w:fill="D6E4F0"/>
            <w:vAlign w:val="center"/>
          </w:tcPr>
          <w:p>
            <w:pPr>
              <w:jc w:val="center"/>
            </w:pPr>
            <w:r>
              <w:rPr>
                <w:b w:val="0"/>
                <w:i w:val="0"/>
                <w:color w:val="2C3E50"/>
                <w:sz w:val="19"/>
              </w:rPr>
              <w:t>[-0.040, +0.036]</w:t>
            </w:r>
          </w:p>
        </w:tc>
        <w:tc>
          <w:tcPr>
            <w:tcW w:type="dxa" w:w="1587"/>
            <w:shd w:val="clear" w:color="auto" w:fill="D6E4F0"/>
            <w:vAlign w:val="center"/>
          </w:tcPr>
          <w:p>
            <w:pPr>
              <w:jc w:val="center"/>
            </w:pPr>
            <w:r>
              <w:rPr>
                <w:b w:val="0"/>
                <w:i w:val="0"/>
                <w:color w:val="2C3E50"/>
                <w:sz w:val="19"/>
              </w:rPr>
              <w:t>+0.0018</w:t>
            </w:r>
          </w:p>
        </w:tc>
        <w:tc>
          <w:tcPr>
            <w:tcW w:type="dxa" w:w="2268"/>
            <w:shd w:val="clear" w:color="auto" w:fill="D6E4F0"/>
            <w:vAlign w:val="center"/>
          </w:tcPr>
          <w:p>
            <w:pPr>
              <w:jc w:val="center"/>
            </w:pPr>
            <w:r>
              <w:rPr>
                <w:b w:val="0"/>
                <w:i w:val="0"/>
                <w:color w:val="2C3E50"/>
                <w:sz w:val="19"/>
              </w:rPr>
              <w:t>[-0.034, +0.037]</w:t>
            </w:r>
          </w:p>
        </w:tc>
        <w:tc>
          <w:tcPr>
            <w:tcW w:type="dxa" w:w="1134"/>
            <w:shd w:val="clear" w:color="auto" w:fill="D6E4F0"/>
            <w:vAlign w:val="center"/>
          </w:tcPr>
          <w:p>
            <w:pPr>
              <w:jc w:val="center"/>
            </w:pPr>
            <w:r>
              <w:rPr>
                <w:b w:val="0"/>
                <w:i w:val="0"/>
                <w:color w:val="2C3E50"/>
                <w:sz w:val="19"/>
              </w:rPr>
              <w:t>33,267</w:t>
            </w:r>
          </w:p>
        </w:tc>
      </w:tr>
      <w:tr>
        <w:tc>
          <w:tcPr>
            <w:tcW w:type="dxa" w:w="1020"/>
            <w:shd w:val="clear" w:color="auto" w:fill="EBF5FB"/>
            <w:vAlign w:val="center"/>
          </w:tcPr>
          <w:p>
            <w:pPr>
              <w:jc w:val="center"/>
            </w:pPr>
            <w:r>
              <w:rPr>
                <w:b w:val="0"/>
                <w:i w:val="0"/>
                <w:color w:val="2C3E50"/>
                <w:sz w:val="19"/>
              </w:rPr>
              <w:t>24</w:t>
            </w:r>
          </w:p>
        </w:tc>
        <w:tc>
          <w:tcPr>
            <w:tcW w:type="dxa" w:w="1587"/>
            <w:shd w:val="clear" w:color="auto" w:fill="EBF5FB"/>
            <w:vAlign w:val="center"/>
          </w:tcPr>
          <w:p>
            <w:pPr>
              <w:jc w:val="center"/>
            </w:pPr>
            <w:r>
              <w:rPr>
                <w:b w:val="0"/>
                <w:i w:val="0"/>
                <w:color w:val="2C3E50"/>
                <w:sz w:val="19"/>
              </w:rPr>
              <w:t>+0.0026</w:t>
            </w:r>
          </w:p>
        </w:tc>
        <w:tc>
          <w:tcPr>
            <w:tcW w:type="dxa" w:w="2268"/>
            <w:shd w:val="clear" w:color="auto" w:fill="EBF5FB"/>
            <w:vAlign w:val="center"/>
          </w:tcPr>
          <w:p>
            <w:pPr>
              <w:jc w:val="center"/>
            </w:pPr>
            <w:r>
              <w:rPr>
                <w:b w:val="0"/>
                <w:i w:val="0"/>
                <w:color w:val="2C3E50"/>
                <w:sz w:val="19"/>
              </w:rPr>
              <w:t>[-0.033, +0.038]</w:t>
            </w:r>
          </w:p>
        </w:tc>
        <w:tc>
          <w:tcPr>
            <w:tcW w:type="dxa" w:w="1587"/>
            <w:shd w:val="clear" w:color="auto" w:fill="EBF5FB"/>
            <w:vAlign w:val="center"/>
          </w:tcPr>
          <w:p>
            <w:pPr>
              <w:jc w:val="center"/>
            </w:pPr>
            <w:r>
              <w:rPr>
                <w:b w:val="0"/>
                <w:i w:val="0"/>
                <w:color w:val="2C3E50"/>
                <w:sz w:val="19"/>
              </w:rPr>
              <w:t>+0.0047</w:t>
            </w:r>
          </w:p>
        </w:tc>
        <w:tc>
          <w:tcPr>
            <w:tcW w:type="dxa" w:w="2268"/>
            <w:shd w:val="clear" w:color="auto" w:fill="EBF5FB"/>
            <w:vAlign w:val="center"/>
          </w:tcPr>
          <w:p>
            <w:pPr>
              <w:jc w:val="center"/>
            </w:pPr>
            <w:r>
              <w:rPr>
                <w:b w:val="0"/>
                <w:i w:val="0"/>
                <w:color w:val="2C3E50"/>
                <w:sz w:val="19"/>
              </w:rPr>
              <w:t>[-0.028, +0.038]</w:t>
            </w:r>
          </w:p>
        </w:tc>
        <w:tc>
          <w:tcPr>
            <w:tcW w:type="dxa" w:w="1134"/>
            <w:shd w:val="clear" w:color="auto" w:fill="EBF5FB"/>
            <w:vAlign w:val="center"/>
          </w:tcPr>
          <w:p>
            <w:pPr>
              <w:jc w:val="center"/>
            </w:pPr>
            <w:r>
              <w:rPr>
                <w:b w:val="0"/>
                <w:i w:val="0"/>
                <w:color w:val="2C3E50"/>
                <w:sz w:val="19"/>
              </w:rPr>
              <w:t>43,200</w:t>
            </w:r>
          </w:p>
        </w:tc>
      </w:tr>
    </w:tbl>
    <w:p>
      <w:r>
        <w:rPr>
          <w:b w:val="0"/>
          <w:i w:val="0"/>
          <w:color w:val="666666"/>
          <w:sz w:val="18"/>
        </w:rPr>
        <w:t>Amarillo = h = 10 (Torres &amp; Salinas 2016). Azul claro = h = 18.04 (MSE-óptimo Calonico et al. 2014). Todos los CI cruzan cero. h = 3 usa statsmodels WLS (rdrobust no converge). N ef. corresponde a Tiene Billetera; varía ±10% para Usa Billetera.</w:t>
      </w:r>
    </w:p>
    <w:p/>
    <w:p>
      <w:pPr>
        <w:pStyle w:val="Heading2"/>
      </w:pPr>
      <w:r>
        <w:rPr>
          <w:b/>
          <w:color w:val="2E75B6"/>
          <w:sz w:val="24"/>
        </w:rPr>
        <w:t>2.3  Figura de sensibilidad</w:t>
      </w:r>
    </w:p>
    <w:p>
      <w:pPr>
        <w:jc w:val="center"/>
      </w:pPr>
      <w:r>
        <w:drawing>
          <wp:inline xmlns:a="http://schemas.openxmlformats.org/drawingml/2006/main" xmlns:pic="http://schemas.openxmlformats.org/drawingml/2006/picture">
            <wp:extent cx="5760000" cy="2955636"/>
            <wp:docPr id="1" name="Picture 1"/>
            <wp:cNvGraphicFramePr>
              <a:graphicFrameLocks noChangeAspect="1"/>
            </wp:cNvGraphicFramePr>
            <a:graphic>
              <a:graphicData uri="http://schemas.openxmlformats.org/drawingml/2006/picture">
                <pic:pic>
                  <pic:nvPicPr>
                    <pic:cNvPr id="0" name="figure_bandwidth_sensitivity_granular.png"/>
                    <pic:cNvPicPr/>
                  </pic:nvPicPr>
                  <pic:blipFill>
                    <a:blip r:embed="rId9"/>
                    <a:stretch>
                      <a:fillRect/>
                    </a:stretch>
                  </pic:blipFill>
                  <pic:spPr>
                    <a:xfrm>
                      <a:off x="0" y="0"/>
                      <a:ext cx="5760000" cy="2955636"/>
                    </a:xfrm>
                    <a:prstGeom prst="rect"/>
                  </pic:spPr>
                </pic:pic>
              </a:graphicData>
            </a:graphic>
          </wp:inline>
        </w:drawing>
      </w:r>
    </w:p>
    <w:p>
      <w:r>
        <w:rPr>
          <w:b w:val="0"/>
          <w:i w:val="0"/>
          <w:color w:val="666666"/>
          <w:sz w:val="18"/>
        </w:rPr>
        <w:t>Figura 1. Sensibilidad al ancho de banda — RDD1 (umbral de edad 65). Izquierda: TIENE_BILLETERA. Derecha: USA_BILLETERA. Puntos = estimado puntual; banda sombreada = IC 95%. Línea punteada gris = h* = 18.04 yrs (MSE-óptimo). Línea punteada más clara = h = 10 (Torres &amp; Salinas 2016). Estimador: rdrobust, kernel triangular, HC robust SE. ENAHO 2024.</w:t>
      </w:r>
    </w:p>
    <w:p/>
    <w:p>
      <w:pPr>
        <w:pStyle w:val="Heading2"/>
      </w:pPr>
      <w:r>
        <w:rPr>
          <w:b/>
          <w:color w:val="2E75B6"/>
          <w:sz w:val="24"/>
        </w:rPr>
        <w:t>2.4  Lectura de los resultados</w:t>
      </w:r>
    </w:p>
    <w:p>
      <w:r>
        <w:rPr>
          <w:b w:val="0"/>
          <w:i w:val="0"/>
          <w:sz w:val="22"/>
        </w:rPr>
        <w:t>Los estimados rebotan alrededor de cero sin tendencia sistemática en ningún bandwidth ni para ninguno de los dos outcomes. La estabilidad es robusta desde ventanas estrechas (h = 3 → N = 6,891) hasta ventanas amplias (h = 24 → N = 43,200). Ningún coeficiente es estadísticamente significativo al 10%.</w:t>
      </w:r>
    </w:p>
    <w:p>
      <w:r>
        <w:rPr>
          <w:b w:val="0"/>
          <w:i w:val="0"/>
          <w:sz w:val="22"/>
        </w:rPr>
        <w:t xml:space="preserve">En h = 10 (Torres y Salinas 2016): </w:t>
      </w:r>
      <w:r>
        <w:rPr>
          <w:b/>
          <w:i w:val="0"/>
          <w:sz w:val="22"/>
        </w:rPr>
        <w:t>-0.008</w:t>
      </w:r>
      <w:r>
        <w:rPr>
          <w:b w:val="0"/>
          <w:i w:val="0"/>
          <w:sz w:val="22"/>
        </w:rPr>
        <w:t xml:space="preserve"> (tenencia) y </w:t>
      </w:r>
      <w:r>
        <w:rPr>
          <w:b/>
          <w:i w:val="0"/>
          <w:sz w:val="22"/>
        </w:rPr>
        <w:t>+0.007</w:t>
      </w:r>
      <w:r>
        <w:rPr>
          <w:b w:val="0"/>
          <w:i w:val="0"/>
          <w:sz w:val="22"/>
        </w:rPr>
        <w:t xml:space="preserve"> (uso activo), con IC [-0.055, +0.038] y [-0.033, +0.047] respectivamente — ambos cruzando cero. En h* = 18 (MSE-óptimo): </w:t>
      </w:r>
      <w:r>
        <w:rPr>
          <w:b/>
          <w:i w:val="0"/>
          <w:sz w:val="22"/>
        </w:rPr>
        <w:t>-0.002</w:t>
      </w:r>
      <w:r>
        <w:rPr>
          <w:b w:val="0"/>
          <w:i w:val="0"/>
          <w:sz w:val="22"/>
        </w:rPr>
        <w:t xml:space="preserve"> y </w:t>
      </w:r>
      <w:r>
        <w:rPr>
          <w:b/>
          <w:i w:val="0"/>
          <w:sz w:val="22"/>
        </w:rPr>
        <w:t>+0.002</w:t>
      </w:r>
      <w:r>
        <w:rPr>
          <w:b w:val="0"/>
          <w:i w:val="0"/>
          <w:sz w:val="22"/>
        </w:rPr>
        <w:t>. El análisis descarta que el null sea un artefacto de la elección del bandwidth.</w:t>
      </w:r>
    </w:p>
    <w:tbl>
      <w:tblPr>
        <w:tblStyle w:val="TableGrid"/>
        <w:tblW w:type="auto" w:w="0"/>
        <w:tblLook w:firstColumn="1" w:firstRow="1" w:lastColumn="0" w:lastRow="0" w:noHBand="0" w:noVBand="1" w:val="04A0"/>
      </w:tblPr>
      <w:tblGrid>
        <w:gridCol w:w="9632"/>
      </w:tblGrid>
      <w:tr>
        <w:tc>
          <w:tcPr>
            <w:tcW w:type="dxa" w:w="9632"/>
            <w:shd w:val="clear" w:color="auto" w:fill="D6E4F0"/>
            <w:tcMar>
              <w:top w:w="113" w:type="dxa"/>
              <w:left w:w="113" w:type="dxa"/>
              <w:bottom w:w="113" w:type="dxa"/>
              <w:right w:w="113" w:type="dxa"/>
            </w:tcMar>
          </w:tcPr>
          <w:p>
            <w:r>
              <w:rPr>
                <w:b/>
                <w:i w:val="0"/>
                <w:color w:val="1F3864"/>
                <w:sz w:val="22"/>
              </w:rPr>
              <w:t>Párrafo de robustez para la tesis</w:t>
            </w:r>
          </w:p>
          <w:p>
            <w:r>
              <w:rPr>
                <w:b w:val="0"/>
                <w:i w:val="0"/>
                <w:sz w:val="21"/>
              </w:rPr>
              <w:t>"Los resultados son robustos a la elección del ancho de banda. El Cuadro A muestra estimaciones del RDD1 para h ∈ {3, 5, 7, 10, 14, 18, 24} años. En ninguna especificación el efecto sobre TIENE_BILLETERA o USA_BILLETERA es estadísticamente distinguible de cero al nivel del 10%, y los estimados puntuales oscilan entre −0.008 y +0.013, sin tendencia sistemática con el tamaño de la ventana. El resultado es consistente con Torres y Salinas (2016), quienes emplean un bandwidth de 10 años en el mismo umbral de edad para un programa de transferencias comparable en Latinoamérica, y con el MSE-óptimo de Calonico, Cattaneo y Titiunik (2014).</w:t>
            </w:r>
          </w:p>
        </w:tc>
      </w:tr>
    </w:tbl>
    <w:p/>
    <w:p>
      <w:pPr>
        <w:pStyle w:val="Heading1"/>
      </w:pPr>
      <w:r>
        <w:rPr>
          <w:b/>
          <w:color w:val="1F3864"/>
          <w:sz w:val="28"/>
        </w:rPr>
        <w:t>3. Próximos pasos</w:t>
      </w:r>
    </w:p>
    <w:p>
      <w:pPr>
        <w:pStyle w:val="ListParagraph"/>
        <w:ind w:left="397"/>
      </w:pPr>
      <w:r>
        <w:rPr>
          <w:sz w:val="22"/>
        </w:rPr>
        <w:t xml:space="preserve">• </w:t>
      </w:r>
      <w:r>
        <w:rPr>
          <w:b/>
          <w:i w:val="0"/>
          <w:sz w:val="22"/>
        </w:rPr>
        <w:t>Filtros de exclusión DS 081-2011-PCM</w:t>
      </w:r>
      <w:r>
        <w:rPr>
          <w:b w:val="0"/>
          <w:i w:val="0"/>
          <w:sz w:val="22"/>
        </w:rPr>
        <w:t>: incorporar incompatibilidad con pensiones contributivas (ONP/AFP) y con otros programas sociales que excluyen de la elegibilidad a Pensión 65. Esto depurará falsos positivos en el grupo de tratamiento.</w:t>
      </w:r>
    </w:p>
    <w:p>
      <w:pPr>
        <w:pStyle w:val="ListParagraph"/>
        <w:ind w:left="397"/>
      </w:pPr>
      <w:r>
        <w:rPr>
          <w:sz w:val="22"/>
        </w:rPr>
        <w:t xml:space="preserve">• </w:t>
      </w:r>
      <w:r>
        <w:rPr>
          <w:b/>
          <w:i w:val="0"/>
          <w:sz w:val="22"/>
        </w:rPr>
        <w:t>Variable de elegibilidad combinada</w:t>
      </w:r>
      <w:r>
        <w:rPr>
          <w:b w:val="0"/>
          <w:i w:val="0"/>
          <w:sz w:val="22"/>
        </w:rPr>
        <w:t xml:space="preserve">: reestimar el fuzzy RDD con umbral edad ≥ 65 + proxy SISFOH ≤ cutoff como indicador de 'elegible observado', usando </w:t>
      </w:r>
      <w:r>
        <w:rPr>
          <w:b/>
          <w:i w:val="0"/>
          <w:sz w:val="22"/>
        </w:rPr>
        <w:t>P5567A</w:t>
      </w:r>
      <w:r>
        <w:rPr>
          <w:b w:val="0"/>
          <w:i w:val="0"/>
          <w:sz w:val="22"/>
        </w:rPr>
        <w:t xml:space="preserve"> como tratamiento endógeno y calculando el LATE interpretable como el efecto del programa sobre los compliers.</w:t>
      </w:r>
    </w:p>
    <w:p>
      <w:pPr>
        <w:pStyle w:val="ListParagraph"/>
        <w:ind w:left="397"/>
      </w:pPr>
      <w:r>
        <w:rPr>
          <w:sz w:val="22"/>
        </w:rPr>
        <w:t xml:space="preserve">• </w:t>
      </w:r>
      <w:r>
        <w:rPr>
          <w:b/>
          <w:i w:val="0"/>
          <w:sz w:val="22"/>
        </w:rPr>
        <w:t>Tablas de robustez adicionales</w:t>
      </w:r>
      <w:r>
        <w:rPr>
          <w:b w:val="0"/>
          <w:i w:val="0"/>
          <w:sz w:val="22"/>
        </w:rPr>
        <w:t>: especificación cuadrática, prueba placebo de discontinuidad con Juntos (INGTPU01 &gt; 0 — no debe saltar en 65), y balance de covariables en el cutoff del RDD2 con los resultados de balance ya generados (INTERNET_HOGAR, NIVEL_EDUCATIVO, INGRESO_PC — todos con IC que cruzan cero).</w:t>
      </w:r>
    </w:p>
    <w:p>
      <w:pPr>
        <w:pStyle w:val="ListParagraph"/>
        <w:ind w:left="397"/>
      </w:pPr>
      <w:r>
        <w:rPr>
          <w:sz w:val="22"/>
        </w:rPr>
        <w:t xml:space="preserve">• </w:t>
      </w:r>
      <w:r>
        <w:rPr>
          <w:b/>
          <w:i w:val="0"/>
          <w:sz w:val="22"/>
        </w:rPr>
        <w:t>Vinculación con registros MIDIS</w:t>
      </w:r>
      <w:r>
        <w:rPr>
          <w:b w:val="0"/>
          <w:i w:val="0"/>
          <w:sz w:val="22"/>
        </w:rPr>
        <w:t xml:space="preserve"> (etapa posterior): validar elegibilidad observada vs. declarada cruzando la muestra ENAHO con el padrón de beneficiarios MIDIS (acceso sujeto a convenio institucional PUCP–MIDIS). Permitiría usar el puntaje SISFOH real como running variable, replicando exactamente la estrategia de Bando, Galiani y Gertler (2020).</w:t>
      </w:r>
    </w:p>
    <w:p/>
    <w:p>
      <w:r>
        <w:rPr>
          <w:b w:val="0"/>
          <w:i w:val="0"/>
          <w:color w:val="666666"/>
          <w:sz w:val="18"/>
        </w:rPr>
        <w:t>Documento generado automáticamente por generar_informe_v2.py a partir de los outputs del pipeline ENAHO 2024. Todos los estimados se leen directamente de rdd2_results.csv y bandwidth_sensitivity_rdd1.csv. Loadings recalculados on-the-fly sobre enaho_rdd_full.csv.</w:t>
      </w:r>
    </w:p>
    <w:sectPr w:rsidR="00FC693F" w:rsidRPr="0006063C" w:rsidSect="00034616">
      <w:footerReference w:type="default" r:id="rId10"/>
      <w:pgSz w:w="12240" w:h="15840"/>
      <w:pgMar w:top="1417" w:right="1304" w:bottom="141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88888"/>
        <w:sz w:val="18"/>
      </w:rPr>
      <w:t xml:space="preserve">Vargas Risco | PUCP | Mayo 2026  —  Pág. </w:t>
    </w:r>
    <w:r>
      <w:rPr>
        <w:color w:val="888888"/>
        <w:sz w:val="18"/>
      </w:rPr>
      <w:t xml:space="preserve"> </w:t>
      <w:fldChar w:fldCharType="begin"/>
    </w:r>
    <w:r>
      <w:rPr>
        <w:color w:val="888888"/>
        <w:sz w:val="18"/>
      </w:rPr>
      <w:instrText> PAGE </w:instrText>
    </w:r>
    <w:r>
      <w:rPr>
        <w:color w:val="888888"/>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