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INFORME DE AVANCE — TESIS DE PREGRADO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El efecto de la elegibilidad a Pensión 65 sobre la adopción de billeteras digitales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Cecilia Sadeli Vargas Risco  |  Asesor: Alexander Quispe  |  PUCP, Mayo 2026</w:t>
      </w:r>
    </w:p>
    <w:p>
      <w:pPr>
        <w:pBdr>
          <w:bottom w:val="single" w:color="2E75B6" w:sz="8" w:space="6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Avance: construcción del proxy SISFOH y robustez al ancho de banda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Construcción del proxy SISFOH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Motivación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elegibilidad a Pensión 65 requiere, además de tener 65 años o más, estar clasificado como extremo pobre según el SISFOH. Sin embargo, el puntaje SISFOH oficial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está disponible en la ENAHO pública</w:t>
      </w:r>
      <w:r>
        <w:rPr>
          <w:rFonts w:ascii="Arial" w:cs="Arial" w:eastAsia="Arial" w:hAnsi="Arial"/>
          <w:sz w:val="22"/>
          <w:szCs w:val="22"/>
        </w:rPr>
        <w:t xml:space="preserve"> — la encuesta solo reporta la clasificación monetaria de pobreza (variable POBREZA), que es un concepto distinto al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proxy means test</w:t>
      </w:r>
      <w:r>
        <w:rPr>
          <w:rFonts w:ascii="Arial" w:cs="Arial" w:eastAsia="Arial" w:hAnsi="Arial"/>
          <w:sz w:val="22"/>
          <w:szCs w:val="22"/>
        </w:rPr>
        <w:t xml:space="preserve"> que usa el MIDIS.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Hallazgo crítico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88.7% de los receptores reales de Pensión 65 identificados en ENAHO 2024 (vía P5567A) tiene POBREZA = 3 (no pobre monetario). Solo el 11.3% tiene POBREZA = 1. Usar POBREZA == 1 como proxy del criterio SISFOH excluiría al 88.7% de los beneficiarios reales, generando un sesgo severo en la primera etapa del fuzzy RDD.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Metodología: PCA siguiendo Filmer &amp; Pritchett (2001)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construye un índice de bienestar del hogar mediante Análisis de Componentes Principales (ACP) sobre variables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predeterminadas al tratamiento</w:t>
      </w:r>
      <w:r>
        <w:rPr>
          <w:rFonts w:ascii="Arial" w:cs="Arial" w:eastAsia="Arial" w:hAnsi="Arial"/>
          <w:sz w:val="22"/>
          <w:szCs w:val="22"/>
        </w:rPr>
        <w:t xml:space="preserve"> — características del hogar que no pueden ser alteradas por la recepción de la transferencia. La referencia metodológica 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Filmer &amp; Pritchett (2001)</w:t>
      </w:r>
      <w:r>
        <w:rPr>
          <w:rFonts w:ascii="Arial" w:cs="Arial" w:eastAsia="Arial" w:hAnsi="Arial"/>
          <w:sz w:val="22"/>
          <w:szCs w:val="22"/>
        </w:rPr>
        <w:t xml:space="preserve">, estándar en la literatura de focalización para reconstruir índices de riqueza cuando el gasto es endógeno.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excluidas del PCA: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INGRESO_PC / POBREZA: </w:t>
      </w:r>
      <w:r>
        <w:rPr>
          <w:rFonts w:ascii="Arial" w:cs="Arial" w:eastAsia="Arial" w:hAnsi="Arial"/>
          <w:sz w:val="22"/>
          <w:szCs w:val="22"/>
        </w:rPr>
        <w:t xml:space="preserve">endógenas al tratamiento — la transferencia eleva el ingreso del hogar.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TIENE_BILLETERA: </w:t>
      </w:r>
      <w:r>
        <w:rPr>
          <w:rFonts w:ascii="Arial" w:cs="Arial" w:eastAsia="Arial" w:hAnsi="Arial"/>
          <w:sz w:val="22"/>
          <w:szCs w:val="22"/>
        </w:rPr>
        <w:t xml:space="preserve">es la variable de resultado; nunca puede ser input del índice.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LAVADORA (8.9%), LAPTOP, TABLET (0.1%): </w:t>
      </w:r>
      <w:r>
        <w:rPr>
          <w:rFonts w:ascii="Arial" w:cs="Arial" w:eastAsia="Arial" w:hAnsi="Arial"/>
          <w:sz w:val="22"/>
          <w:szCs w:val="22"/>
        </w:rPr>
        <w:t xml:space="preserve">varianza casi nula en adultos mayores en pobreza extrema.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MIEPERHO: </w:t>
      </w:r>
      <w:r>
        <w:rPr>
          <w:rFonts w:ascii="Arial" w:cs="Arial" w:eastAsia="Arial" w:hAnsi="Arial"/>
          <w:sz w:val="22"/>
          <w:szCs w:val="22"/>
        </w:rPr>
        <w:t xml:space="preserve">entra indirectamente vía HACINAMIENTO = MIEPERHO/P104; ingresarla directamente inflaría su peso.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Variables incluidas — aliases verificados en ENAHO 2024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exploración empírica confirmó que los nombres de columna difieren de ediciones anteriores de la encuesta (p.ej., P111A en lugar de P111 para saneamiento):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500"/>
        <w:gridCol w:w="650"/>
        <w:gridCol w:w="1800"/>
        <w:gridCol w:w="1810"/>
      </w:tblGrid>
      <w:tr>
        <w:trPr>
          <w:tblHeader/>
        </w:trPr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Alias ENAHO 2024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65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F&amp;P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Loading PC1</w:t>
            </w:r>
          </w:p>
        </w:tc>
        <w:tc>
          <w:tcPr>
            <w:tcW w:type="dxa" w:w="18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Vivienda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+0.355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↑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PISO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Vivienda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+0.356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↑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HACINAMIENTO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MIEPERHO/P104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Vivienda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+0.126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↑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ABASTAGUADOM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Vivienda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+0.301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↑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SERVSANIT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P111A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Vivienda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+0.413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↑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ALUMBRADO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P112A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Vivienda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+0.025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↑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COMBUSTIBLE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P113A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Vivienda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+0.406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↑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REFRIGERADOR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P612N=4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Bien durable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−0.291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↓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TIENE_TV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P612N=2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Bien durable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−0.378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↓ pobre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SMARTPHONE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P612N=10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Bien durable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−0.277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↓ pobre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F&amp;P = variable incluida en Filmer &amp; Pritchett (2001). HACINAMIENTO = MIEPERHO/P104. Los aliases P111A, P112A y P113A son específicos de ENAHO 2024.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Resultados del PCA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Varianza explicada por PC1: </w:t>
      </w:r>
      <w:r>
        <w:rPr>
          <w:rFonts w:ascii="Arial" w:cs="Arial" w:eastAsia="Arial" w:hAnsi="Arial"/>
          <w:sz w:val="22"/>
          <w:szCs w:val="22"/>
        </w:rPr>
        <w:t xml:space="preserve">31.4% — dentro del rango esperado para índices de bienestar con variables ordinales.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Verificación de coherencia económica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Correlación SISFOH_PROXY con POBREZA monetaria: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−0.372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(signo correcto: mayor índice = más pobre).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 cargas van en la dirección esperada: condiciones precarias de vivienda y saneamiento cargan positivo (↑ pobre); bienes como TV, refrigeradora y smartphone cargan negativo (↓ pobre). El índice tiene coherencia económica.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Resultado del RDD2 (proxy SISFOH como running variable)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 el índice SISFOH_PROXY centrado en el cutoff calibrado sobre adultos ≥ 65 años: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2400"/>
        <w:gridCol w:w="18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Estimador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 95%</w:t>
            </w:r>
          </w:p>
        </w:tc>
        <w:tc>
          <w:tcPr>
            <w:tcW w:type="dxa" w:w="1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BW / N ef.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TIENE_BILLETERA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−0.030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[−0.064, +0.004]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1.35 SD / 4,606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USA_BILLETERA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−0.006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[−0.013, +0.002]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0.81 SD / 2,775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rdrobust, kernel triangular, bandwidth MSE-óptimo. Ambos IC cruzan cero — resultado consistente con RDD1.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Robustez al ancho de banda (RDD1)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Observación del comité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comité señaló que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bandwidth MSE-óptimo h* = 18.04 años</w:t>
      </w:r>
      <w:r>
        <w:rPr>
          <w:rFonts w:ascii="Arial" w:cs="Arial" w:eastAsia="Arial" w:hAnsi="Arial"/>
          <w:sz w:val="22"/>
          <w:szCs w:val="22"/>
        </w:rPr>
        <w:t xml:space="preserve"> es amplio. Esta observación es metodológicamente válida: implica comparar personas de 47 con personas de 83, que pueden diferir en adopción digital por razones de edad no relacionadas con Pensión 65.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Respuesta metodológica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¿Por qué el bandwidth óptimo es amplio?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Con una running variable discreta (edad en años enteros) y una outcome binaria de baja prevalencia (7.9%), los estimadores MSE-óptimos de Calonico et al. (2014) necesitan más masa de datos para estimar el salto con precisión. Con h = 3–5 años quedan menos de 9,000 observaciones efectivas, reduciendo el poder estadístico.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Respuesta: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 demuestra que el resultado no depende del bandwidth elegido.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Análisis de sensibilidad — h ∈ {3, 5, 7, 10, 14, 18, 24} años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 marcaron dos referencias: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h* = 18.04</w:t>
      </w:r>
      <w:r>
        <w:rPr>
          <w:rFonts w:ascii="Arial" w:cs="Arial" w:eastAsia="Arial" w:hAnsi="Arial"/>
          <w:sz w:val="22"/>
          <w:szCs w:val="22"/>
        </w:rPr>
        <w:t xml:space="preserve"> (MSE-óptimo, Calonico et al. 2014)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 = 10</w:t>
      </w:r>
      <w:r>
        <w:rPr>
          <w:rFonts w:ascii="Arial" w:cs="Arial" w:eastAsia="Arial" w:hAnsi="Arial"/>
          <w:sz w:val="22"/>
          <w:szCs w:val="22"/>
        </w:rPr>
        <w:t xml:space="preserve"> (benchmark de Torres y Salinas 2016, único estudio previo con RDD en el umbral de edad 65 para Pensión 65).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50"/>
        <w:gridCol w:w="2100"/>
        <w:gridCol w:w="1050"/>
        <w:gridCol w:w="2100"/>
        <w:gridCol w:w="5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 (años)</w:t>
            </w:r>
          </w:p>
        </w:tc>
        <w:tc>
          <w:tcPr>
            <w:tcW w:type="dxa" w:w="105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Tiene Billetera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 95%</w:t>
            </w:r>
          </w:p>
        </w:tc>
        <w:tc>
          <w:tcPr>
            <w:tcW w:type="dxa" w:w="105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 Billetera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 95%</w:t>
            </w:r>
          </w:p>
        </w:tc>
        <w:tc>
          <w:tcPr>
            <w:tcW w:type="dxa" w:w="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ef.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[−0.047, +0.057]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[−0.024, +0.051]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6,891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−0.002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[−0.072, +0.069]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[−0.055, +0.063]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8,926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[−0.055, +0.055]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[−0.029, +0.055]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12,831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 — T&amp;S 2016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−0.008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[−0.055, +0.038]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[−0.033, +0.047]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18,649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−0.006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[−0.047, +0.035]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[−0.036, +0.042]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26,035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18 — MSE-ópt.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−0.002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[−0.040, +0.036]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[−0.034, +0.037]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33,267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[−0.033, +0.038]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0.005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[−0.028, +0.038]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43,200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Amarillo = h = 10 (Torres &amp; Salinas 2016). Azul claro = h = 18.04 (MSE-óptimo). Todos los IC al 95% cruzan cero.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Figura de sensibilidad</w:t>
      </w:r>
    </w:p>
    <w:p>
      <w:pPr>
        <w:spacing w:after="60" w:before="60"/>
        <w:jc w:val="center"/>
      </w:pPr>
      <w:r>
        <w:drawing>
          <wp:inline distT="0" distB="0" distL="0" distR="0">
            <wp:extent cx="5857875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1. Sensibilidad al ancho de banda — RDD1 (umbral de edad 65). Izquierda: TIENE_BILLETERA. Derecha: USA_BILLETERA. IC al 95% cruzan cero en todos los bandwidths para ambos outcomes.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Lectura de los resultados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 estimados rebotan alrededor de cero sin tendencia sistemática en ningún bandwidth ni para ningún outcome. El IC se estrecha progresivamente al aumentar h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exactamente lo esperado cuando el efecto verdadero es nulo</w:t>
      </w:r>
      <w:r>
        <w:rPr>
          <w:rFonts w:ascii="Arial" w:cs="Arial" w:eastAsia="Arial" w:hAnsi="Arial"/>
          <w:sz w:val="22"/>
          <w:szCs w:val="22"/>
        </w:rPr>
        <w:t xml:space="preserve">: mayor N mejora la precisión pero el centro no se desplaza.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 = 10 (Torres y Salinas 2016)</w:t>
      </w:r>
      <w:r>
        <w:rPr>
          <w:rFonts w:ascii="Arial" w:cs="Arial" w:eastAsia="Arial" w:hAnsi="Arial"/>
          <w:sz w:val="22"/>
          <w:szCs w:val="22"/>
        </w:rPr>
        <w:t xml:space="preserve">: −0.008 (tenencia) y +0.007 (uso activo), con IC que cruzan ampliamente cero. El resultado nulo no es un artefacto del criterio MSE-óptimo.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8E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Párrafo de robustez sugerido para la tesis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"La Figura 1 presenta el análisis de sensibilidad al ancho de banda para el RDD1. Los estimados permanecen estadísticamente indistinguibles de cero para todo h ∈ {3, 5, 7, 10, 14, 18, 24} años y para ambas variables de resultado. En el bandwidth de referencia de Torres y Salinas (2016), h = 10, los coeficientes son −0.008 (tenencia) y +0.007 (uso activo), con IC al 95% que cruzan cero ampliamente. El resultado nulo no es un artefacto del criterio MSE-óptimo de Calonico et al. (2014)."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Próximos pasos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Filtros de exclusión DS 081-2011-PCM: </w:t>
      </w:r>
      <w:r>
        <w:rPr>
          <w:rFonts w:ascii="Arial" w:cs="Arial" w:eastAsia="Arial" w:hAnsi="Arial"/>
          <w:sz w:val="22"/>
          <w:szCs w:val="22"/>
        </w:rPr>
        <w:t xml:space="preserve">incorporar incompatibilidad con pensiones contributivas (ONP/AFP).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de elegibilidad combinada: </w:t>
      </w:r>
      <w:r>
        <w:rPr>
          <w:rFonts w:ascii="Arial" w:cs="Arial" w:eastAsia="Arial" w:hAnsi="Arial"/>
          <w:sz w:val="22"/>
          <w:szCs w:val="22"/>
        </w:rPr>
        <w:t xml:space="preserve">reestimar el fuzzy RDD con umbral edad ≥ 65 + proxy SISFOH + filtros, para acercarse al LATE sobre beneficiarios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Tablas de robustez adicionales: </w:t>
      </w:r>
      <w:r>
        <w:rPr>
          <w:rFonts w:ascii="Arial" w:cs="Arial" w:eastAsia="Arial" w:hAnsi="Arial"/>
          <w:sz w:val="22"/>
          <w:szCs w:val="22"/>
        </w:rPr>
        <w:t xml:space="preserve">especificación cuadrática, prueba placebo con Juntos, y balance de covariables en el umbral SISFOH.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Vinculación con registros MIDIS: </w:t>
      </w:r>
      <w:r>
        <w:rPr>
          <w:rFonts w:ascii="Arial" w:cs="Arial" w:eastAsia="Arial" w:hAnsi="Arial"/>
          <w:sz w:val="22"/>
          <w:szCs w:val="22"/>
        </w:rPr>
        <w:t xml:space="preserve">(etapa posterior) validar elegibilidad observada vs. declarada contra registros administrativos.</w:t>
      </w:r>
    </w:p>
    <w:p>
      <w:pPr>
        <w:spacing w:after="120" w:before="0"/>
      </w:pPr>
      <w:r>
        <w:t xml:space="preserve"/>
      </w:r>
    </w:p>
    <w:sectPr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Vargas Risco | PUCP | Mayo 2026  —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891ca3bda372fef8bde290babe5d2c571ae829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2026-05-26T22:45:20.226Z</dcterms:created>
  <dcterms:modified xsi:type="dcterms:W3CDTF">2026-05-26T22:45:20.226Z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