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6BCFB"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r w:rsidRPr="008E7F3C">
        <w:rPr>
          <w:rFonts w:ascii="Candara" w:eastAsia="Aptos" w:hAnsi="Candara" w:cs="Calibri"/>
          <w:b/>
          <w:bCs/>
          <w:color w:val="000000"/>
          <w:kern w:val="0"/>
          <w:lang w:val="en-GB"/>
          <w14:ligatures w14:val="none"/>
        </w:rPr>
        <w:t>UNIVERSITY OF CAPE COAST</w:t>
      </w:r>
    </w:p>
    <w:p w14:paraId="026CCD38"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p>
    <w:p w14:paraId="23097D44"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r w:rsidRPr="008E7F3C">
        <w:rPr>
          <w:rFonts w:ascii="Candara" w:eastAsia="Aptos" w:hAnsi="Candara" w:cs="Calibri"/>
          <w:b/>
          <w:bCs/>
          <w:color w:val="000000"/>
          <w:kern w:val="0"/>
          <w:lang w:val="en-GB"/>
          <w14:ligatures w14:val="none"/>
        </w:rPr>
        <w:t>SCHOOL OF ECONOMICS</w:t>
      </w:r>
    </w:p>
    <w:p w14:paraId="3E175BB8"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r w:rsidRPr="008E7F3C">
        <w:rPr>
          <w:rFonts w:ascii="Candara" w:eastAsia="Aptos" w:hAnsi="Candara" w:cs="Calibri"/>
          <w:b/>
          <w:noProof/>
          <w:color w:val="000000"/>
          <w:kern w:val="0"/>
          <w14:ligatures w14:val="none"/>
        </w:rPr>
        <w:drawing>
          <wp:inline distT="0" distB="0" distL="0" distR="0" wp14:anchorId="0D9FFF05" wp14:editId="4E0712B2">
            <wp:extent cx="883920" cy="1028700"/>
            <wp:effectExtent l="0" t="0" r="0" b="0"/>
            <wp:docPr id="3" name="Picture 1678924555"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924555" descr="A logo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3920" cy="1028700"/>
                    </a:xfrm>
                    <a:prstGeom prst="rect">
                      <a:avLst/>
                    </a:prstGeom>
                    <a:noFill/>
                    <a:ln>
                      <a:noFill/>
                    </a:ln>
                  </pic:spPr>
                </pic:pic>
              </a:graphicData>
            </a:graphic>
          </wp:inline>
        </w:drawing>
      </w:r>
    </w:p>
    <w:p w14:paraId="21266D4C"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r w:rsidRPr="008E7F3C">
        <w:rPr>
          <w:rFonts w:ascii="Candara" w:eastAsia="Aptos" w:hAnsi="Candara" w:cs="Calibri"/>
          <w:b/>
          <w:bCs/>
          <w:color w:val="000000"/>
          <w:kern w:val="0"/>
          <w:lang w:val="en-GB"/>
          <w14:ligatures w14:val="none"/>
        </w:rPr>
        <w:t>DEPARTMENT OF DATA SCIENCE AND ECONOMIC POLICY</w:t>
      </w:r>
    </w:p>
    <w:p w14:paraId="5A3BD313"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p>
    <w:p w14:paraId="441D7145"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r w:rsidRPr="008E7F3C">
        <w:rPr>
          <w:rFonts w:ascii="Candara" w:eastAsia="Aptos" w:hAnsi="Candara" w:cs="Calibri"/>
          <w:b/>
          <w:bCs/>
          <w:color w:val="000000"/>
          <w:kern w:val="0"/>
          <w:lang w:val="en-GB"/>
          <w14:ligatures w14:val="none"/>
        </w:rPr>
        <w:t>COURSE: DATA CURATION AND MANAGEMENT</w:t>
      </w:r>
    </w:p>
    <w:p w14:paraId="388F3716"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r w:rsidRPr="008E7F3C">
        <w:rPr>
          <w:rFonts w:ascii="Candara" w:eastAsia="Aptos" w:hAnsi="Candara" w:cs="Calibri"/>
          <w:b/>
          <w:bCs/>
          <w:color w:val="000000"/>
          <w:kern w:val="0"/>
          <w:lang w:val="en-GB"/>
          <w14:ligatures w14:val="none"/>
        </w:rPr>
        <w:t>COURSE TITLE: DMA820</w:t>
      </w:r>
    </w:p>
    <w:p w14:paraId="69412AB8"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p>
    <w:p w14:paraId="0410CBFC" w14:textId="77777777" w:rsidR="00E25F68" w:rsidRPr="008E7F3C" w:rsidRDefault="00E25F68" w:rsidP="00E014B6">
      <w:pPr>
        <w:spacing w:line="256" w:lineRule="auto"/>
        <w:jc w:val="center"/>
        <w:rPr>
          <w:rFonts w:ascii="Candara" w:eastAsia="Aptos" w:hAnsi="Candara" w:cs="Calibri"/>
          <w:b/>
          <w:bCs/>
          <w:color w:val="000000"/>
          <w:kern w:val="0"/>
          <w:lang w:val="en-GB"/>
          <w14:ligatures w14:val="none"/>
        </w:rPr>
      </w:pPr>
      <w:r w:rsidRPr="008E7F3C">
        <w:rPr>
          <w:rFonts w:ascii="Candara" w:eastAsia="Aptos" w:hAnsi="Candara" w:cs="Calibri"/>
          <w:b/>
          <w:bCs/>
          <w:color w:val="000000"/>
          <w:kern w:val="0"/>
          <w:lang w:val="en-GB"/>
          <w14:ligatures w14:val="none"/>
        </w:rPr>
        <w:t>LECTURER: RAYMOND E. KOFINTI(PhD)</w:t>
      </w:r>
    </w:p>
    <w:p w14:paraId="136E2EAF" w14:textId="77777777" w:rsidR="00E25F68" w:rsidRPr="008E7F3C" w:rsidRDefault="00E25F68" w:rsidP="00E014B6">
      <w:pPr>
        <w:spacing w:line="256" w:lineRule="auto"/>
        <w:ind w:left="720" w:firstLine="720"/>
        <w:jc w:val="center"/>
        <w:rPr>
          <w:rFonts w:ascii="Candara" w:eastAsia="Aptos" w:hAnsi="Candara" w:cs="Calibri"/>
          <w:b/>
          <w:bCs/>
          <w:color w:val="000000"/>
          <w:kern w:val="0"/>
          <w:lang w:val="en-GB"/>
          <w14:ligatures w14:val="none"/>
        </w:rPr>
      </w:pPr>
    </w:p>
    <w:p w14:paraId="0501A288" w14:textId="2EAF9D68" w:rsidR="00E25F68" w:rsidRPr="008E7F3C" w:rsidRDefault="00E25F68" w:rsidP="00E014B6">
      <w:pPr>
        <w:spacing w:line="256" w:lineRule="auto"/>
        <w:jc w:val="center"/>
        <w:rPr>
          <w:rFonts w:ascii="Candara" w:eastAsia="Aptos" w:hAnsi="Candara" w:cs="Calibri"/>
          <w:b/>
          <w:bCs/>
          <w:color w:val="000000"/>
          <w:kern w:val="0"/>
          <w:lang w:val="en-GB"/>
          <w14:ligatures w14:val="none"/>
        </w:rPr>
      </w:pPr>
      <w:r w:rsidRPr="008E7F3C">
        <w:rPr>
          <w:rFonts w:ascii="Candara" w:eastAsia="Aptos" w:hAnsi="Candara" w:cs="Calibri"/>
          <w:b/>
          <w:bCs/>
          <w:color w:val="000000"/>
          <w:kern w:val="0"/>
          <w:lang w:val="en-GB"/>
          <w14:ligatures w14:val="none"/>
        </w:rPr>
        <w:t xml:space="preserve">ASSIGNMENT </w:t>
      </w:r>
      <w:r w:rsidR="000649A3">
        <w:rPr>
          <w:rFonts w:ascii="Candara" w:eastAsia="Aptos" w:hAnsi="Candara" w:cs="Calibri"/>
          <w:b/>
          <w:bCs/>
          <w:color w:val="000000"/>
          <w:kern w:val="0"/>
          <w:lang w:val="en-GB"/>
          <w14:ligatures w14:val="none"/>
        </w:rPr>
        <w:t>2</w:t>
      </w:r>
      <w:r w:rsidRPr="008E7F3C">
        <w:rPr>
          <w:rFonts w:ascii="Candara" w:eastAsia="Aptos" w:hAnsi="Candara" w:cs="Calibri"/>
          <w:b/>
          <w:bCs/>
          <w:color w:val="000000"/>
          <w:kern w:val="0"/>
          <w:lang w:val="en-GB"/>
          <w14:ligatures w14:val="none"/>
        </w:rPr>
        <w:t xml:space="preserve"> 2024/2025 ACADEMIC YEAR</w:t>
      </w:r>
    </w:p>
    <w:p w14:paraId="2AC4DC4D" w14:textId="2BEAD920" w:rsidR="00E25F68" w:rsidRPr="008E7F3C" w:rsidRDefault="003B7476" w:rsidP="00E014B6">
      <w:pPr>
        <w:spacing w:line="256" w:lineRule="auto"/>
        <w:jc w:val="center"/>
        <w:rPr>
          <w:rFonts w:ascii="Candara" w:eastAsia="Aptos" w:hAnsi="Candara" w:cs="Calibri"/>
          <w:b/>
          <w:bCs/>
          <w:color w:val="000000"/>
          <w:kern w:val="0"/>
          <w:lang w:val="en-GB"/>
          <w14:ligatures w14:val="none"/>
        </w:rPr>
      </w:pPr>
      <w:r>
        <w:rPr>
          <w:rFonts w:ascii="Candara" w:eastAsia="Aptos" w:hAnsi="Candara" w:cs="Calibri"/>
          <w:b/>
          <w:bCs/>
          <w:color w:val="000000"/>
          <w:kern w:val="0"/>
          <w:lang w:val="en-GB"/>
          <w14:ligatures w14:val="none"/>
        </w:rPr>
        <w:t xml:space="preserve">       </w:t>
      </w:r>
      <w:r w:rsidR="00E25F68" w:rsidRPr="008E7F3C">
        <w:rPr>
          <w:rFonts w:ascii="Candara" w:eastAsia="Aptos" w:hAnsi="Candara" w:cs="Calibri"/>
          <w:b/>
          <w:bCs/>
          <w:color w:val="000000"/>
          <w:kern w:val="0"/>
          <w:lang w:val="en-GB"/>
          <w14:ligatures w14:val="none"/>
        </w:rPr>
        <w:t>BY</w:t>
      </w:r>
    </w:p>
    <w:tbl>
      <w:tblPr>
        <w:tblStyle w:val="TableGrid"/>
        <w:tblW w:w="102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920"/>
      </w:tblGrid>
      <w:tr w:rsidR="00E25F68" w:rsidRPr="008E7F3C" w14:paraId="5275D602" w14:textId="77777777">
        <w:trPr>
          <w:trHeight w:val="2724"/>
        </w:trPr>
        <w:tc>
          <w:tcPr>
            <w:tcW w:w="5310" w:type="dxa"/>
          </w:tcPr>
          <w:p w14:paraId="5D4445D8" w14:textId="77777777" w:rsidR="00E25F68" w:rsidRPr="008E7F3C" w:rsidRDefault="00E25F68" w:rsidP="00E014B6">
            <w:pPr>
              <w:spacing w:line="256" w:lineRule="auto"/>
              <w:jc w:val="center"/>
              <w:rPr>
                <w:rFonts w:ascii="Candara" w:hAnsi="Candara" w:cs="Calibri"/>
                <w:b/>
                <w:sz w:val="24"/>
                <w:szCs w:val="24"/>
              </w:rPr>
            </w:pPr>
          </w:p>
          <w:p w14:paraId="1F386170" w14:textId="77777777" w:rsidR="00E25F68" w:rsidRPr="008E7F3C" w:rsidRDefault="00E25F68" w:rsidP="00E014B6">
            <w:pPr>
              <w:spacing w:line="256" w:lineRule="auto"/>
              <w:jc w:val="center"/>
              <w:rPr>
                <w:rFonts w:ascii="Candara" w:hAnsi="Candara" w:cs="Calibri"/>
                <w:b/>
                <w:sz w:val="24"/>
                <w:szCs w:val="24"/>
              </w:rPr>
            </w:pPr>
            <w:r w:rsidRPr="008E7F3C">
              <w:rPr>
                <w:rFonts w:ascii="Candara" w:hAnsi="Candara" w:cs="Calibri"/>
                <w:b/>
                <w:sz w:val="24"/>
                <w:szCs w:val="24"/>
              </w:rPr>
              <w:t>CECILIA ACHEAMPOMAAH DWOMOH</w:t>
            </w:r>
          </w:p>
        </w:tc>
        <w:tc>
          <w:tcPr>
            <w:tcW w:w="4920" w:type="dxa"/>
          </w:tcPr>
          <w:p w14:paraId="50FEC3BA" w14:textId="77777777" w:rsidR="00E25F68" w:rsidRPr="008E7F3C" w:rsidRDefault="00E25F68" w:rsidP="00E014B6">
            <w:pPr>
              <w:spacing w:line="256" w:lineRule="auto"/>
              <w:jc w:val="center"/>
              <w:rPr>
                <w:rFonts w:ascii="Candara" w:hAnsi="Candara" w:cs="Calibri"/>
                <w:sz w:val="24"/>
                <w:szCs w:val="24"/>
              </w:rPr>
            </w:pPr>
          </w:p>
          <w:p w14:paraId="58A79FB2" w14:textId="3F47FD09" w:rsidR="00E25F68" w:rsidRPr="008E7F3C" w:rsidRDefault="00E25F68" w:rsidP="00E014B6">
            <w:pPr>
              <w:spacing w:line="256" w:lineRule="auto"/>
              <w:jc w:val="center"/>
              <w:rPr>
                <w:rFonts w:ascii="Candara" w:hAnsi="Candara" w:cs="Calibri"/>
                <w:b/>
                <w:bCs/>
                <w:sz w:val="24"/>
                <w:szCs w:val="24"/>
              </w:rPr>
            </w:pPr>
            <w:r w:rsidRPr="008E7F3C">
              <w:rPr>
                <w:rFonts w:ascii="Candara" w:hAnsi="Candara" w:cs="Calibri"/>
                <w:b/>
                <w:bCs/>
                <w:sz w:val="24"/>
                <w:szCs w:val="24"/>
              </w:rPr>
              <w:t>SE/DMD/24/0026</w:t>
            </w:r>
          </w:p>
          <w:p w14:paraId="31A6436F" w14:textId="77777777" w:rsidR="00E25F68" w:rsidRPr="008E7F3C" w:rsidRDefault="00E25F68" w:rsidP="00E014B6">
            <w:pPr>
              <w:spacing w:line="256" w:lineRule="auto"/>
              <w:jc w:val="center"/>
              <w:rPr>
                <w:rFonts w:ascii="Candara" w:hAnsi="Candara" w:cs="Calibri"/>
                <w:sz w:val="24"/>
                <w:szCs w:val="24"/>
              </w:rPr>
            </w:pPr>
          </w:p>
        </w:tc>
      </w:tr>
    </w:tbl>
    <w:p w14:paraId="14D6CA99" w14:textId="77777777" w:rsidR="00E25F68" w:rsidRPr="008E7F3C" w:rsidRDefault="00E25F68" w:rsidP="003A4509">
      <w:pPr>
        <w:rPr>
          <w:rFonts w:ascii="Candara" w:hAnsi="Candara"/>
        </w:rPr>
      </w:pPr>
    </w:p>
    <w:p w14:paraId="0683892B" w14:textId="77777777" w:rsidR="00E25F68" w:rsidRPr="008E7F3C" w:rsidRDefault="00E25F68" w:rsidP="003A4509">
      <w:pPr>
        <w:rPr>
          <w:rFonts w:ascii="Candara" w:hAnsi="Candara"/>
        </w:rPr>
      </w:pPr>
    </w:p>
    <w:p w14:paraId="379B6204" w14:textId="77777777" w:rsidR="00E25F68" w:rsidRPr="008E7F3C" w:rsidRDefault="00E25F68" w:rsidP="003A4509">
      <w:pPr>
        <w:rPr>
          <w:rFonts w:ascii="Candara" w:hAnsi="Candara"/>
        </w:rPr>
      </w:pPr>
    </w:p>
    <w:p w14:paraId="6A785E29" w14:textId="77777777" w:rsidR="00E25F68" w:rsidRPr="008E7F3C" w:rsidRDefault="00E25F68" w:rsidP="003A4509">
      <w:pPr>
        <w:rPr>
          <w:rFonts w:ascii="Candara" w:hAnsi="Candara"/>
        </w:rPr>
      </w:pPr>
    </w:p>
    <w:p w14:paraId="5D573330" w14:textId="77777777" w:rsidR="00E25F68" w:rsidRPr="008E7F3C" w:rsidRDefault="00E25F68" w:rsidP="003A4509">
      <w:pPr>
        <w:rPr>
          <w:rFonts w:ascii="Candara" w:hAnsi="Candara"/>
        </w:rPr>
      </w:pPr>
    </w:p>
    <w:p w14:paraId="70CAB359" w14:textId="77777777" w:rsidR="00E25F68" w:rsidRPr="008E7F3C" w:rsidRDefault="00E25F68" w:rsidP="003A4509">
      <w:pPr>
        <w:rPr>
          <w:rFonts w:ascii="Candara" w:hAnsi="Candara" w:cs="Calibri"/>
          <w:b/>
          <w:bCs/>
        </w:rPr>
      </w:pPr>
      <w:r w:rsidRPr="008E7F3C">
        <w:rPr>
          <w:rFonts w:ascii="Candara" w:hAnsi="Candara" w:cs="Calibri"/>
          <w:b/>
          <w:bCs/>
        </w:rPr>
        <w:lastRenderedPageBreak/>
        <w:t>ANSWERS TO THE QUESTIONS</w:t>
      </w:r>
    </w:p>
    <w:p w14:paraId="248C6388" w14:textId="2A20E65E" w:rsidR="00E25F68" w:rsidRPr="008E7F3C" w:rsidRDefault="00E25F68" w:rsidP="003A4509">
      <w:pPr>
        <w:rPr>
          <w:rFonts w:ascii="Candara" w:hAnsi="Candara"/>
          <w:b/>
          <w:bCs/>
        </w:rPr>
      </w:pPr>
      <w:r w:rsidRPr="008E7F3C">
        <w:rPr>
          <w:rFonts w:ascii="Candara" w:hAnsi="Candara"/>
          <w:b/>
          <w:bCs/>
        </w:rPr>
        <w:t>Q1. Outlining six data quality performance indicators recommendable for meeti</w:t>
      </w:r>
      <w:r w:rsidR="004B042A" w:rsidRPr="008E7F3C">
        <w:rPr>
          <w:rFonts w:ascii="Candara" w:hAnsi="Candara"/>
          <w:b/>
          <w:bCs/>
        </w:rPr>
        <w:t>n</w:t>
      </w:r>
      <w:r w:rsidRPr="008E7F3C">
        <w:rPr>
          <w:rFonts w:ascii="Candara" w:hAnsi="Candara"/>
          <w:b/>
          <w:bCs/>
        </w:rPr>
        <w:t>g the vision of NaSIA.”</w:t>
      </w:r>
    </w:p>
    <w:p w14:paraId="21B766BF" w14:textId="45069BE6" w:rsidR="00E25F68" w:rsidRPr="008E7F3C" w:rsidRDefault="00E25F68" w:rsidP="00685DAA">
      <w:pPr>
        <w:spacing w:after="0"/>
        <w:rPr>
          <w:rFonts w:ascii="Candara" w:hAnsi="Candara"/>
        </w:rPr>
      </w:pPr>
      <w:r w:rsidRPr="008E7F3C">
        <w:rPr>
          <w:rFonts w:ascii="Candara" w:hAnsi="Candara"/>
        </w:rPr>
        <w:t xml:space="preserve">The National Schools Inspectorate Authority (NaSIA) </w:t>
      </w:r>
      <w:r w:rsidR="004A0821" w:rsidRPr="008E7F3C">
        <w:rPr>
          <w:rFonts w:ascii="Candara" w:hAnsi="Candara"/>
        </w:rPr>
        <w:t>en</w:t>
      </w:r>
      <w:r w:rsidRPr="008E7F3C">
        <w:rPr>
          <w:rFonts w:ascii="Candara" w:hAnsi="Candara"/>
        </w:rPr>
        <w:t>vision</w:t>
      </w:r>
      <w:r w:rsidR="004A0821" w:rsidRPr="008E7F3C">
        <w:rPr>
          <w:rFonts w:ascii="Candara" w:hAnsi="Candara"/>
        </w:rPr>
        <w:t>s “</w:t>
      </w:r>
      <w:r w:rsidR="004A0821" w:rsidRPr="008E7F3C">
        <w:rPr>
          <w:rFonts w:ascii="Candara" w:hAnsi="Candara"/>
          <w:b/>
          <w:bCs/>
          <w:i/>
          <w:iCs/>
        </w:rPr>
        <w:t xml:space="preserve">being </w:t>
      </w:r>
      <w:r w:rsidRPr="008E7F3C">
        <w:rPr>
          <w:rFonts w:ascii="Candara" w:hAnsi="Candara"/>
          <w:b/>
          <w:bCs/>
          <w:i/>
          <w:iCs/>
        </w:rPr>
        <w:t>a Regulator that generates and utilizes evidence to improve learning outcomes in all Pre-tertiary educational institutions and further helps to create a purpose-driven pre-tertiary education system in Ghana</w:t>
      </w:r>
      <w:r w:rsidRPr="008E7F3C">
        <w:rPr>
          <w:rFonts w:ascii="Candara" w:hAnsi="Candara"/>
        </w:rPr>
        <w:t>”.</w:t>
      </w:r>
    </w:p>
    <w:p w14:paraId="0045D4BA" w14:textId="3E1DFEF3" w:rsidR="00E25F68" w:rsidRPr="008E7F3C" w:rsidRDefault="004A0821" w:rsidP="00685DAA">
      <w:pPr>
        <w:spacing w:after="0"/>
        <w:rPr>
          <w:rFonts w:ascii="Candara" w:hAnsi="Candara"/>
        </w:rPr>
      </w:pPr>
      <w:r w:rsidRPr="008E7F3C">
        <w:rPr>
          <w:rFonts w:ascii="Candara" w:hAnsi="Candara"/>
        </w:rPr>
        <w:t xml:space="preserve">To realize this vision and effectively regulate and uplifts standards across Ghana’s pre-tertiary education sector, there is a critical need for </w:t>
      </w:r>
      <w:r w:rsidR="00E25F68" w:rsidRPr="008E7F3C">
        <w:rPr>
          <w:rFonts w:ascii="Candara" w:hAnsi="Candara"/>
        </w:rPr>
        <w:t xml:space="preserve">high-quality, reliable, timely and actionable data. </w:t>
      </w:r>
      <w:r w:rsidRPr="008E7F3C">
        <w:rPr>
          <w:rFonts w:ascii="Candara" w:hAnsi="Candara"/>
        </w:rPr>
        <w:t xml:space="preserve">This underscores the importance of adopting strong data quality performance indicators. </w:t>
      </w:r>
      <w:r w:rsidR="00E25F68" w:rsidRPr="008E7F3C">
        <w:rPr>
          <w:rFonts w:ascii="Candara" w:hAnsi="Candara"/>
        </w:rPr>
        <w:t xml:space="preserve">The following six data quality performance indicators are crucial to achieving </w:t>
      </w:r>
      <w:r w:rsidRPr="008E7F3C">
        <w:rPr>
          <w:rFonts w:ascii="Candara" w:hAnsi="Candara"/>
        </w:rPr>
        <w:t>NaSIA’s vision</w:t>
      </w:r>
      <w:r w:rsidR="00E25F68" w:rsidRPr="008E7F3C">
        <w:rPr>
          <w:rFonts w:ascii="Candara" w:hAnsi="Candara"/>
        </w:rPr>
        <w:t>:</w:t>
      </w:r>
    </w:p>
    <w:p w14:paraId="398BA247" w14:textId="05776D8F" w:rsidR="004A0821" w:rsidRPr="00C34038" w:rsidRDefault="004A0821" w:rsidP="00C34038">
      <w:pPr>
        <w:pStyle w:val="ListParagraph"/>
        <w:numPr>
          <w:ilvl w:val="0"/>
          <w:numId w:val="1"/>
        </w:numPr>
        <w:spacing w:after="0"/>
        <w:rPr>
          <w:rFonts w:ascii="Candara" w:hAnsi="Candara"/>
          <w:b/>
          <w:bCs/>
        </w:rPr>
      </w:pPr>
      <w:r w:rsidRPr="00C34038">
        <w:rPr>
          <w:rFonts w:ascii="Candara" w:hAnsi="Candara"/>
          <w:b/>
          <w:bCs/>
        </w:rPr>
        <w:t>Data Accuracy</w:t>
      </w:r>
    </w:p>
    <w:p w14:paraId="19953CE6" w14:textId="557408E0" w:rsidR="00C34038" w:rsidRDefault="004A0821" w:rsidP="00C34038">
      <w:pPr>
        <w:spacing w:after="0"/>
        <w:rPr>
          <w:rFonts w:ascii="Candara" w:hAnsi="Candara"/>
        </w:rPr>
      </w:pPr>
      <w:r w:rsidRPr="008E7F3C">
        <w:rPr>
          <w:rFonts w:ascii="Candara" w:hAnsi="Candara"/>
        </w:rPr>
        <w:t xml:space="preserve">Data Accuracy refers to </w:t>
      </w:r>
      <w:r w:rsidR="00A17BE6" w:rsidRPr="008E7F3C">
        <w:rPr>
          <w:rFonts w:ascii="Candara" w:hAnsi="Candara"/>
        </w:rPr>
        <w:t xml:space="preserve">how well </w:t>
      </w:r>
      <w:r w:rsidR="000649A3">
        <w:rPr>
          <w:rFonts w:ascii="Candara" w:hAnsi="Candara"/>
        </w:rPr>
        <w:t xml:space="preserve">data </w:t>
      </w:r>
      <w:r w:rsidR="00A17BE6" w:rsidRPr="008E7F3C">
        <w:rPr>
          <w:rFonts w:ascii="Candara" w:hAnsi="Candara"/>
        </w:rPr>
        <w:t>collected reflects the true conditions of pre-tertiary schools</w:t>
      </w:r>
      <w:r w:rsidR="004B042A" w:rsidRPr="008E7F3C">
        <w:rPr>
          <w:rFonts w:ascii="Candara" w:hAnsi="Candara"/>
        </w:rPr>
        <w:t xml:space="preserve">. For instance, </w:t>
      </w:r>
      <w:r w:rsidR="000649A3">
        <w:rPr>
          <w:rFonts w:ascii="Candara" w:hAnsi="Candara"/>
        </w:rPr>
        <w:t>a</w:t>
      </w:r>
      <w:r w:rsidR="00A17BE6" w:rsidRPr="008E7F3C">
        <w:rPr>
          <w:rFonts w:ascii="Candara" w:hAnsi="Candara"/>
        </w:rPr>
        <w:t xml:space="preserve">ccurate information on </w:t>
      </w:r>
      <w:r w:rsidR="004B042A" w:rsidRPr="008E7F3C">
        <w:rPr>
          <w:rFonts w:ascii="Candara" w:hAnsi="Candara"/>
        </w:rPr>
        <w:t xml:space="preserve">school leadership bio-data, enrollment figures, teacher qualification, infrastructure availability and </w:t>
      </w:r>
      <w:r w:rsidR="00A0744E" w:rsidRPr="008E7F3C">
        <w:rPr>
          <w:rFonts w:ascii="Candara" w:hAnsi="Candara"/>
        </w:rPr>
        <w:t>conditions,</w:t>
      </w:r>
      <w:r w:rsidR="004B042A" w:rsidRPr="008E7F3C">
        <w:rPr>
          <w:rFonts w:ascii="Candara" w:hAnsi="Candara"/>
        </w:rPr>
        <w:t xml:space="preserve"> </w:t>
      </w:r>
      <w:r w:rsidR="00A0744E" w:rsidRPr="008E7F3C">
        <w:rPr>
          <w:rFonts w:ascii="Candara" w:hAnsi="Candara"/>
        </w:rPr>
        <w:t xml:space="preserve">teaching and learning </w:t>
      </w:r>
      <w:r w:rsidR="00A17BE6" w:rsidRPr="008E7F3C">
        <w:rPr>
          <w:rFonts w:ascii="Candara" w:hAnsi="Candara"/>
        </w:rPr>
        <w:t>resources</w:t>
      </w:r>
      <w:r w:rsidR="00A0744E" w:rsidRPr="008E7F3C">
        <w:rPr>
          <w:rFonts w:ascii="Candara" w:hAnsi="Candara"/>
        </w:rPr>
        <w:t>, and learner</w:t>
      </w:r>
      <w:r w:rsidR="004B042A" w:rsidRPr="008E7F3C">
        <w:rPr>
          <w:rFonts w:ascii="Candara" w:hAnsi="Candara"/>
        </w:rPr>
        <w:t xml:space="preserve"> </w:t>
      </w:r>
      <w:r w:rsidR="00A0744E" w:rsidRPr="008E7F3C">
        <w:rPr>
          <w:rFonts w:ascii="Candara" w:hAnsi="Candara"/>
        </w:rPr>
        <w:t xml:space="preserve">performance </w:t>
      </w:r>
      <w:r w:rsidR="00A17BE6" w:rsidRPr="008E7F3C">
        <w:rPr>
          <w:rFonts w:ascii="Candara" w:hAnsi="Candara"/>
        </w:rPr>
        <w:t>i</w:t>
      </w:r>
      <w:r w:rsidR="00A0744E" w:rsidRPr="008E7F3C">
        <w:rPr>
          <w:rFonts w:ascii="Candara" w:hAnsi="Candara"/>
        </w:rPr>
        <w:t xml:space="preserve">s </w:t>
      </w:r>
      <w:r w:rsidR="00A17BE6" w:rsidRPr="008E7F3C">
        <w:rPr>
          <w:rFonts w:ascii="Candara" w:hAnsi="Candara"/>
        </w:rPr>
        <w:t>essential for producing reliable inspection reports</w:t>
      </w:r>
      <w:r w:rsidR="0062234C" w:rsidRPr="008E7F3C">
        <w:rPr>
          <w:rFonts w:ascii="Candara" w:hAnsi="Candara"/>
        </w:rPr>
        <w:t xml:space="preserve">. </w:t>
      </w:r>
      <w:r w:rsidR="00A0744E" w:rsidRPr="008E7F3C">
        <w:rPr>
          <w:rFonts w:ascii="Candara" w:hAnsi="Candara"/>
        </w:rPr>
        <w:t>Inaccura</w:t>
      </w:r>
      <w:r w:rsidR="0062234C" w:rsidRPr="008E7F3C">
        <w:rPr>
          <w:rFonts w:ascii="Candara" w:hAnsi="Candara"/>
        </w:rPr>
        <w:t>cies in</w:t>
      </w:r>
      <w:r w:rsidR="00A0744E" w:rsidRPr="008E7F3C">
        <w:rPr>
          <w:rFonts w:ascii="Candara" w:hAnsi="Candara"/>
        </w:rPr>
        <w:t xml:space="preserve"> data</w:t>
      </w:r>
      <w:r w:rsidR="0062234C" w:rsidRPr="008E7F3C">
        <w:rPr>
          <w:rFonts w:ascii="Candara" w:hAnsi="Candara"/>
        </w:rPr>
        <w:t xml:space="preserve"> can</w:t>
      </w:r>
      <w:r w:rsidR="00A0744E" w:rsidRPr="008E7F3C">
        <w:rPr>
          <w:rFonts w:ascii="Candara" w:hAnsi="Candara"/>
        </w:rPr>
        <w:t xml:space="preserve"> lead to flawed </w:t>
      </w:r>
      <w:r w:rsidR="0062234C" w:rsidRPr="008E7F3C">
        <w:rPr>
          <w:rFonts w:ascii="Candara" w:hAnsi="Candara"/>
        </w:rPr>
        <w:t>evaluations,</w:t>
      </w:r>
      <w:r w:rsidR="00A0744E" w:rsidRPr="008E7F3C">
        <w:rPr>
          <w:rFonts w:ascii="Candara" w:hAnsi="Candara"/>
        </w:rPr>
        <w:t xml:space="preserve"> misinformed</w:t>
      </w:r>
      <w:r w:rsidR="0062234C" w:rsidRPr="008E7F3C">
        <w:rPr>
          <w:rFonts w:ascii="Candara" w:hAnsi="Candara"/>
        </w:rPr>
        <w:t xml:space="preserve"> policy</w:t>
      </w:r>
      <w:r w:rsidR="00A0744E" w:rsidRPr="008E7F3C">
        <w:rPr>
          <w:rFonts w:ascii="Candara" w:hAnsi="Candara"/>
        </w:rPr>
        <w:t xml:space="preserve"> decisions, and ineffective interventions.</w:t>
      </w:r>
      <w:r w:rsidR="00A17BE6" w:rsidRPr="008E7F3C">
        <w:rPr>
          <w:rFonts w:ascii="Candara" w:hAnsi="Candara"/>
        </w:rPr>
        <w:t xml:space="preserve"> </w:t>
      </w:r>
      <w:r w:rsidR="0062234C" w:rsidRPr="008E7F3C">
        <w:rPr>
          <w:rFonts w:ascii="Candara" w:hAnsi="Candara"/>
        </w:rPr>
        <w:t xml:space="preserve">While </w:t>
      </w:r>
      <w:r w:rsidR="00A17BE6" w:rsidRPr="008E7F3C">
        <w:rPr>
          <w:rFonts w:ascii="Candara" w:hAnsi="Candara"/>
        </w:rPr>
        <w:t xml:space="preserve">NaSIA currently </w:t>
      </w:r>
      <w:r w:rsidR="0062234C" w:rsidRPr="008E7F3C">
        <w:rPr>
          <w:rFonts w:ascii="Candara" w:hAnsi="Candara"/>
        </w:rPr>
        <w:t xml:space="preserve">contracts experienced retirees as Inspectors, many of them face challenges with digital data capture tools, which impacts data. </w:t>
      </w:r>
      <w:r w:rsidR="00A17BE6" w:rsidRPr="008E7F3C">
        <w:rPr>
          <w:rFonts w:ascii="Candara" w:hAnsi="Candara"/>
        </w:rPr>
        <w:t xml:space="preserve"> </w:t>
      </w:r>
      <w:r w:rsidR="0062234C" w:rsidRPr="008E7F3C">
        <w:rPr>
          <w:rFonts w:ascii="Candara" w:hAnsi="Candara"/>
        </w:rPr>
        <w:t xml:space="preserve">To enhance accuracy, the Authority should consider recruiting younger, tech-savvy individuals and providing continuous training on digital tools and Inspection protocols. </w:t>
      </w:r>
    </w:p>
    <w:p w14:paraId="1355DF08" w14:textId="77777777" w:rsidR="000649A3" w:rsidRPr="000649A3" w:rsidRDefault="000649A3" w:rsidP="00C34038">
      <w:pPr>
        <w:spacing w:after="0"/>
        <w:rPr>
          <w:rFonts w:ascii="Candara" w:hAnsi="Candara"/>
          <w:sz w:val="8"/>
          <w:szCs w:val="8"/>
        </w:rPr>
      </w:pPr>
    </w:p>
    <w:p w14:paraId="2F21A3DC" w14:textId="05A7BCA2" w:rsidR="003B7B84" w:rsidRPr="00C34038" w:rsidRDefault="003B7B84" w:rsidP="00B40A0C">
      <w:pPr>
        <w:pStyle w:val="ListParagraph"/>
        <w:numPr>
          <w:ilvl w:val="0"/>
          <w:numId w:val="1"/>
        </w:numPr>
        <w:spacing w:after="0" w:line="240" w:lineRule="auto"/>
        <w:rPr>
          <w:rFonts w:ascii="Candara" w:hAnsi="Candara"/>
          <w:b/>
          <w:bCs/>
        </w:rPr>
      </w:pPr>
      <w:r w:rsidRPr="00C34038">
        <w:rPr>
          <w:rFonts w:ascii="Candara" w:hAnsi="Candara"/>
          <w:b/>
          <w:bCs/>
        </w:rPr>
        <w:t>Data timelines</w:t>
      </w:r>
    </w:p>
    <w:p w14:paraId="4E7E9D64" w14:textId="5B9F3161" w:rsidR="00C34038" w:rsidRDefault="003B7B84" w:rsidP="00B40A0C">
      <w:pPr>
        <w:spacing w:after="0" w:line="240" w:lineRule="auto"/>
        <w:rPr>
          <w:rFonts w:ascii="Candara" w:hAnsi="Candara"/>
        </w:rPr>
      </w:pPr>
      <w:r w:rsidRPr="008E7F3C">
        <w:rPr>
          <w:rFonts w:ascii="Candara" w:hAnsi="Candara"/>
        </w:rPr>
        <w:t xml:space="preserve">Timelines </w:t>
      </w:r>
      <w:r w:rsidR="00F67111" w:rsidRPr="008E7F3C">
        <w:rPr>
          <w:rFonts w:ascii="Candara" w:hAnsi="Candara"/>
        </w:rPr>
        <w:t>measure</w:t>
      </w:r>
      <w:r w:rsidRPr="008E7F3C">
        <w:rPr>
          <w:rFonts w:ascii="Candara" w:hAnsi="Candara"/>
        </w:rPr>
        <w:t xml:space="preserve"> how quickly data is collected, processed, </w:t>
      </w:r>
      <w:r w:rsidR="00F67111" w:rsidRPr="008E7F3C">
        <w:rPr>
          <w:rFonts w:ascii="Candara" w:hAnsi="Candara"/>
        </w:rPr>
        <w:t xml:space="preserve">and made available for use. </w:t>
      </w:r>
      <w:r w:rsidR="00224FCE" w:rsidRPr="008E7F3C">
        <w:rPr>
          <w:rFonts w:ascii="Candara" w:hAnsi="Candara"/>
        </w:rPr>
        <w:t xml:space="preserve">For NaSIA to function effectively as a regulator, </w:t>
      </w:r>
      <w:r w:rsidR="008F0697" w:rsidRPr="008E7F3C">
        <w:rPr>
          <w:rFonts w:ascii="Candara" w:hAnsi="Candara"/>
        </w:rPr>
        <w:t>inspections and licensing data must be submitted,</w:t>
      </w:r>
      <w:r w:rsidR="00224FCE" w:rsidRPr="008E7F3C">
        <w:rPr>
          <w:rFonts w:ascii="Candara" w:hAnsi="Candara"/>
        </w:rPr>
        <w:t xml:space="preserve"> </w:t>
      </w:r>
      <w:r w:rsidR="00A17BE6" w:rsidRPr="008E7F3C">
        <w:rPr>
          <w:rFonts w:ascii="Candara" w:hAnsi="Candara"/>
        </w:rPr>
        <w:t>processed</w:t>
      </w:r>
      <w:r w:rsidR="008F0697" w:rsidRPr="008E7F3C">
        <w:rPr>
          <w:rFonts w:ascii="Candara" w:hAnsi="Candara"/>
        </w:rPr>
        <w:t xml:space="preserve"> and </w:t>
      </w:r>
      <w:r w:rsidR="00A17BE6" w:rsidRPr="008E7F3C">
        <w:rPr>
          <w:rFonts w:ascii="Candara" w:hAnsi="Candara"/>
        </w:rPr>
        <w:t>analyzed</w:t>
      </w:r>
      <w:r w:rsidR="008F0697" w:rsidRPr="008E7F3C">
        <w:rPr>
          <w:rFonts w:ascii="Candara" w:hAnsi="Candara"/>
        </w:rPr>
        <w:t xml:space="preserve"> to generate reports </w:t>
      </w:r>
      <w:r w:rsidR="00224FCE" w:rsidRPr="008E7F3C">
        <w:rPr>
          <w:rFonts w:ascii="Candara" w:hAnsi="Candara"/>
        </w:rPr>
        <w:t>for</w:t>
      </w:r>
      <w:r w:rsidR="008F0697" w:rsidRPr="008E7F3C">
        <w:rPr>
          <w:rFonts w:ascii="Candara" w:hAnsi="Candara"/>
        </w:rPr>
        <w:t xml:space="preserve"> d</w:t>
      </w:r>
      <w:r w:rsidR="00224FCE" w:rsidRPr="008E7F3C">
        <w:rPr>
          <w:rFonts w:ascii="Candara" w:hAnsi="Candara"/>
        </w:rPr>
        <w:t xml:space="preserve">issemination within the stipulated timeframes. </w:t>
      </w:r>
      <w:r w:rsidR="00A17BE6" w:rsidRPr="008E7F3C">
        <w:rPr>
          <w:rFonts w:ascii="Candara" w:hAnsi="Candara"/>
        </w:rPr>
        <w:t>Timely data</w:t>
      </w:r>
      <w:r w:rsidR="00F67111" w:rsidRPr="008E7F3C">
        <w:rPr>
          <w:rFonts w:ascii="Candara" w:hAnsi="Candara"/>
        </w:rPr>
        <w:t xml:space="preserve"> en</w:t>
      </w:r>
      <w:r w:rsidR="00224FCE" w:rsidRPr="008E7F3C">
        <w:rPr>
          <w:rFonts w:ascii="Candara" w:hAnsi="Candara"/>
        </w:rPr>
        <w:t xml:space="preserve">ables prompt interventions, </w:t>
      </w:r>
      <w:r w:rsidR="00F67111" w:rsidRPr="008E7F3C">
        <w:rPr>
          <w:rFonts w:ascii="Candara" w:hAnsi="Candara"/>
        </w:rPr>
        <w:t>whether a school</w:t>
      </w:r>
      <w:r w:rsidR="00224FCE" w:rsidRPr="008E7F3C">
        <w:rPr>
          <w:rFonts w:ascii="Candara" w:hAnsi="Candara"/>
        </w:rPr>
        <w:t xml:space="preserve"> has an issue that bothers on health and safety and needs urgent attention, or a school needs</w:t>
      </w:r>
      <w:r w:rsidR="00F67111" w:rsidRPr="008E7F3C">
        <w:rPr>
          <w:rFonts w:ascii="Candara" w:hAnsi="Candara"/>
        </w:rPr>
        <w:t xml:space="preserve"> </w:t>
      </w:r>
      <w:r w:rsidR="00E428F0">
        <w:rPr>
          <w:rFonts w:ascii="Candara" w:hAnsi="Candara"/>
        </w:rPr>
        <w:t xml:space="preserve">an </w:t>
      </w:r>
      <w:r w:rsidR="00F67111" w:rsidRPr="008E7F3C">
        <w:rPr>
          <w:rFonts w:ascii="Candara" w:hAnsi="Candara"/>
        </w:rPr>
        <w:t xml:space="preserve">urgent infrastructure support or </w:t>
      </w:r>
      <w:proofErr w:type="spellStart"/>
      <w:r w:rsidR="00E428F0">
        <w:rPr>
          <w:rFonts w:ascii="Candara" w:hAnsi="Candara"/>
        </w:rPr>
        <w:t>a</w:t>
      </w:r>
      <w:proofErr w:type="spellEnd"/>
      <w:r w:rsidR="00E428F0">
        <w:rPr>
          <w:rFonts w:ascii="Candara" w:hAnsi="Candara"/>
        </w:rPr>
        <w:t xml:space="preserve"> support for</w:t>
      </w:r>
      <w:r w:rsidR="00F67111" w:rsidRPr="008E7F3C">
        <w:rPr>
          <w:rFonts w:ascii="Candara" w:hAnsi="Candara"/>
        </w:rPr>
        <w:t xml:space="preserve"> institution</w:t>
      </w:r>
      <w:r w:rsidR="00E428F0">
        <w:rPr>
          <w:rFonts w:ascii="Candara" w:hAnsi="Candara"/>
        </w:rPr>
        <w:t>s</w:t>
      </w:r>
      <w:r w:rsidR="00F67111" w:rsidRPr="008E7F3C">
        <w:rPr>
          <w:rFonts w:ascii="Candara" w:hAnsi="Candara"/>
        </w:rPr>
        <w:t xml:space="preserve"> </w:t>
      </w:r>
      <w:r w:rsidR="00E428F0">
        <w:rPr>
          <w:rFonts w:ascii="Candara" w:hAnsi="Candara"/>
        </w:rPr>
        <w:t>lagging</w:t>
      </w:r>
      <w:r w:rsidR="00F67111" w:rsidRPr="008E7F3C">
        <w:rPr>
          <w:rFonts w:ascii="Candara" w:hAnsi="Candara"/>
        </w:rPr>
        <w:t xml:space="preserve"> in compliance.</w:t>
      </w:r>
      <w:r w:rsidR="00224FCE" w:rsidRPr="008E7F3C">
        <w:rPr>
          <w:rFonts w:ascii="Candara" w:hAnsi="Candara"/>
        </w:rPr>
        <w:t xml:space="preserve"> To enhance timeliness, tools such as real-time dashboards, automated</w:t>
      </w:r>
      <w:r w:rsidR="00E428F0">
        <w:rPr>
          <w:rFonts w:ascii="Candara" w:hAnsi="Candara"/>
        </w:rPr>
        <w:t xml:space="preserve"> systems</w:t>
      </w:r>
      <w:r w:rsidR="00224FCE" w:rsidRPr="008E7F3C">
        <w:rPr>
          <w:rFonts w:ascii="Candara" w:hAnsi="Candara"/>
        </w:rPr>
        <w:t xml:space="preserve"> like </w:t>
      </w:r>
      <w:r w:rsidR="00F67111" w:rsidRPr="008E7F3C">
        <w:rPr>
          <w:rFonts w:ascii="Candara" w:hAnsi="Candara"/>
        </w:rPr>
        <w:t>S</w:t>
      </w:r>
      <w:r w:rsidR="00224FCE" w:rsidRPr="008E7F3C">
        <w:rPr>
          <w:rFonts w:ascii="Candara" w:hAnsi="Candara"/>
        </w:rPr>
        <w:t xml:space="preserve">chool </w:t>
      </w:r>
      <w:r w:rsidR="00F67111" w:rsidRPr="008E7F3C">
        <w:rPr>
          <w:rFonts w:ascii="Candara" w:hAnsi="Candara"/>
        </w:rPr>
        <w:t>L</w:t>
      </w:r>
      <w:r w:rsidR="00224FCE" w:rsidRPr="008E7F3C">
        <w:rPr>
          <w:rFonts w:ascii="Candara" w:hAnsi="Candara"/>
        </w:rPr>
        <w:t xml:space="preserve">icensing and </w:t>
      </w:r>
      <w:r w:rsidR="00F67111" w:rsidRPr="008E7F3C">
        <w:rPr>
          <w:rFonts w:ascii="Candara" w:hAnsi="Candara"/>
        </w:rPr>
        <w:t>I</w:t>
      </w:r>
      <w:r w:rsidR="00224FCE" w:rsidRPr="008E7F3C">
        <w:rPr>
          <w:rFonts w:ascii="Candara" w:hAnsi="Candara"/>
        </w:rPr>
        <w:t xml:space="preserve">nspections </w:t>
      </w:r>
      <w:r w:rsidR="00F67111" w:rsidRPr="008E7F3C">
        <w:rPr>
          <w:rFonts w:ascii="Candara" w:hAnsi="Candara"/>
        </w:rPr>
        <w:t>M</w:t>
      </w:r>
      <w:r w:rsidR="00224FCE" w:rsidRPr="008E7F3C">
        <w:rPr>
          <w:rFonts w:ascii="Candara" w:hAnsi="Candara"/>
        </w:rPr>
        <w:t xml:space="preserve">anagement </w:t>
      </w:r>
      <w:r w:rsidR="00F67111" w:rsidRPr="008E7F3C">
        <w:rPr>
          <w:rFonts w:ascii="Candara" w:hAnsi="Candara"/>
        </w:rPr>
        <w:t>S</w:t>
      </w:r>
      <w:r w:rsidR="00224FCE" w:rsidRPr="008E7F3C">
        <w:rPr>
          <w:rFonts w:ascii="Candara" w:hAnsi="Candara"/>
        </w:rPr>
        <w:t>ystem</w:t>
      </w:r>
      <w:r w:rsidR="00A17BE6" w:rsidRPr="008E7F3C">
        <w:rPr>
          <w:rFonts w:ascii="Candara" w:hAnsi="Candara"/>
        </w:rPr>
        <w:t xml:space="preserve"> (SLIMS)</w:t>
      </w:r>
      <w:r w:rsidR="00F67111" w:rsidRPr="008E7F3C">
        <w:rPr>
          <w:rFonts w:ascii="Candara" w:hAnsi="Candara"/>
        </w:rPr>
        <w:t xml:space="preserve">, </w:t>
      </w:r>
      <w:r w:rsidR="00A17BE6" w:rsidRPr="008E7F3C">
        <w:rPr>
          <w:rFonts w:ascii="Candara" w:hAnsi="Candara"/>
        </w:rPr>
        <w:t xml:space="preserve">and adherence to regular data submission deadlines must be enforced. Any </w:t>
      </w:r>
      <w:r w:rsidR="00224FCE" w:rsidRPr="008E7F3C">
        <w:rPr>
          <w:rFonts w:ascii="Candara" w:hAnsi="Candara"/>
        </w:rPr>
        <w:t xml:space="preserve">Delays compromise the relevance of </w:t>
      </w:r>
      <w:r w:rsidR="00A17BE6" w:rsidRPr="008E7F3C">
        <w:rPr>
          <w:rFonts w:ascii="Candara" w:hAnsi="Candara"/>
        </w:rPr>
        <w:t>Inspection outcomes</w:t>
      </w:r>
      <w:r w:rsidR="00C34038">
        <w:rPr>
          <w:rFonts w:ascii="Candara" w:hAnsi="Candara"/>
        </w:rPr>
        <w:t xml:space="preserve">. </w:t>
      </w:r>
    </w:p>
    <w:p w14:paraId="0A63A681" w14:textId="77777777" w:rsidR="00E428F0" w:rsidRPr="00E428F0" w:rsidRDefault="00E428F0" w:rsidP="00C34038">
      <w:pPr>
        <w:spacing w:after="0"/>
        <w:rPr>
          <w:rFonts w:ascii="Candara" w:hAnsi="Candara"/>
          <w:sz w:val="6"/>
          <w:szCs w:val="6"/>
        </w:rPr>
      </w:pPr>
    </w:p>
    <w:p w14:paraId="124B6812" w14:textId="5DAB7C83" w:rsidR="008E7F3C" w:rsidRPr="00C34038" w:rsidRDefault="008E7F3C" w:rsidP="00C34038">
      <w:pPr>
        <w:pStyle w:val="ListParagraph"/>
        <w:numPr>
          <w:ilvl w:val="0"/>
          <w:numId w:val="1"/>
        </w:numPr>
        <w:spacing w:after="0"/>
        <w:rPr>
          <w:rFonts w:ascii="Candara" w:hAnsi="Candara"/>
          <w:b/>
          <w:bCs/>
        </w:rPr>
      </w:pPr>
      <w:r w:rsidRPr="00C34038">
        <w:rPr>
          <w:rFonts w:ascii="Candara" w:hAnsi="Candara"/>
          <w:b/>
          <w:bCs/>
        </w:rPr>
        <w:t>Data Completeness</w:t>
      </w:r>
    </w:p>
    <w:p w14:paraId="71E42D0A" w14:textId="77777777" w:rsidR="008E7F3C" w:rsidRDefault="008E7F3C" w:rsidP="00685DAA">
      <w:pPr>
        <w:spacing w:after="0"/>
        <w:rPr>
          <w:rFonts w:ascii="Candara" w:hAnsi="Candara"/>
        </w:rPr>
      </w:pPr>
      <w:r w:rsidRPr="008E7F3C">
        <w:rPr>
          <w:rFonts w:ascii="Candara" w:hAnsi="Candara"/>
        </w:rPr>
        <w:t>This indicator evaluates whether all required data fields are filled and submitted. Incomplete inspection reports or missing fields on school registration forms compromise the quality of analysis. NaSIA can promote completeness by designing user-friendly forms, offering training for inspectors, and enforcing mandatory fields in digital systems.</w:t>
      </w:r>
    </w:p>
    <w:p w14:paraId="48765346" w14:textId="77777777" w:rsidR="00E428F0" w:rsidRPr="00E428F0" w:rsidRDefault="00E428F0" w:rsidP="00685DAA">
      <w:pPr>
        <w:spacing w:after="0"/>
        <w:rPr>
          <w:rFonts w:ascii="Candara" w:hAnsi="Candara"/>
          <w:sz w:val="8"/>
          <w:szCs w:val="8"/>
        </w:rPr>
      </w:pPr>
    </w:p>
    <w:p w14:paraId="2AE63304" w14:textId="7DD73DD7" w:rsidR="00C34038" w:rsidRPr="00C34038" w:rsidRDefault="00C34038" w:rsidP="00685DAA">
      <w:pPr>
        <w:pStyle w:val="ListParagraph"/>
        <w:numPr>
          <w:ilvl w:val="0"/>
          <w:numId w:val="1"/>
        </w:numPr>
        <w:spacing w:after="0"/>
        <w:rPr>
          <w:rFonts w:ascii="Candara" w:hAnsi="Candara"/>
          <w:b/>
          <w:bCs/>
        </w:rPr>
      </w:pPr>
      <w:r w:rsidRPr="00C34038">
        <w:rPr>
          <w:rFonts w:ascii="Candara" w:hAnsi="Candara"/>
          <w:b/>
          <w:bCs/>
        </w:rPr>
        <w:lastRenderedPageBreak/>
        <w:t>Data Consistency</w:t>
      </w:r>
    </w:p>
    <w:p w14:paraId="7DB75469" w14:textId="20B6E4BA" w:rsidR="00C34038" w:rsidRDefault="00C34038" w:rsidP="00C34038">
      <w:pPr>
        <w:spacing w:after="0"/>
        <w:rPr>
          <w:rFonts w:ascii="Candara" w:hAnsi="Candara"/>
        </w:rPr>
      </w:pPr>
      <w:r w:rsidRPr="008E7F3C">
        <w:rPr>
          <w:rFonts w:ascii="Candara" w:hAnsi="Candara"/>
        </w:rPr>
        <w:t>Consistency ensures that data remains uniform across multiple sources and systems. For instance, a school’s inspection rating should align across both the SLIMS database and the reports submitted to the Ministry of Education. Inconsistencies reduce trust in the system and complicate data aggregation. Standardized definitions, codebooks, and regular reconciliation between departments are key practices for maintaining consistency.</w:t>
      </w:r>
      <w:r w:rsidR="000649A3" w:rsidRPr="000649A3">
        <w:rPr>
          <w:rFonts w:ascii="Candara" w:hAnsi="Candara"/>
        </w:rPr>
        <w:t xml:space="preserve"> </w:t>
      </w:r>
      <w:r w:rsidR="000649A3">
        <w:rPr>
          <w:rFonts w:ascii="Candara" w:hAnsi="Candara"/>
        </w:rPr>
        <w:t>Robust validation systems such as automated cross-checks and field data confirmations should also be implemented to ensure consistency.</w:t>
      </w:r>
    </w:p>
    <w:p w14:paraId="1830846A" w14:textId="77777777" w:rsidR="00F66B84" w:rsidRPr="00F66B84" w:rsidRDefault="00F66B84" w:rsidP="00C34038">
      <w:pPr>
        <w:spacing w:after="0"/>
        <w:rPr>
          <w:rFonts w:ascii="Candara" w:hAnsi="Candara"/>
          <w:sz w:val="6"/>
          <w:szCs w:val="6"/>
        </w:rPr>
      </w:pPr>
    </w:p>
    <w:p w14:paraId="4643EA52" w14:textId="5C8E0F41" w:rsidR="00C34038" w:rsidRPr="00C34038" w:rsidRDefault="00C34038" w:rsidP="00C34038">
      <w:pPr>
        <w:pStyle w:val="ListParagraph"/>
        <w:numPr>
          <w:ilvl w:val="0"/>
          <w:numId w:val="1"/>
        </w:numPr>
        <w:spacing w:after="0"/>
        <w:rPr>
          <w:rFonts w:ascii="Candara" w:hAnsi="Candara"/>
          <w:b/>
          <w:bCs/>
        </w:rPr>
      </w:pPr>
      <w:r w:rsidRPr="00C34038">
        <w:rPr>
          <w:rFonts w:ascii="Candara" w:hAnsi="Candara"/>
          <w:b/>
          <w:bCs/>
        </w:rPr>
        <w:t>Data Accessibility</w:t>
      </w:r>
    </w:p>
    <w:p w14:paraId="54FC5589" w14:textId="57A838F4" w:rsidR="00C34038" w:rsidRDefault="00C34038" w:rsidP="00C34038">
      <w:pPr>
        <w:spacing w:after="0"/>
        <w:rPr>
          <w:rFonts w:ascii="Candara" w:hAnsi="Candara"/>
        </w:rPr>
      </w:pPr>
      <w:r>
        <w:rPr>
          <w:rFonts w:ascii="Candara" w:hAnsi="Candara"/>
        </w:rPr>
        <w:t>Accessibility pertains to how easily authorised users (Inspectors, IT, data analyst, administrators and policy makers) can retrieve and use relevant data. Easy access to reports, dashboards, and performance metrics allows for informed decision-making. NaSIA can improve accessibility through secure could-based platforms, categorized data portals, and role-based access right to protect sensitive information.</w:t>
      </w:r>
    </w:p>
    <w:p w14:paraId="00D667DA" w14:textId="77777777" w:rsidR="00F66B84" w:rsidRPr="00F66B84" w:rsidRDefault="00F66B84" w:rsidP="00C34038">
      <w:pPr>
        <w:spacing w:after="0"/>
        <w:rPr>
          <w:rFonts w:ascii="Candara" w:hAnsi="Candara"/>
          <w:sz w:val="8"/>
          <w:szCs w:val="8"/>
        </w:rPr>
      </w:pPr>
    </w:p>
    <w:p w14:paraId="446B45B9" w14:textId="270ED7D4" w:rsidR="00FF484E" w:rsidRPr="00C34038" w:rsidRDefault="00FF484E" w:rsidP="00C34038">
      <w:pPr>
        <w:pStyle w:val="ListParagraph"/>
        <w:numPr>
          <w:ilvl w:val="0"/>
          <w:numId w:val="1"/>
        </w:numPr>
        <w:spacing w:after="0"/>
        <w:rPr>
          <w:rFonts w:ascii="Candara" w:hAnsi="Candara"/>
          <w:b/>
          <w:bCs/>
        </w:rPr>
      </w:pPr>
      <w:r w:rsidRPr="00C34038">
        <w:rPr>
          <w:rFonts w:ascii="Candara" w:hAnsi="Candara"/>
          <w:b/>
          <w:bCs/>
        </w:rPr>
        <w:t>Data Relevance</w:t>
      </w:r>
    </w:p>
    <w:p w14:paraId="1B5766E1" w14:textId="4884B09F" w:rsidR="00FF484E" w:rsidRPr="008E7F3C" w:rsidRDefault="00FF484E" w:rsidP="00C34038">
      <w:pPr>
        <w:spacing w:after="0"/>
        <w:rPr>
          <w:rFonts w:ascii="Candara" w:hAnsi="Candara"/>
        </w:rPr>
      </w:pPr>
      <w:r w:rsidRPr="008E7F3C">
        <w:rPr>
          <w:rFonts w:ascii="Candara" w:hAnsi="Candara"/>
        </w:rPr>
        <w:t xml:space="preserve">Relevance focuses on whether the data collected meets the actual information needs of the users. NaSIA must ensure that </w:t>
      </w:r>
      <w:r w:rsidR="00807EB1">
        <w:rPr>
          <w:rFonts w:ascii="Candara" w:hAnsi="Candara"/>
        </w:rPr>
        <w:t xml:space="preserve">the Inspection Evaluation Framework (IEF) </w:t>
      </w:r>
      <w:r w:rsidRPr="008E7F3C">
        <w:rPr>
          <w:rFonts w:ascii="Candara" w:hAnsi="Candara"/>
        </w:rPr>
        <w:t xml:space="preserve">indicators align with its regulatory goals, such as school infrastructure, learner achievement, teacher quality, and inclusivity. </w:t>
      </w:r>
      <w:r w:rsidR="00A13FE0" w:rsidRPr="008E7F3C">
        <w:rPr>
          <w:rFonts w:ascii="Candara" w:hAnsi="Candara"/>
        </w:rPr>
        <w:t>Stakeholder consultations</w:t>
      </w:r>
      <w:r w:rsidRPr="008E7F3C">
        <w:rPr>
          <w:rFonts w:ascii="Candara" w:hAnsi="Candara"/>
        </w:rPr>
        <w:t>, periodic reviews of data collection tools, and alignment with educational policies will help maintain relevance.</w:t>
      </w:r>
    </w:p>
    <w:p w14:paraId="4304F3D8" w14:textId="77777777" w:rsidR="003B7B84" w:rsidRPr="008E7F3C" w:rsidRDefault="003B7B84" w:rsidP="003A4509">
      <w:pPr>
        <w:rPr>
          <w:rFonts w:ascii="Candara" w:hAnsi="Candara"/>
        </w:rPr>
      </w:pPr>
    </w:p>
    <w:p w14:paraId="2603F458" w14:textId="296CFDE2" w:rsidR="00E25F68" w:rsidRPr="00C34038" w:rsidRDefault="00E25F68" w:rsidP="003A4509">
      <w:pPr>
        <w:rPr>
          <w:rFonts w:ascii="Candara" w:hAnsi="Candara"/>
          <w:b/>
          <w:bCs/>
        </w:rPr>
      </w:pPr>
      <w:r w:rsidRPr="00C34038">
        <w:rPr>
          <w:rFonts w:ascii="Candara" w:hAnsi="Candara"/>
          <w:b/>
          <w:bCs/>
        </w:rPr>
        <w:t xml:space="preserve"> </w:t>
      </w:r>
      <w:r w:rsidR="007F488D" w:rsidRPr="00C34038">
        <w:rPr>
          <w:rFonts w:ascii="Candara" w:hAnsi="Candara"/>
          <w:b/>
          <w:bCs/>
        </w:rPr>
        <w:t xml:space="preserve">Q2. Identifying and justifying five administrative data points NaSIA should </w:t>
      </w:r>
      <w:r w:rsidR="00F656EF" w:rsidRPr="00C34038">
        <w:rPr>
          <w:rFonts w:ascii="Candara" w:hAnsi="Candara"/>
          <w:b/>
          <w:bCs/>
        </w:rPr>
        <w:t>prioritize</w:t>
      </w:r>
      <w:r w:rsidR="000C79F0" w:rsidRPr="00C34038">
        <w:rPr>
          <w:rFonts w:ascii="Candara" w:hAnsi="Candara"/>
          <w:b/>
          <w:bCs/>
        </w:rPr>
        <w:t xml:space="preserve"> for </w:t>
      </w:r>
      <w:r w:rsidR="00F656EF" w:rsidRPr="00C34038">
        <w:rPr>
          <w:rFonts w:ascii="Candara" w:hAnsi="Candara"/>
          <w:b/>
          <w:bCs/>
        </w:rPr>
        <w:t>archiving</w:t>
      </w:r>
      <w:r w:rsidR="000C79F0" w:rsidRPr="00C34038">
        <w:rPr>
          <w:rFonts w:ascii="Candara" w:hAnsi="Candara"/>
          <w:b/>
          <w:bCs/>
        </w:rPr>
        <w:t xml:space="preserve"> for the next five years.</w:t>
      </w:r>
    </w:p>
    <w:p w14:paraId="45886B33" w14:textId="2C007E4A" w:rsidR="001F22BC" w:rsidRPr="00C34038" w:rsidRDefault="001F22BC" w:rsidP="00C34038">
      <w:pPr>
        <w:pStyle w:val="ListParagraph"/>
        <w:numPr>
          <w:ilvl w:val="0"/>
          <w:numId w:val="2"/>
        </w:numPr>
        <w:spacing w:after="0"/>
        <w:rPr>
          <w:rFonts w:ascii="Candara" w:hAnsi="Candara"/>
          <w:b/>
          <w:bCs/>
        </w:rPr>
      </w:pPr>
      <w:r w:rsidRPr="00C34038">
        <w:rPr>
          <w:rFonts w:ascii="Candara" w:hAnsi="Candara"/>
          <w:b/>
          <w:bCs/>
        </w:rPr>
        <w:t xml:space="preserve">School Licensing and </w:t>
      </w:r>
      <w:r w:rsidR="00FB0396" w:rsidRPr="00C34038">
        <w:rPr>
          <w:rFonts w:ascii="Candara" w:hAnsi="Candara"/>
          <w:b/>
          <w:bCs/>
        </w:rPr>
        <w:t>Registration</w:t>
      </w:r>
      <w:r w:rsidRPr="00C34038">
        <w:rPr>
          <w:rFonts w:ascii="Candara" w:hAnsi="Candara"/>
          <w:b/>
          <w:bCs/>
        </w:rPr>
        <w:t xml:space="preserve"> Records</w:t>
      </w:r>
    </w:p>
    <w:p w14:paraId="6D177F3D" w14:textId="6B9879F0" w:rsidR="00807EB1" w:rsidRDefault="001F22BC" w:rsidP="00C34038">
      <w:pPr>
        <w:spacing w:after="0"/>
        <w:rPr>
          <w:rFonts w:ascii="Candara" w:hAnsi="Candara"/>
        </w:rPr>
      </w:pPr>
      <w:r w:rsidRPr="008E7F3C">
        <w:rPr>
          <w:rFonts w:ascii="Candara" w:hAnsi="Candara"/>
        </w:rPr>
        <w:t xml:space="preserve">NaSIA school licensing and registration records </w:t>
      </w:r>
      <w:r w:rsidR="00BD49B6" w:rsidRPr="008E7F3C">
        <w:rPr>
          <w:rFonts w:ascii="Candara" w:hAnsi="Candara"/>
        </w:rPr>
        <w:t xml:space="preserve">datasets </w:t>
      </w:r>
      <w:r w:rsidR="0025672E" w:rsidRPr="008E7F3C">
        <w:rPr>
          <w:rFonts w:ascii="Candara" w:hAnsi="Candara"/>
        </w:rPr>
        <w:t xml:space="preserve">incudes detailed information on </w:t>
      </w:r>
      <w:r w:rsidR="00BD49B6" w:rsidRPr="008E7F3C">
        <w:rPr>
          <w:rFonts w:ascii="Candara" w:hAnsi="Candara"/>
        </w:rPr>
        <w:t xml:space="preserve">all pre-tertiary schools that have </w:t>
      </w:r>
      <w:r w:rsidR="005C509B" w:rsidRPr="008E7F3C">
        <w:rPr>
          <w:rFonts w:ascii="Candara" w:hAnsi="Candara"/>
        </w:rPr>
        <w:t>been processed for registration and licensed</w:t>
      </w:r>
      <w:r w:rsidR="00B9098B" w:rsidRPr="008E7F3C">
        <w:rPr>
          <w:rFonts w:ascii="Candara" w:hAnsi="Candara"/>
        </w:rPr>
        <w:t xml:space="preserve"> annually</w:t>
      </w:r>
      <w:r w:rsidR="005C509B" w:rsidRPr="008E7F3C">
        <w:rPr>
          <w:rFonts w:ascii="Candara" w:hAnsi="Candara"/>
        </w:rPr>
        <w:t xml:space="preserve">.  Archiving this data </w:t>
      </w:r>
      <w:r w:rsidR="00F73E54" w:rsidRPr="008E7F3C">
        <w:rPr>
          <w:rFonts w:ascii="Candara" w:hAnsi="Candara"/>
        </w:rPr>
        <w:t xml:space="preserve">is essential for ensuring </w:t>
      </w:r>
      <w:r w:rsidR="005C509B" w:rsidRPr="008E7F3C">
        <w:rPr>
          <w:rFonts w:ascii="Candara" w:hAnsi="Candara"/>
        </w:rPr>
        <w:t>traceability</w:t>
      </w:r>
      <w:r w:rsidR="00F73E54" w:rsidRPr="008E7F3C">
        <w:rPr>
          <w:rFonts w:ascii="Candara" w:hAnsi="Candara"/>
        </w:rPr>
        <w:t xml:space="preserve"> and </w:t>
      </w:r>
      <w:r w:rsidR="005C509B" w:rsidRPr="008E7F3C">
        <w:rPr>
          <w:rFonts w:ascii="Candara" w:hAnsi="Candara"/>
        </w:rPr>
        <w:t>support</w:t>
      </w:r>
      <w:r w:rsidR="00F73E54" w:rsidRPr="008E7F3C">
        <w:rPr>
          <w:rFonts w:ascii="Candara" w:hAnsi="Candara"/>
        </w:rPr>
        <w:t>ing</w:t>
      </w:r>
      <w:r w:rsidR="00CF60DB" w:rsidRPr="008E7F3C">
        <w:rPr>
          <w:rFonts w:ascii="Candara" w:hAnsi="Candara"/>
        </w:rPr>
        <w:t xml:space="preserve"> regulatory oversights</w:t>
      </w:r>
      <w:r w:rsidR="00F73E54" w:rsidRPr="008E7F3C">
        <w:rPr>
          <w:rFonts w:ascii="Candara" w:hAnsi="Candara"/>
        </w:rPr>
        <w:t xml:space="preserve">. It </w:t>
      </w:r>
      <w:r w:rsidR="00CF60DB" w:rsidRPr="008E7F3C">
        <w:rPr>
          <w:rFonts w:ascii="Candara" w:hAnsi="Candara"/>
        </w:rPr>
        <w:t xml:space="preserve">helps track schools operating without </w:t>
      </w:r>
      <w:r w:rsidR="006F3E49" w:rsidRPr="008E7F3C">
        <w:rPr>
          <w:rFonts w:ascii="Candara" w:hAnsi="Candara"/>
        </w:rPr>
        <w:t>Licence</w:t>
      </w:r>
      <w:r w:rsidR="00F73E54" w:rsidRPr="008E7F3C">
        <w:rPr>
          <w:rFonts w:ascii="Candara" w:hAnsi="Candara"/>
        </w:rPr>
        <w:t xml:space="preserve">, those </w:t>
      </w:r>
      <w:r w:rsidR="00263D4C" w:rsidRPr="008E7F3C">
        <w:rPr>
          <w:rFonts w:ascii="Candara" w:hAnsi="Candara"/>
        </w:rPr>
        <w:t xml:space="preserve">whose </w:t>
      </w:r>
      <w:r w:rsidR="006F3E49" w:rsidRPr="008E7F3C">
        <w:rPr>
          <w:rFonts w:ascii="Candara" w:hAnsi="Candara"/>
        </w:rPr>
        <w:t>Licences</w:t>
      </w:r>
      <w:r w:rsidR="00263D4C" w:rsidRPr="008E7F3C">
        <w:rPr>
          <w:rFonts w:ascii="Candara" w:hAnsi="Candara"/>
        </w:rPr>
        <w:t xml:space="preserve"> have expired, and institutions that have consistently failed to renew their </w:t>
      </w:r>
      <w:r w:rsidR="00254F6F" w:rsidRPr="008E7F3C">
        <w:rPr>
          <w:rFonts w:ascii="Candara" w:hAnsi="Candara"/>
        </w:rPr>
        <w:t xml:space="preserve">Licences. Given that NaSIA is mandated to maintain a comprehensive register on all registered and licensed </w:t>
      </w:r>
      <w:r w:rsidR="00541EEC" w:rsidRPr="008E7F3C">
        <w:rPr>
          <w:rFonts w:ascii="Candara" w:hAnsi="Candara"/>
        </w:rPr>
        <w:t xml:space="preserve">pre-tertiary schools in Ghana, archiving </w:t>
      </w:r>
      <w:r w:rsidR="00AF2F0C" w:rsidRPr="008E7F3C">
        <w:rPr>
          <w:rFonts w:ascii="Candara" w:hAnsi="Candara"/>
        </w:rPr>
        <w:t xml:space="preserve">this dataset is critical </w:t>
      </w:r>
      <w:r w:rsidR="006F3E49" w:rsidRPr="008E7F3C">
        <w:rPr>
          <w:rFonts w:ascii="Candara" w:hAnsi="Candara"/>
        </w:rPr>
        <w:t>for compliance verification, historical reference, and future policy planning.</w:t>
      </w:r>
    </w:p>
    <w:p w14:paraId="10D2AA27" w14:textId="77777777" w:rsidR="003B7476" w:rsidRPr="003B7476" w:rsidRDefault="003B7476" w:rsidP="00C34038">
      <w:pPr>
        <w:spacing w:after="0"/>
        <w:rPr>
          <w:rFonts w:ascii="Candara" w:hAnsi="Candara"/>
          <w:sz w:val="4"/>
          <w:szCs w:val="4"/>
        </w:rPr>
      </w:pPr>
    </w:p>
    <w:p w14:paraId="08B8BD1A" w14:textId="1829B847" w:rsidR="00821426" w:rsidRPr="00C34038" w:rsidRDefault="0032745D" w:rsidP="003B7476">
      <w:pPr>
        <w:pStyle w:val="ListParagraph"/>
        <w:numPr>
          <w:ilvl w:val="0"/>
          <w:numId w:val="2"/>
        </w:numPr>
        <w:spacing w:after="0" w:line="240" w:lineRule="auto"/>
        <w:rPr>
          <w:rFonts w:ascii="Candara" w:hAnsi="Candara"/>
          <w:b/>
          <w:bCs/>
        </w:rPr>
      </w:pPr>
      <w:r w:rsidRPr="00C34038">
        <w:rPr>
          <w:rFonts w:ascii="Candara" w:hAnsi="Candara"/>
          <w:b/>
          <w:bCs/>
        </w:rPr>
        <w:t xml:space="preserve">Inspection </w:t>
      </w:r>
      <w:r w:rsidR="00E52883" w:rsidRPr="00C34038">
        <w:rPr>
          <w:rFonts w:ascii="Candara" w:hAnsi="Candara"/>
          <w:b/>
          <w:bCs/>
        </w:rPr>
        <w:t xml:space="preserve">Data and </w:t>
      </w:r>
      <w:r w:rsidRPr="00C34038">
        <w:rPr>
          <w:rFonts w:ascii="Candara" w:hAnsi="Candara"/>
          <w:b/>
          <w:bCs/>
        </w:rPr>
        <w:t xml:space="preserve">Reports </w:t>
      </w:r>
    </w:p>
    <w:p w14:paraId="74CB3B31" w14:textId="426D5ED4" w:rsidR="00C34038" w:rsidRDefault="0032745D" w:rsidP="003B7476">
      <w:pPr>
        <w:spacing w:after="0" w:line="240" w:lineRule="auto"/>
        <w:rPr>
          <w:rFonts w:ascii="Candara" w:hAnsi="Candara"/>
        </w:rPr>
      </w:pPr>
      <w:r w:rsidRPr="008E7F3C">
        <w:rPr>
          <w:rFonts w:ascii="Candara" w:hAnsi="Candara"/>
        </w:rPr>
        <w:t xml:space="preserve">NaSIA’s Inspections </w:t>
      </w:r>
      <w:r w:rsidR="003A7A55" w:rsidRPr="008E7F3C">
        <w:rPr>
          <w:rFonts w:ascii="Candara" w:hAnsi="Candara"/>
        </w:rPr>
        <w:t xml:space="preserve">data and </w:t>
      </w:r>
      <w:r w:rsidRPr="008E7F3C">
        <w:rPr>
          <w:rFonts w:ascii="Candara" w:hAnsi="Candara"/>
        </w:rPr>
        <w:t xml:space="preserve">reports </w:t>
      </w:r>
      <w:r w:rsidR="00A56A24" w:rsidRPr="008E7F3C">
        <w:rPr>
          <w:rFonts w:ascii="Candara" w:hAnsi="Candara"/>
        </w:rPr>
        <w:t>provides critical</w:t>
      </w:r>
      <w:r w:rsidRPr="008E7F3C">
        <w:rPr>
          <w:rFonts w:ascii="Candara" w:hAnsi="Candara"/>
        </w:rPr>
        <w:t xml:space="preserve"> </w:t>
      </w:r>
      <w:r w:rsidR="00A56A24" w:rsidRPr="008E7F3C">
        <w:rPr>
          <w:rFonts w:ascii="Candara" w:hAnsi="Candara"/>
        </w:rPr>
        <w:t xml:space="preserve">insights into teaching </w:t>
      </w:r>
      <w:r w:rsidR="006C4E66" w:rsidRPr="008E7F3C">
        <w:rPr>
          <w:rFonts w:ascii="Candara" w:hAnsi="Candara"/>
        </w:rPr>
        <w:t>quality, school</w:t>
      </w:r>
      <w:r w:rsidR="0072743B" w:rsidRPr="008E7F3C">
        <w:rPr>
          <w:rFonts w:ascii="Candara" w:hAnsi="Candara"/>
        </w:rPr>
        <w:t xml:space="preserve"> infrastructure, leadership</w:t>
      </w:r>
      <w:r w:rsidR="004E1038" w:rsidRPr="008E7F3C">
        <w:rPr>
          <w:rFonts w:ascii="Candara" w:hAnsi="Candara"/>
        </w:rPr>
        <w:t xml:space="preserve"> </w:t>
      </w:r>
      <w:r w:rsidR="006C4E66" w:rsidRPr="008E7F3C">
        <w:rPr>
          <w:rFonts w:ascii="Candara" w:hAnsi="Candara"/>
        </w:rPr>
        <w:t>effectiveness,</w:t>
      </w:r>
      <w:r w:rsidR="0072743B" w:rsidRPr="008E7F3C">
        <w:rPr>
          <w:rFonts w:ascii="Candara" w:hAnsi="Candara"/>
        </w:rPr>
        <w:t xml:space="preserve"> </w:t>
      </w:r>
      <w:r w:rsidR="003A7A55" w:rsidRPr="008E7F3C">
        <w:rPr>
          <w:rFonts w:ascii="Candara" w:hAnsi="Candara"/>
        </w:rPr>
        <w:t>and learner performance</w:t>
      </w:r>
      <w:r w:rsidR="004E1038" w:rsidRPr="008E7F3C">
        <w:rPr>
          <w:rFonts w:ascii="Candara" w:hAnsi="Candara"/>
        </w:rPr>
        <w:t xml:space="preserve"> across pre-tertiary </w:t>
      </w:r>
      <w:r w:rsidR="006C4E66" w:rsidRPr="008E7F3C">
        <w:rPr>
          <w:rFonts w:ascii="Candara" w:hAnsi="Candara"/>
        </w:rPr>
        <w:t>institutions.</w:t>
      </w:r>
      <w:r w:rsidR="0065125F" w:rsidRPr="008E7F3C">
        <w:rPr>
          <w:rFonts w:ascii="Candara" w:hAnsi="Candara"/>
        </w:rPr>
        <w:t xml:space="preserve"> Archiving t</w:t>
      </w:r>
      <w:r w:rsidR="004E1038" w:rsidRPr="008E7F3C">
        <w:rPr>
          <w:rFonts w:ascii="Candara" w:hAnsi="Candara"/>
        </w:rPr>
        <w:t xml:space="preserve">hese records </w:t>
      </w:r>
      <w:r w:rsidR="006C4E66" w:rsidRPr="008E7F3C">
        <w:rPr>
          <w:rFonts w:ascii="Candara" w:hAnsi="Candara"/>
        </w:rPr>
        <w:t xml:space="preserve">enables the Authority to track progress and trends over time, </w:t>
      </w:r>
      <w:r w:rsidR="007E6802">
        <w:rPr>
          <w:rFonts w:ascii="Candara" w:hAnsi="Candara"/>
        </w:rPr>
        <w:t>evaluate</w:t>
      </w:r>
      <w:r w:rsidR="006C4E66" w:rsidRPr="008E7F3C">
        <w:rPr>
          <w:rFonts w:ascii="Candara" w:hAnsi="Candara"/>
        </w:rPr>
        <w:t xml:space="preserve"> </w:t>
      </w:r>
      <w:r w:rsidR="007E6802">
        <w:rPr>
          <w:rFonts w:ascii="Candara" w:hAnsi="Candara"/>
        </w:rPr>
        <w:t>the impact of</w:t>
      </w:r>
      <w:r w:rsidR="006C4E66" w:rsidRPr="008E7F3C">
        <w:rPr>
          <w:rFonts w:ascii="Candara" w:hAnsi="Candara"/>
        </w:rPr>
        <w:t xml:space="preserve"> interventions, </w:t>
      </w:r>
      <w:r w:rsidR="002B4C8F" w:rsidRPr="008E7F3C">
        <w:rPr>
          <w:rFonts w:ascii="Candara" w:hAnsi="Candara"/>
        </w:rPr>
        <w:t>and</w:t>
      </w:r>
      <w:r w:rsidR="007E6802">
        <w:rPr>
          <w:rFonts w:ascii="Candara" w:hAnsi="Candara"/>
        </w:rPr>
        <w:t xml:space="preserve"> provide</w:t>
      </w:r>
      <w:r w:rsidR="002B4C8F" w:rsidRPr="008E7F3C">
        <w:rPr>
          <w:rFonts w:ascii="Candara" w:hAnsi="Candara"/>
        </w:rPr>
        <w:t xml:space="preserve"> evidenced-based </w:t>
      </w:r>
      <w:r w:rsidR="007E6802">
        <w:rPr>
          <w:rFonts w:ascii="Candara" w:hAnsi="Candara"/>
        </w:rPr>
        <w:t xml:space="preserve">recommendations </w:t>
      </w:r>
      <w:r w:rsidR="001C5EA4" w:rsidRPr="008E7F3C">
        <w:rPr>
          <w:rFonts w:ascii="Candara" w:hAnsi="Candara"/>
        </w:rPr>
        <w:lastRenderedPageBreak/>
        <w:t>to the Ministry of Education and other stakeholders</w:t>
      </w:r>
      <w:r w:rsidR="00560FEA" w:rsidRPr="008E7F3C">
        <w:rPr>
          <w:rFonts w:ascii="Candara" w:hAnsi="Candara"/>
        </w:rPr>
        <w:t xml:space="preserve">. </w:t>
      </w:r>
      <w:r w:rsidR="00B53AE9">
        <w:rPr>
          <w:rFonts w:ascii="Candara" w:hAnsi="Candara"/>
        </w:rPr>
        <w:t>Long-term storage of these data and reports ensures that decision-making on policy, resource allocation, and regulatory actions is informed by reliable historical data.</w:t>
      </w:r>
    </w:p>
    <w:p w14:paraId="267EDF77" w14:textId="77777777" w:rsidR="007E6802" w:rsidRPr="007E6802" w:rsidRDefault="007E6802" w:rsidP="00C34038">
      <w:pPr>
        <w:spacing w:after="0"/>
        <w:rPr>
          <w:rFonts w:ascii="Candara" w:hAnsi="Candara"/>
          <w:sz w:val="10"/>
          <w:szCs w:val="10"/>
        </w:rPr>
      </w:pPr>
    </w:p>
    <w:p w14:paraId="4AAF291B" w14:textId="2E38F59C" w:rsidR="00A2723A" w:rsidRPr="00C34038" w:rsidRDefault="00A2723A" w:rsidP="00C34038">
      <w:pPr>
        <w:pStyle w:val="ListParagraph"/>
        <w:numPr>
          <w:ilvl w:val="0"/>
          <w:numId w:val="2"/>
        </w:numPr>
        <w:spacing w:after="0"/>
        <w:rPr>
          <w:rFonts w:ascii="Candara" w:hAnsi="Candara"/>
          <w:b/>
          <w:bCs/>
        </w:rPr>
      </w:pPr>
      <w:r w:rsidRPr="00C34038">
        <w:rPr>
          <w:rFonts w:ascii="Candara" w:hAnsi="Candara"/>
          <w:b/>
          <w:bCs/>
        </w:rPr>
        <w:t>Payment Data of Schools</w:t>
      </w:r>
    </w:p>
    <w:p w14:paraId="69339E68" w14:textId="7F4083B4" w:rsidR="00C34038" w:rsidRDefault="00A2723A" w:rsidP="00C34038">
      <w:pPr>
        <w:spacing w:after="0"/>
        <w:rPr>
          <w:rFonts w:ascii="Candara" w:hAnsi="Candara"/>
        </w:rPr>
      </w:pPr>
      <w:r w:rsidRPr="008E7F3C">
        <w:rPr>
          <w:rFonts w:ascii="Candara" w:hAnsi="Candara"/>
        </w:rPr>
        <w:t xml:space="preserve">Payment data includes records of all fees paid by schools for registration, licensing, renewals, and other administrative fees for services requested by the schools. Archiving </w:t>
      </w:r>
      <w:r w:rsidR="00B53AE9">
        <w:rPr>
          <w:rFonts w:ascii="Candara" w:hAnsi="Candara"/>
        </w:rPr>
        <w:t xml:space="preserve">this </w:t>
      </w:r>
      <w:r w:rsidRPr="008E7F3C">
        <w:rPr>
          <w:rFonts w:ascii="Candara" w:hAnsi="Candara"/>
        </w:rPr>
        <w:t>dataset is</w:t>
      </w:r>
      <w:r w:rsidR="00B53AE9">
        <w:rPr>
          <w:rFonts w:ascii="Candara" w:hAnsi="Candara"/>
        </w:rPr>
        <w:t xml:space="preserve"> essential because these payments constitute a major portion of the Authority’s internally generated funds (IGF), which are used to cover administrative and operational costs. Maintaining an archive of this data ensures financial accountability, enables tracking of school compliance with payment obligations, and promote transparency in NaSIA’s revenue streams. </w:t>
      </w:r>
      <w:r w:rsidRPr="008E7F3C">
        <w:rPr>
          <w:rFonts w:ascii="Candara" w:hAnsi="Candara"/>
        </w:rPr>
        <w:t xml:space="preserve">It enables the Authority to identify patterns of late or non-payment, </w:t>
      </w:r>
      <w:r w:rsidR="00B53AE9">
        <w:rPr>
          <w:rFonts w:ascii="Candara" w:hAnsi="Candara"/>
        </w:rPr>
        <w:t>inform</w:t>
      </w:r>
      <w:r w:rsidRPr="008E7F3C">
        <w:rPr>
          <w:rFonts w:ascii="Candara" w:hAnsi="Candara"/>
        </w:rPr>
        <w:t xml:space="preserve"> enforcement actions, and p</w:t>
      </w:r>
      <w:r w:rsidR="00B40A0C">
        <w:rPr>
          <w:rFonts w:ascii="Candara" w:hAnsi="Candara"/>
        </w:rPr>
        <w:t xml:space="preserve">repare accurate </w:t>
      </w:r>
      <w:r w:rsidRPr="008E7F3C">
        <w:rPr>
          <w:rFonts w:ascii="Candara" w:hAnsi="Candara"/>
        </w:rPr>
        <w:t xml:space="preserve">financial projections </w:t>
      </w:r>
      <w:r w:rsidR="00B40A0C">
        <w:rPr>
          <w:rFonts w:ascii="Candara" w:hAnsi="Candara"/>
        </w:rPr>
        <w:t xml:space="preserve">to support </w:t>
      </w:r>
      <w:r w:rsidRPr="008E7F3C">
        <w:rPr>
          <w:rFonts w:ascii="Candara" w:hAnsi="Candara"/>
        </w:rPr>
        <w:t xml:space="preserve">regulatory </w:t>
      </w:r>
      <w:r w:rsidR="00B40A0C">
        <w:rPr>
          <w:rFonts w:ascii="Candara" w:hAnsi="Candara"/>
        </w:rPr>
        <w:t>planning and decision-making over time.</w:t>
      </w:r>
    </w:p>
    <w:p w14:paraId="2CEEE08F" w14:textId="77777777" w:rsidR="00B40A0C" w:rsidRPr="00B40A0C" w:rsidRDefault="00B40A0C" w:rsidP="00C34038">
      <w:pPr>
        <w:spacing w:after="0"/>
        <w:rPr>
          <w:rFonts w:ascii="Candara" w:hAnsi="Candara"/>
          <w:sz w:val="6"/>
          <w:szCs w:val="6"/>
        </w:rPr>
      </w:pPr>
    </w:p>
    <w:p w14:paraId="77D4BC2C" w14:textId="6B06B66A" w:rsidR="008E7F3C" w:rsidRPr="00C34038" w:rsidRDefault="00B40A0C" w:rsidP="00C34038">
      <w:pPr>
        <w:pStyle w:val="ListParagraph"/>
        <w:numPr>
          <w:ilvl w:val="0"/>
          <w:numId w:val="2"/>
        </w:numPr>
        <w:spacing w:after="0"/>
        <w:rPr>
          <w:rFonts w:ascii="Candara" w:hAnsi="Candara"/>
          <w:b/>
          <w:bCs/>
        </w:rPr>
      </w:pPr>
      <w:r>
        <w:rPr>
          <w:rFonts w:ascii="Candara" w:hAnsi="Candara"/>
          <w:b/>
          <w:bCs/>
        </w:rPr>
        <w:t>Learner Enrolment and Demographic Data</w:t>
      </w:r>
    </w:p>
    <w:p w14:paraId="54BCE148" w14:textId="3E3D2AB4" w:rsidR="00C34038" w:rsidRDefault="008821D7" w:rsidP="00C34038">
      <w:pPr>
        <w:spacing w:after="0"/>
        <w:rPr>
          <w:rFonts w:ascii="Candara" w:hAnsi="Candara"/>
        </w:rPr>
      </w:pPr>
      <w:r w:rsidRPr="008E7F3C">
        <w:rPr>
          <w:rFonts w:ascii="Candara" w:hAnsi="Candara"/>
        </w:rPr>
        <w:t>This dataset includes information on the total number of learners enrolled, disaggregated by gender, age, region, and education level (KG, Primary, JHS, SHS). Archiving this data over multiple years allows NaSIA to monitor changes in enrolment patterns, identify regional or gender disparities, and assess the impact of national education policies such as Free SHS or Girl Child Education initiatives. The data also helps inform decisions on resource allocation such as teacher deployment, classroom construction, and the distribution of learning materials. Consistent archiving of learner demographic data supports efforts to promote inclusiveness, address equity gaps, and ensure that every child has access to quality education, aligning with NaSIA’s vision</w:t>
      </w:r>
      <w:r w:rsidR="00C34038">
        <w:rPr>
          <w:rFonts w:ascii="Candara" w:hAnsi="Candara"/>
        </w:rPr>
        <w:t>.</w:t>
      </w:r>
      <w:r w:rsidRPr="008E7F3C">
        <w:rPr>
          <w:rFonts w:ascii="Candara" w:hAnsi="Candara"/>
        </w:rPr>
        <w:t xml:space="preserve"> </w:t>
      </w:r>
    </w:p>
    <w:p w14:paraId="03A74586" w14:textId="77777777" w:rsidR="00B40A0C" w:rsidRPr="00B40A0C" w:rsidRDefault="00B40A0C" w:rsidP="00C34038">
      <w:pPr>
        <w:spacing w:after="0"/>
        <w:rPr>
          <w:rFonts w:ascii="Candara" w:hAnsi="Candara"/>
          <w:sz w:val="8"/>
          <w:szCs w:val="8"/>
        </w:rPr>
      </w:pPr>
    </w:p>
    <w:p w14:paraId="464918E3" w14:textId="4EF8DE8C" w:rsidR="008E7F3C" w:rsidRPr="00C34038" w:rsidRDefault="008E7F3C" w:rsidP="00685DAA">
      <w:pPr>
        <w:pStyle w:val="ListParagraph"/>
        <w:numPr>
          <w:ilvl w:val="0"/>
          <w:numId w:val="2"/>
        </w:numPr>
        <w:spacing w:after="0" w:line="240" w:lineRule="auto"/>
        <w:rPr>
          <w:rFonts w:ascii="Candara" w:hAnsi="Candara"/>
          <w:b/>
          <w:bCs/>
        </w:rPr>
      </w:pPr>
      <w:r w:rsidRPr="00C34038">
        <w:rPr>
          <w:rFonts w:ascii="Candara" w:hAnsi="Candara"/>
          <w:b/>
          <w:bCs/>
        </w:rPr>
        <w:t>School Infrastructure and Resource Availability Data</w:t>
      </w:r>
    </w:p>
    <w:p w14:paraId="34A6E1BD" w14:textId="63299A39" w:rsidR="000C79F0" w:rsidRPr="008E7F3C" w:rsidRDefault="008821D7" w:rsidP="00B40A0C">
      <w:pPr>
        <w:spacing w:after="0" w:line="240" w:lineRule="auto"/>
        <w:rPr>
          <w:rFonts w:ascii="Candara" w:hAnsi="Candara"/>
        </w:rPr>
      </w:pPr>
      <w:r w:rsidRPr="008E7F3C">
        <w:rPr>
          <w:rFonts w:ascii="Candara" w:hAnsi="Candara"/>
        </w:rPr>
        <w:t>NaSIA collects data on the availability and condition of infrastructure and resources across all inspected schools. This includes details on classrooms, staff accommodation, toilet facilities, water sources, ICT labs, libraries, electricity access, furniture (e.g., desks and chairs), and teaching and learning materials. Archiving this data over the years helps track progress in improving the learning environment, identify infrastructure deficits in underserved communities, and support advocacy for targeted investments. For example, consistent data on desk-to-learner ratios or the condition of school buildings informs timely interventions by government or development partners. Preserving this dataset is crucial for strategic planning, compliance assessment, and ensuring that all schools meet the minimum standards required for effective teaching and learning.</w:t>
      </w:r>
    </w:p>
    <w:sectPr w:rsidR="000C79F0" w:rsidRPr="008E7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F44E3"/>
    <w:multiLevelType w:val="hybridMultilevel"/>
    <w:tmpl w:val="C740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40D47"/>
    <w:multiLevelType w:val="hybridMultilevel"/>
    <w:tmpl w:val="C7409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4E770C"/>
    <w:multiLevelType w:val="hybridMultilevel"/>
    <w:tmpl w:val="9DE04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283560"/>
    <w:multiLevelType w:val="hybridMultilevel"/>
    <w:tmpl w:val="C7409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AB61A3"/>
    <w:multiLevelType w:val="hybridMultilevel"/>
    <w:tmpl w:val="9DE0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294344">
    <w:abstractNumId w:val="0"/>
  </w:num>
  <w:num w:numId="2" w16cid:durableId="1763988690">
    <w:abstractNumId w:val="4"/>
  </w:num>
  <w:num w:numId="3" w16cid:durableId="1508522455">
    <w:abstractNumId w:val="2"/>
  </w:num>
  <w:num w:numId="4" w16cid:durableId="425539483">
    <w:abstractNumId w:val="1"/>
  </w:num>
  <w:num w:numId="5" w16cid:durableId="1542282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68"/>
    <w:rsid w:val="0001293F"/>
    <w:rsid w:val="000649A3"/>
    <w:rsid w:val="000A30E7"/>
    <w:rsid w:val="000C3CC1"/>
    <w:rsid w:val="000C79F0"/>
    <w:rsid w:val="001B2C38"/>
    <w:rsid w:val="001C5EA4"/>
    <w:rsid w:val="001F22BC"/>
    <w:rsid w:val="001F68BA"/>
    <w:rsid w:val="00224FCE"/>
    <w:rsid w:val="0024067C"/>
    <w:rsid w:val="00254F6F"/>
    <w:rsid w:val="0025672E"/>
    <w:rsid w:val="00263D4C"/>
    <w:rsid w:val="002B4C8F"/>
    <w:rsid w:val="002F130E"/>
    <w:rsid w:val="0032745D"/>
    <w:rsid w:val="003A4509"/>
    <w:rsid w:val="003A7A55"/>
    <w:rsid w:val="003B7476"/>
    <w:rsid w:val="003B7B84"/>
    <w:rsid w:val="0042495E"/>
    <w:rsid w:val="00436C45"/>
    <w:rsid w:val="00445A80"/>
    <w:rsid w:val="004A0821"/>
    <w:rsid w:val="004B042A"/>
    <w:rsid w:val="004E1038"/>
    <w:rsid w:val="004F69BE"/>
    <w:rsid w:val="00514D13"/>
    <w:rsid w:val="00541EEC"/>
    <w:rsid w:val="00560FEA"/>
    <w:rsid w:val="005A09F2"/>
    <w:rsid w:val="005C509B"/>
    <w:rsid w:val="005E44AD"/>
    <w:rsid w:val="0061620C"/>
    <w:rsid w:val="0062234C"/>
    <w:rsid w:val="0065125F"/>
    <w:rsid w:val="00685DAA"/>
    <w:rsid w:val="006C4E66"/>
    <w:rsid w:val="006F3E49"/>
    <w:rsid w:val="0072743B"/>
    <w:rsid w:val="007E6802"/>
    <w:rsid w:val="007F488D"/>
    <w:rsid w:val="00807EB1"/>
    <w:rsid w:val="00821426"/>
    <w:rsid w:val="008821D7"/>
    <w:rsid w:val="008E7F3C"/>
    <w:rsid w:val="008F0697"/>
    <w:rsid w:val="009130CC"/>
    <w:rsid w:val="009A5BE8"/>
    <w:rsid w:val="009A6630"/>
    <w:rsid w:val="009B53D6"/>
    <w:rsid w:val="00A0744E"/>
    <w:rsid w:val="00A07BF5"/>
    <w:rsid w:val="00A13FE0"/>
    <w:rsid w:val="00A17BE6"/>
    <w:rsid w:val="00A2723A"/>
    <w:rsid w:val="00A56A24"/>
    <w:rsid w:val="00A96E59"/>
    <w:rsid w:val="00AF2F0C"/>
    <w:rsid w:val="00B02EC4"/>
    <w:rsid w:val="00B12F89"/>
    <w:rsid w:val="00B40A0C"/>
    <w:rsid w:val="00B53AE9"/>
    <w:rsid w:val="00B9098B"/>
    <w:rsid w:val="00BD49B6"/>
    <w:rsid w:val="00C34038"/>
    <w:rsid w:val="00CE5657"/>
    <w:rsid w:val="00CF60DB"/>
    <w:rsid w:val="00D44D43"/>
    <w:rsid w:val="00DA5D91"/>
    <w:rsid w:val="00DF25A8"/>
    <w:rsid w:val="00E014B6"/>
    <w:rsid w:val="00E25F68"/>
    <w:rsid w:val="00E428F0"/>
    <w:rsid w:val="00E52883"/>
    <w:rsid w:val="00F656EF"/>
    <w:rsid w:val="00F66B84"/>
    <w:rsid w:val="00F67111"/>
    <w:rsid w:val="00F73E54"/>
    <w:rsid w:val="00FB0396"/>
    <w:rsid w:val="00FF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64E6"/>
  <w15:chartTrackingRefBased/>
  <w15:docId w15:val="{787E51A5-41C7-42FC-AE0C-AA5733C9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F68"/>
    <w:rPr>
      <w:rFonts w:eastAsiaTheme="majorEastAsia" w:cstheme="majorBidi"/>
      <w:color w:val="272727" w:themeColor="text1" w:themeTint="D8"/>
    </w:rPr>
  </w:style>
  <w:style w:type="paragraph" w:styleId="Title">
    <w:name w:val="Title"/>
    <w:basedOn w:val="Normal"/>
    <w:next w:val="Normal"/>
    <w:link w:val="TitleChar"/>
    <w:uiPriority w:val="10"/>
    <w:qFormat/>
    <w:rsid w:val="00E25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F68"/>
    <w:pPr>
      <w:spacing w:before="160"/>
      <w:jc w:val="center"/>
    </w:pPr>
    <w:rPr>
      <w:i/>
      <w:iCs/>
      <w:color w:val="404040" w:themeColor="text1" w:themeTint="BF"/>
    </w:rPr>
  </w:style>
  <w:style w:type="character" w:customStyle="1" w:styleId="QuoteChar">
    <w:name w:val="Quote Char"/>
    <w:basedOn w:val="DefaultParagraphFont"/>
    <w:link w:val="Quote"/>
    <w:uiPriority w:val="29"/>
    <w:rsid w:val="00E25F68"/>
    <w:rPr>
      <w:i/>
      <w:iCs/>
      <w:color w:val="404040" w:themeColor="text1" w:themeTint="BF"/>
    </w:rPr>
  </w:style>
  <w:style w:type="paragraph" w:styleId="ListParagraph">
    <w:name w:val="List Paragraph"/>
    <w:basedOn w:val="Normal"/>
    <w:uiPriority w:val="34"/>
    <w:qFormat/>
    <w:rsid w:val="00E25F68"/>
    <w:pPr>
      <w:ind w:left="720"/>
      <w:contextualSpacing/>
    </w:pPr>
  </w:style>
  <w:style w:type="character" w:styleId="IntenseEmphasis">
    <w:name w:val="Intense Emphasis"/>
    <w:basedOn w:val="DefaultParagraphFont"/>
    <w:uiPriority w:val="21"/>
    <w:qFormat/>
    <w:rsid w:val="00E25F68"/>
    <w:rPr>
      <w:i/>
      <w:iCs/>
      <w:color w:val="0F4761" w:themeColor="accent1" w:themeShade="BF"/>
    </w:rPr>
  </w:style>
  <w:style w:type="paragraph" w:styleId="IntenseQuote">
    <w:name w:val="Intense Quote"/>
    <w:basedOn w:val="Normal"/>
    <w:next w:val="Normal"/>
    <w:link w:val="IntenseQuoteChar"/>
    <w:uiPriority w:val="30"/>
    <w:qFormat/>
    <w:rsid w:val="00E25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F68"/>
    <w:rPr>
      <w:i/>
      <w:iCs/>
      <w:color w:val="0F4761" w:themeColor="accent1" w:themeShade="BF"/>
    </w:rPr>
  </w:style>
  <w:style w:type="character" w:styleId="IntenseReference">
    <w:name w:val="Intense Reference"/>
    <w:basedOn w:val="DefaultParagraphFont"/>
    <w:uiPriority w:val="32"/>
    <w:qFormat/>
    <w:rsid w:val="00E25F68"/>
    <w:rPr>
      <w:b/>
      <w:bCs/>
      <w:smallCaps/>
      <w:color w:val="0F4761" w:themeColor="accent1" w:themeShade="BF"/>
      <w:spacing w:val="5"/>
    </w:rPr>
  </w:style>
  <w:style w:type="table" w:styleId="TableGrid">
    <w:name w:val="Table Grid"/>
    <w:basedOn w:val="TableNormal"/>
    <w:uiPriority w:val="39"/>
    <w:rsid w:val="00E25F68"/>
    <w:pPr>
      <w:spacing w:after="0" w:line="240" w:lineRule="auto"/>
    </w:pPr>
    <w:rPr>
      <w:rFonts w:ascii="Aptos" w:eastAsia="Aptos" w:hAnsi="Aptos" w:cs="Times New Roman"/>
      <w:kern w:val="0"/>
      <w:sz w:val="22"/>
      <w:szCs w:val="22"/>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feb12c-a6c1-492f-ac1e-beac5e26b5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7D0B04B5D28F40B89C69276D88846A" ma:contentTypeVersion="12" ma:contentTypeDescription="Create a new document." ma:contentTypeScope="" ma:versionID="fcd24ef4cced60f24b75885f9f6725fb">
  <xsd:schema xmlns:xsd="http://www.w3.org/2001/XMLSchema" xmlns:xs="http://www.w3.org/2001/XMLSchema" xmlns:p="http://schemas.microsoft.com/office/2006/metadata/properties" xmlns:ns3="05feb12c-a6c1-492f-ac1e-beac5e26b5f6" targetNamespace="http://schemas.microsoft.com/office/2006/metadata/properties" ma:root="true" ma:fieldsID="04788a751aeefd1342c4d58859b1fce8" ns3:_="">
    <xsd:import namespace="05feb12c-a6c1-492f-ac1e-beac5e26b5f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eb12c-a6c1-492f-ac1e-beac5e26b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A7D75B-7F2D-44D7-B111-F1802154DCC9}">
  <ds:schemaRefs>
    <ds:schemaRef ds:uri="http://schemas.microsoft.com/office/2006/metadata/properties"/>
    <ds:schemaRef ds:uri="http://schemas.microsoft.com/office/infopath/2007/PartnerControls"/>
    <ds:schemaRef ds:uri="05feb12c-a6c1-492f-ac1e-beac5e26b5f6"/>
  </ds:schemaRefs>
</ds:datastoreItem>
</file>

<file path=customXml/itemProps2.xml><?xml version="1.0" encoding="utf-8"?>
<ds:datastoreItem xmlns:ds="http://schemas.openxmlformats.org/officeDocument/2006/customXml" ds:itemID="{8442E133-B900-42DE-8FE6-E67B5CC6222A}">
  <ds:schemaRefs>
    <ds:schemaRef ds:uri="http://schemas.microsoft.com/sharepoint/v3/contenttype/forms"/>
  </ds:schemaRefs>
</ds:datastoreItem>
</file>

<file path=customXml/itemProps3.xml><?xml version="1.0" encoding="utf-8"?>
<ds:datastoreItem xmlns:ds="http://schemas.openxmlformats.org/officeDocument/2006/customXml" ds:itemID="{29B7236E-A4A0-4422-A8E9-CF42AE8EE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feb12c-a6c1-492f-ac1e-beac5e26b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Acheampomaah Dwomoh</dc:creator>
  <cp:keywords/>
  <dc:description/>
  <cp:lastModifiedBy>Cecilia Acheampomaah Dwomoh</cp:lastModifiedBy>
  <cp:revision>2</cp:revision>
  <dcterms:created xsi:type="dcterms:W3CDTF">2025-08-14T11:01:00Z</dcterms:created>
  <dcterms:modified xsi:type="dcterms:W3CDTF">2025-08-14T11:01:00Z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0x010100E57D0B04B5D28F40B89C69276D88846A</vt:lpwstr>
  </property>
</Properties>
</file>