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line="280" w:lineRule="exact"/>
        <w:jc w:val="center"/>
      </w:pPr>
      <w:r>
        <w:rPr>
          <w:rFonts w:ascii="Arial" w:hAnsi="Arial"/>
          <w:b/>
          <w:i w:val="0"/>
          <w:color w:val="1A5276"/>
          <w:sz w:val="32"/>
        </w:rPr>
        <w:t>UNIVERSITE JOSEPH KI-ZERBO (UJKZ)</w:t>
      </w:r>
    </w:p>
    <w:p>
      <w:pPr>
        <w:spacing w:after="80" w:before="40" w:line="280" w:lineRule="exact"/>
        <w:jc w:val="center"/>
      </w:pPr>
      <w:r>
        <w:rPr>
          <w:rFonts w:ascii="Arial" w:hAnsi="Arial"/>
          <w:b w:val="0"/>
          <w:i w:val="0"/>
          <w:color w:val="555555"/>
          <w:sz w:val="26"/>
        </w:rPr>
        <w:t>Institut de Formation Ouverte et a Distance (IFOAD)</w:t>
      </w:r>
    </w:p>
    <w:p>
      <w:pPr>
        <w:spacing w:after="400" w:before="40" w:line="280" w:lineRule="exact"/>
        <w:jc w:val="center"/>
      </w:pPr>
      <w:r>
        <w:rPr>
          <w:rFonts w:ascii="Arial" w:hAnsi="Arial"/>
          <w:b w:val="0"/>
          <w:i w:val="0"/>
          <w:color w:val="555555"/>
          <w:sz w:val="22"/>
        </w:rPr>
        <w:t>Master 1 — Informatique | Promotion 2025-2026</w:t>
      </w:r>
    </w:p>
    <w:p>
      <w:pPr>
        <w:spacing w:before="80" w:after="80"/>
        <w:pBdr>
          <w:bottom w:val="single" w:sz="6" w:space="1" w:color="1A5276"/>
        </w:pBdr>
      </w:pPr>
    </w:p>
    <w:p/>
    <w:p/>
    <w:p/>
    <w:p>
      <w:pPr>
        <w:spacing w:after="200" w:before="40" w:line="280" w:lineRule="exact"/>
        <w:jc w:val="center"/>
      </w:pPr>
      <w:r>
        <w:rPr>
          <w:rFonts w:ascii="Arial" w:hAnsi="Arial"/>
          <w:b/>
          <w:i w:val="0"/>
          <w:color w:val="1A5276"/>
          <w:sz w:val="44"/>
        </w:rPr>
        <w:t>RAPPORT TECHNIQUE</w:t>
      </w:r>
    </w:p>
    <w:p>
      <w:pPr>
        <w:spacing w:after="120" w:before="40" w:line="280" w:lineRule="exact"/>
        <w:jc w:val="center"/>
      </w:pPr>
      <w:r>
        <w:rPr>
          <w:rFonts w:ascii="Arial" w:hAnsi="Arial"/>
          <w:b/>
          <w:i w:val="0"/>
          <w:color w:val="1A5276"/>
          <w:sz w:val="36"/>
        </w:rPr>
        <w:t>Conception d'un Agent IA Assistant</w:t>
      </w:r>
    </w:p>
    <w:p>
      <w:pPr>
        <w:spacing w:after="320" w:before="40" w:line="280" w:lineRule="exact"/>
        <w:jc w:val="center"/>
      </w:pPr>
      <w:r>
        <w:rPr>
          <w:rFonts w:ascii="Arial" w:hAnsi="Arial"/>
          <w:b/>
          <w:i w:val="0"/>
          <w:color w:val="1A5276"/>
          <w:sz w:val="36"/>
        </w:rPr>
        <w:t>&amp; Systeme RAG Intelligent</w:t>
      </w:r>
    </w:p>
    <w:p>
      <w:pPr>
        <w:spacing w:after="80" w:before="40" w:line="280" w:lineRule="exact"/>
        <w:jc w:val="center"/>
      </w:pPr>
      <w:r>
        <w:rPr>
          <w:rFonts w:ascii="Arial" w:hAnsi="Arial"/>
          <w:b w:val="0"/>
          <w:i/>
          <w:color w:val="1F618D"/>
          <w:sz w:val="26"/>
        </w:rPr>
        <w:t>Option 3 : Agent d'Orientation Medicale &amp; Prevention Sanitaire</w:t>
      </w:r>
    </w:p>
    <w:p>
      <w:pPr>
        <w:spacing w:after="600" w:before="40" w:line="280" w:lineRule="exact"/>
        <w:jc w:val="center"/>
      </w:pPr>
      <w:r>
        <w:rPr>
          <w:rFonts w:ascii="Arial" w:hAnsi="Arial"/>
          <w:b w:val="0"/>
          <w:i/>
          <w:color w:val="555555"/>
          <w:sz w:val="24"/>
        </w:rPr>
        <w:t>Assistant IA pour la Sante Communautaire au Burkina Faso</w:t>
      </w:r>
    </w:p>
    <w:p/>
    <w:p/>
    <w:p/>
    <w:p>
      <w:pPr>
        <w:spacing w:before="80" w:after="80"/>
        <w:pBdr>
          <w:bottom w:val="single" w:sz="6" w:space="1" w:color="1A5276"/>
        </w:pBdr>
      </w:pPr>
    </w:p>
    <w:p>
      <w:pPr>
        <w:spacing w:after="120" w:before="40" w:line="280" w:lineRule="exact"/>
        <w:jc w:val="center"/>
      </w:pPr>
      <w:r>
        <w:rPr>
          <w:rFonts w:ascii="Arial" w:hAnsi="Arial"/>
          <w:b w:val="0"/>
          <w:i w:val="0"/>
          <w:color w:val="555555"/>
          <w:sz w:val="22"/>
        </w:rPr>
        <w:t>Enseignant responsable : Dr Delwende D. Arthur Sawadogo</w:t>
      </w:r>
    </w:p>
    <w:p>
      <w:pPr>
        <w:spacing w:after="120" w:before="40" w:line="280" w:lineRule="exact"/>
        <w:jc w:val="center"/>
      </w:pPr>
      <w:r>
        <w:rPr>
          <w:rFonts w:ascii="Arial" w:hAnsi="Arial"/>
          <w:b/>
          <w:i w:val="0"/>
          <w:color w:val="1A5276"/>
          <w:sz w:val="22"/>
        </w:rPr>
        <w:t>Projet Data Science — Edition 2026</w:t>
      </w:r>
    </w:p>
    <w:p>
      <w:pPr>
        <w:spacing w:after="400" w:before="40" w:line="280" w:lineRule="exact"/>
        <w:jc w:val="center"/>
      </w:pPr>
      <w:r>
        <w:rPr>
          <w:rFonts w:ascii="Arial" w:hAnsi="Arial"/>
          <w:b w:val="0"/>
          <w:i w:val="0"/>
          <w:color w:val="555555"/>
          <w:sz w:val="20"/>
        </w:rPr>
        <w:t>Realise du 26 juin au 13 juillet 2026</w:t>
      </w:r>
    </w:p>
    <w:p>
      <w:r>
        <w:br w:type="page"/>
      </w:r>
    </w:p>
    <w:p>
      <w:pPr>
        <w:pStyle w:val="Heading1"/>
        <w:spacing w:before="280" w:after="120"/>
      </w:pPr>
      <w:r>
        <w:rPr>
          <w:rFonts w:ascii="Arial" w:hAnsi="Arial"/>
          <w:color w:val="1A5276"/>
          <w:sz w:val="36"/>
        </w:rPr>
        <w:t>1. Resume executif</w:t>
      </w:r>
    </w:p>
    <w:p>
      <w:pPr>
        <w:spacing w:before="80" w:after="80"/>
        <w:pBdr>
          <w:bottom w:val="single" w:sz="6" w:space="1" w:color="1A5276"/>
        </w:pBdr>
      </w:pPr>
    </w:p>
    <w:p>
      <w:pPr>
        <w:spacing w:after="120" w:before="40" w:line="280" w:lineRule="exact"/>
        <w:jc w:val="both"/>
      </w:pPr>
      <w:r>
        <w:rPr>
          <w:rFonts w:ascii="Arial" w:hAnsi="Arial"/>
          <w:b w:val="0"/>
          <w:i w:val="0"/>
          <w:sz w:val="22"/>
        </w:rPr>
        <w:t>Ce rapport presente la conception et l'implementation d'un agent IA conversationnel base sur l'architecture RAG (Retrieval-Augmented Generation) pour l'orientation medicale et la prevention sanitaire au Burkina Faso. Le systeme permet a tout citoyen d'obtenir des informations fiables sur le paludisme, la dengue, la nutrition, les maladies courantes, la sante maternelle et les structures de soins.</w:t>
      </w:r>
    </w:p>
    <w:p>
      <w:pPr>
        <w:spacing w:after="120" w:before="40" w:line="280" w:lineRule="exact"/>
        <w:jc w:val="both"/>
      </w:pPr>
      <w:r>
        <w:rPr>
          <w:rFonts w:ascii="Arial" w:hAnsi="Arial"/>
          <w:b w:val="0"/>
          <w:i w:val="0"/>
          <w:sz w:val="22"/>
        </w:rPr>
        <w:t>L'innovation principale reside dans l'utilisation d'un algorithme TF-IDF (Term Frequency-Inverse Document Frequency) implemente en Python natif, sans aucune dependance a des bibliotheques de deep learning, couple au modele LLaMA 3.1 via l'API Groq. Cette approche garantit la portabilite totale du systeme et un controle strict de l'hallucination.</w:t>
      </w:r>
    </w:p>
    <w:p/>
    <w:tbl>
      <w:tblPr>
        <w:tblStyle w:val="TableGrid"/>
        <w:tblW w:type="auto" w:w="0"/>
        <w:tblLook w:firstColumn="1" w:firstRow="1" w:lastColumn="0" w:lastRow="0" w:noHBand="0" w:noVBand="1" w:val="04A0"/>
      </w:tblPr>
      <w:tblGrid>
        <w:gridCol w:w="4703"/>
        <w:gridCol w:w="4703"/>
      </w:tblGrid>
      <w:tr>
        <w:tc>
          <w:tcPr>
            <w:tcW w:type="dxa" w:w="2835"/>
            <w:shd w:val="clear" w:color="auto" w:fill="1A5276"/>
          </w:tcPr>
          <w:p>
            <w:pPr>
              <w:jc w:val="center"/>
            </w:pPr>
            <w:r>
              <w:rPr>
                <w:rFonts w:ascii="Arial" w:hAnsi="Arial"/>
                <w:b/>
                <w:color w:val="FFFFFF"/>
                <w:sz w:val="20"/>
              </w:rPr>
              <w:t>Critere</w:t>
            </w:r>
          </w:p>
        </w:tc>
        <w:tc>
          <w:tcPr>
            <w:tcW w:type="dxa" w:w="6066"/>
            <w:shd w:val="clear" w:color="auto" w:fill="1A5276"/>
          </w:tcPr>
          <w:p>
            <w:pPr>
              <w:jc w:val="center"/>
            </w:pPr>
            <w:r>
              <w:rPr>
                <w:rFonts w:ascii="Arial" w:hAnsi="Arial"/>
                <w:b/>
                <w:color w:val="FFFFFF"/>
                <w:sz w:val="20"/>
              </w:rPr>
              <w:t>Valeur</w:t>
            </w:r>
          </w:p>
        </w:tc>
      </w:tr>
      <w:tr>
        <w:tc>
          <w:tcPr>
            <w:tcW w:type="dxa" w:w="2835"/>
            <w:shd w:val="clear" w:color="auto" w:fill="EBF5FB"/>
          </w:tcPr>
          <w:p>
            <w:r>
              <w:rPr>
                <w:rFonts w:ascii="Arial" w:hAnsi="Arial"/>
                <w:sz w:val="20"/>
              </w:rPr>
              <w:t>Domaine</w:t>
            </w:r>
          </w:p>
        </w:tc>
        <w:tc>
          <w:tcPr>
            <w:tcW w:type="dxa" w:w="6066"/>
            <w:shd w:val="clear" w:color="auto" w:fill="EBF5FB"/>
          </w:tcPr>
          <w:p>
            <w:r>
              <w:rPr>
                <w:rFonts w:ascii="Arial" w:hAnsi="Arial"/>
                <w:sz w:val="20"/>
              </w:rPr>
              <w:t>Sante medicale et prevention — Burkina Faso</w:t>
            </w:r>
          </w:p>
        </w:tc>
      </w:tr>
      <w:tr>
        <w:tc>
          <w:tcPr>
            <w:tcW w:type="dxa" w:w="2835"/>
            <w:shd w:val="clear" w:color="auto" w:fill="FFFFFF"/>
          </w:tcPr>
          <w:p>
            <w:r>
              <w:rPr>
                <w:rFonts w:ascii="Arial" w:hAnsi="Arial"/>
                <w:sz w:val="20"/>
              </w:rPr>
              <w:t>Algorithme de retrieval</w:t>
            </w:r>
          </w:p>
        </w:tc>
        <w:tc>
          <w:tcPr>
            <w:tcW w:type="dxa" w:w="6066"/>
            <w:shd w:val="clear" w:color="auto" w:fill="FFFFFF"/>
          </w:tcPr>
          <w:p>
            <w:r>
              <w:rPr>
                <w:rFonts w:ascii="Arial" w:hAnsi="Arial"/>
                <w:sz w:val="20"/>
              </w:rPr>
              <w:t>TF-IDF + similarite cosinus (pure Python)</w:t>
            </w:r>
          </w:p>
        </w:tc>
      </w:tr>
      <w:tr>
        <w:tc>
          <w:tcPr>
            <w:tcW w:type="dxa" w:w="2835"/>
            <w:shd w:val="clear" w:color="auto" w:fill="EBF5FB"/>
          </w:tcPr>
          <w:p>
            <w:r>
              <w:rPr>
                <w:rFonts w:ascii="Arial" w:hAnsi="Arial"/>
                <w:sz w:val="20"/>
              </w:rPr>
              <w:t>Modele LLM</w:t>
            </w:r>
          </w:p>
        </w:tc>
        <w:tc>
          <w:tcPr>
            <w:tcW w:type="dxa" w:w="6066"/>
            <w:shd w:val="clear" w:color="auto" w:fill="EBF5FB"/>
          </w:tcPr>
          <w:p>
            <w:r>
              <w:rPr>
                <w:rFonts w:ascii="Arial" w:hAnsi="Arial"/>
                <w:sz w:val="20"/>
              </w:rPr>
              <w:t>LLaMA 3.1-8b-instant via API Groq (gratuit)</w:t>
            </w:r>
          </w:p>
        </w:tc>
      </w:tr>
      <w:tr>
        <w:tc>
          <w:tcPr>
            <w:tcW w:type="dxa" w:w="2835"/>
            <w:shd w:val="clear" w:color="auto" w:fill="FFFFFF"/>
          </w:tcPr>
          <w:p>
            <w:r>
              <w:rPr>
                <w:rFonts w:ascii="Arial" w:hAnsi="Arial"/>
                <w:sz w:val="20"/>
              </w:rPr>
              <w:t>Interface utilisateur</w:t>
            </w:r>
          </w:p>
        </w:tc>
        <w:tc>
          <w:tcPr>
            <w:tcW w:type="dxa" w:w="6066"/>
            <w:shd w:val="clear" w:color="auto" w:fill="FFFFFF"/>
          </w:tcPr>
          <w:p>
            <w:r>
              <w:rPr>
                <w:rFonts w:ascii="Arial" w:hAnsi="Arial"/>
                <w:sz w:val="20"/>
              </w:rPr>
              <w:t>Streamlit (3 onglets)</w:t>
            </w:r>
          </w:p>
        </w:tc>
      </w:tr>
      <w:tr>
        <w:tc>
          <w:tcPr>
            <w:tcW w:type="dxa" w:w="2835"/>
            <w:shd w:val="clear" w:color="auto" w:fill="EBF5FB"/>
          </w:tcPr>
          <w:p>
            <w:r>
              <w:rPr>
                <w:rFonts w:ascii="Arial" w:hAnsi="Arial"/>
                <w:sz w:val="20"/>
              </w:rPr>
              <w:t>Segments indexes</w:t>
            </w:r>
          </w:p>
        </w:tc>
        <w:tc>
          <w:tcPr>
            <w:tcW w:type="dxa" w:w="6066"/>
            <w:shd w:val="clear" w:color="auto" w:fill="EBF5FB"/>
          </w:tcPr>
          <w:p>
            <w:r>
              <w:rPr>
                <w:rFonts w:ascii="Arial" w:hAnsi="Arial"/>
                <w:sz w:val="20"/>
              </w:rPr>
              <w:t>~70+ segments sur 7 themes de sante</w:t>
            </w:r>
          </w:p>
        </w:tc>
      </w:tr>
      <w:tr>
        <w:tc>
          <w:tcPr>
            <w:tcW w:type="dxa" w:w="2835"/>
            <w:shd w:val="clear" w:color="auto" w:fill="FFFFFF"/>
          </w:tcPr>
          <w:p>
            <w:r>
              <w:rPr>
                <w:rFonts w:ascii="Arial" w:hAnsi="Arial"/>
                <w:sz w:val="20"/>
              </w:rPr>
              <w:t>Deploiement cible</w:t>
            </w:r>
          </w:p>
        </w:tc>
        <w:tc>
          <w:tcPr>
            <w:tcW w:type="dxa" w:w="6066"/>
            <w:shd w:val="clear" w:color="auto" w:fill="FFFFFF"/>
          </w:tcPr>
          <w:p>
            <w:r>
              <w:rPr>
                <w:rFonts w:ascii="Arial" w:hAnsi="Arial"/>
                <w:sz w:val="20"/>
              </w:rPr>
              <w:t>Streamlit Community Cloud (lien public)</w:t>
            </w:r>
          </w:p>
        </w:tc>
      </w:tr>
      <w:tr>
        <w:tc>
          <w:tcPr>
            <w:tcW w:type="dxa" w:w="2835"/>
            <w:shd w:val="clear" w:color="auto" w:fill="EBF5FB"/>
          </w:tcPr>
          <w:p>
            <w:r>
              <w:rPr>
                <w:rFonts w:ascii="Arial" w:hAnsi="Arial"/>
                <w:sz w:val="20"/>
              </w:rPr>
              <w:t>Dependances Python</w:t>
            </w:r>
          </w:p>
        </w:tc>
        <w:tc>
          <w:tcPr>
            <w:tcW w:type="dxa" w:w="6066"/>
            <w:shd w:val="clear" w:color="auto" w:fill="EBF5FB"/>
          </w:tcPr>
          <w:p>
            <w:r>
              <w:rPr>
                <w:rFonts w:ascii="Arial" w:hAnsi="Arial"/>
                <w:sz w:val="20"/>
              </w:rPr>
              <w:t>streamlit + groq (seulement 2 packages)</w:t>
            </w:r>
          </w:p>
        </w:tc>
      </w:tr>
    </w:tbl>
    <w:p/>
    <w:p>
      <w:r>
        <w:br w:type="page"/>
      </w:r>
    </w:p>
    <w:p>
      <w:pPr>
        <w:pStyle w:val="Heading1"/>
        <w:spacing w:before="280" w:after="120"/>
      </w:pPr>
      <w:r>
        <w:rPr>
          <w:rFonts w:ascii="Arial" w:hAnsi="Arial"/>
          <w:color w:val="1A5276"/>
          <w:sz w:val="36"/>
        </w:rPr>
        <w:t>2. Introduction</w:t>
      </w:r>
    </w:p>
    <w:p>
      <w:pPr>
        <w:spacing w:before="80" w:after="80"/>
        <w:pBdr>
          <w:bottom w:val="single" w:sz="6" w:space="1" w:color="1A5276"/>
        </w:pBdr>
      </w:pPr>
    </w:p>
    <w:p>
      <w:pPr>
        <w:pStyle w:val="Heading2"/>
        <w:spacing w:before="280" w:after="120"/>
      </w:pPr>
      <w:r>
        <w:rPr>
          <w:rFonts w:ascii="Arial" w:hAnsi="Arial"/>
          <w:color w:val="1F618D"/>
          <w:sz w:val="28"/>
        </w:rPr>
        <w:t>2.1 Contexte et problematique</w:t>
      </w:r>
    </w:p>
    <w:p>
      <w:pPr>
        <w:spacing w:after="120" w:before="40" w:line="280" w:lineRule="exact"/>
        <w:jc w:val="both"/>
      </w:pPr>
      <w:r>
        <w:rPr>
          <w:rFonts w:ascii="Arial" w:hAnsi="Arial"/>
          <w:b w:val="0"/>
          <w:i w:val="0"/>
          <w:sz w:val="22"/>
        </w:rPr>
        <w:t>Le Burkina Faso fait face a des defis sanitaires majeurs : le paludisme est la premiere cause de mortalite infantile, les epidemies de dengue et de meningite frappent regulierement, et la malnutrition touche une large fraction de la population. L'acces a l'information medicale fiable reste difficile, notamment dans les zones rurales et pour les populations peu scolarisees.</w:t>
      </w:r>
    </w:p>
    <w:p>
      <w:pPr>
        <w:spacing w:after="120" w:before="40" w:line="280" w:lineRule="exact"/>
        <w:jc w:val="both"/>
      </w:pPr>
      <w:r>
        <w:rPr>
          <w:rFonts w:ascii="Arial" w:hAnsi="Arial"/>
          <w:b w:val="0"/>
          <w:i w:val="0"/>
          <w:sz w:val="22"/>
        </w:rPr>
        <w:t>La montee en puissance des modeles de langage generatifs (LLM) offre une opportunite sans precedent : creer des assistants conversationnels repondant a des questions medicales en langue naturelle. Cependant, ces modeles souffrent du phenomene d'hallucination : ils peuvent generer des informations medicales erronees avec une apparence de confiance.</w:t>
      </w:r>
    </w:p>
    <w:p>
      <w:pPr>
        <w:pStyle w:val="Heading2"/>
        <w:spacing w:before="280" w:after="120"/>
      </w:pPr>
      <w:r>
        <w:rPr>
          <w:rFonts w:ascii="Arial" w:hAnsi="Arial"/>
          <w:color w:val="1F618D"/>
          <w:sz w:val="28"/>
        </w:rPr>
        <w:t>2.2 Objectif du projet</w:t>
      </w:r>
    </w:p>
    <w:p>
      <w:pPr>
        <w:spacing w:after="120" w:before="40" w:line="280" w:lineRule="exact"/>
        <w:jc w:val="both"/>
      </w:pPr>
      <w:r>
        <w:rPr>
          <w:rFonts w:ascii="Arial" w:hAnsi="Arial"/>
          <w:b w:val="0"/>
          <w:i w:val="0"/>
          <w:sz w:val="22"/>
        </w:rPr>
        <w:t>L'objectif est de concevoir un agent IA qui depasse le simple chatbot en ancrant ses reponses dans une base de connaissances locale verifiee. L'architecture RAG (Retrieval-Augmented Generation) repond exactement a ce besoin : avant de generer une reponse, le systeme recherche les passages pertinents dans sa base documentaire et les injecte comme contexte au modele de langage.</w:t>
      </w:r>
    </w:p>
    <w:p>
      <w:pPr>
        <w:pStyle w:val="Heading2"/>
        <w:spacing w:before="280" w:after="120"/>
      </w:pPr>
      <w:r>
        <w:rPr>
          <w:rFonts w:ascii="Arial" w:hAnsi="Arial"/>
          <w:color w:val="1F618D"/>
          <w:sz w:val="28"/>
        </w:rPr>
        <w:t>2.3 Domaines couverts (Option 3 — Sante)</w:t>
      </w:r>
    </w:p>
    <w:p>
      <w:pPr>
        <w:pStyle w:val="ListBullet"/>
        <w:spacing w:after="60" w:before="20"/>
      </w:pPr>
      <w:r>
        <w:rPr>
          <w:rFonts w:ascii="Arial" w:hAnsi="Arial"/>
          <w:b w:val="0"/>
          <w:sz w:val="22"/>
        </w:rPr>
        <w:t>Paludisme : symptomes, prevention, traitement, protocole national</w:t>
      </w:r>
    </w:p>
    <w:p>
      <w:pPr>
        <w:pStyle w:val="ListBullet"/>
        <w:spacing w:after="60" w:before="20"/>
      </w:pPr>
      <w:r>
        <w:rPr>
          <w:rFonts w:ascii="Arial" w:hAnsi="Arial"/>
          <w:b w:val="0"/>
          <w:sz w:val="22"/>
        </w:rPr>
        <w:t>Dengue : symptomes, prevention, differenciation avec le paludisme</w:t>
      </w:r>
    </w:p>
    <w:p>
      <w:pPr>
        <w:pStyle w:val="ListBullet"/>
        <w:spacing w:after="60" w:before="20"/>
      </w:pPr>
      <w:r>
        <w:rPr>
          <w:rFonts w:ascii="Arial" w:hAnsi="Arial"/>
          <w:b w:val="0"/>
          <w:sz w:val="22"/>
        </w:rPr>
        <w:t>Nutrition : alimentation saine avec les aliments locaux burkinabe</w:t>
      </w:r>
    </w:p>
    <w:p>
      <w:pPr>
        <w:pStyle w:val="ListBullet"/>
        <w:spacing w:after="60" w:before="20"/>
      </w:pPr>
      <w:r>
        <w:rPr>
          <w:rFonts w:ascii="Arial" w:hAnsi="Arial"/>
          <w:b w:val="0"/>
          <w:sz w:val="22"/>
        </w:rPr>
        <w:t>Cholera &amp; Meningite : prevention, rehydratation, hygiene</w:t>
      </w:r>
    </w:p>
    <w:p>
      <w:pPr>
        <w:pStyle w:val="ListBullet"/>
        <w:spacing w:after="60" w:before="20"/>
      </w:pPr>
      <w:r>
        <w:rPr>
          <w:rFonts w:ascii="Arial" w:hAnsi="Arial"/>
          <w:b w:val="0"/>
          <w:sz w:val="22"/>
        </w:rPr>
        <w:t>Sante maternelle &amp; infantile : CPN, accouchement, allaitement</w:t>
      </w:r>
    </w:p>
    <w:p>
      <w:pPr>
        <w:pStyle w:val="ListBullet"/>
        <w:spacing w:after="60" w:before="20"/>
      </w:pPr>
      <w:r>
        <w:rPr>
          <w:rFonts w:ascii="Arial" w:hAnsi="Arial"/>
          <w:b w:val="0"/>
          <w:sz w:val="22"/>
        </w:rPr>
        <w:t>Vaccination : calendrier national PEV complet</w:t>
      </w:r>
    </w:p>
    <w:p>
      <w:pPr>
        <w:pStyle w:val="ListBullet"/>
        <w:spacing w:after="60" w:before="20"/>
      </w:pPr>
      <w:r>
        <w:rPr>
          <w:rFonts w:ascii="Arial" w:hAnsi="Arial"/>
          <w:b w:val="0"/>
          <w:sz w:val="22"/>
        </w:rPr>
        <w:t>Pharmacies &amp; CHU : annuaire des centres de sante et contacts d'urgence</w:t>
      </w:r>
    </w:p>
    <w:p>
      <w:r>
        <w:br w:type="page"/>
      </w:r>
    </w:p>
    <w:p>
      <w:pPr>
        <w:pStyle w:val="Heading1"/>
        <w:spacing w:before="280" w:after="120"/>
      </w:pPr>
      <w:r>
        <w:rPr>
          <w:rFonts w:ascii="Arial" w:hAnsi="Arial"/>
          <w:color w:val="1A5276"/>
          <w:sz w:val="36"/>
        </w:rPr>
        <w:t>3. Architecture du systeme RAG</w:t>
      </w:r>
    </w:p>
    <w:p>
      <w:pPr>
        <w:spacing w:before="80" w:after="80"/>
        <w:pBdr>
          <w:bottom w:val="single" w:sz="6" w:space="1" w:color="1A5276"/>
        </w:pBdr>
      </w:pPr>
    </w:p>
    <w:p>
      <w:pPr>
        <w:pStyle w:val="Heading2"/>
        <w:spacing w:before="280" w:after="120"/>
      </w:pPr>
      <w:r>
        <w:rPr>
          <w:rFonts w:ascii="Arial" w:hAnsi="Arial"/>
          <w:color w:val="1F618D"/>
          <w:sz w:val="28"/>
        </w:rPr>
        <w:t>3.1 Vue d'ensemble du flux de donnees</w:t>
      </w:r>
    </w:p>
    <w:p>
      <w:pPr>
        <w:spacing w:after="120" w:before="40" w:line="280" w:lineRule="exact"/>
        <w:jc w:val="both"/>
      </w:pPr>
      <w:r>
        <w:rPr>
          <w:rFonts w:ascii="Arial" w:hAnsi="Arial"/>
          <w:b w:val="0"/>
          <w:i w:val="0"/>
          <w:sz w:val="22"/>
        </w:rPr>
        <w:t>Le systeme se compose de deux grandes phases :</w:t>
      </w:r>
    </w:p>
    <w:p>
      <w:pPr>
        <w:spacing w:after="0" w:before="0"/>
        <w:ind w:left="567"/>
        <w:shd w:val="clear" w:color="auto" w:fill="F2F3F4"/>
      </w:pPr>
      <w:r>
        <w:rPr>
          <w:rFonts w:ascii="Courier New" w:hAnsi="Courier New"/>
          <w:color w:val="212121"/>
          <w:sz w:val="18"/>
        </w:rPr>
        <w:t>+----------------------------------------------------------+</w:t>
      </w:r>
    </w:p>
    <w:p>
      <w:pPr>
        <w:spacing w:after="0" w:before="0"/>
        <w:ind w:left="567"/>
        <w:shd w:val="clear" w:color="auto" w:fill="F2F3F4"/>
      </w:pPr>
      <w:r>
        <w:rPr>
          <w:rFonts w:ascii="Courier New" w:hAnsi="Courier New"/>
          <w:color w:val="212121"/>
          <w:sz w:val="18"/>
        </w:rPr>
        <w:t>|                   PHASE D'INGESTION                     |</w:t>
      </w:r>
    </w:p>
    <w:p>
      <w:pPr>
        <w:spacing w:after="0" w:before="0"/>
        <w:ind w:left="567"/>
        <w:shd w:val="clear" w:color="auto" w:fill="F2F3F4"/>
      </w:pPr>
      <w:r>
        <w:rPr>
          <w:rFonts w:ascii="Courier New" w:hAnsi="Courier New"/>
          <w:color w:val="212121"/>
          <w:sz w:val="18"/>
        </w:rPr>
        <w:t>|                    (ingest.py)                          |</w:t>
      </w:r>
    </w:p>
    <w:p>
      <w:pPr>
        <w:spacing w:after="0" w:before="0"/>
        <w:ind w:left="567"/>
        <w:shd w:val="clear" w:color="auto" w:fill="F2F3F4"/>
      </w:pPr>
      <w:r>
        <w:rPr>
          <w:rFonts w:ascii="Courier New" w:hAnsi="Courier New"/>
          <w:color w:val="212121"/>
          <w:sz w:val="18"/>
        </w:rPr>
        <w:t>|                                                          |</w:t>
      </w:r>
    </w:p>
    <w:p>
      <w:pPr>
        <w:spacing w:after="0" w:before="0"/>
        <w:ind w:left="567"/>
        <w:shd w:val="clear" w:color="auto" w:fill="F2F3F4"/>
      </w:pPr>
      <w:r>
        <w:rPr>
          <w:rFonts w:ascii="Courier New" w:hAnsi="Courier New"/>
          <w:color w:val="212121"/>
          <w:sz w:val="18"/>
        </w:rPr>
        <w:t>|  Fichiers .txt --&gt; Chunking --&gt; Tokenisation            |</w:t>
      </w:r>
    </w:p>
    <w:p>
      <w:pPr>
        <w:spacing w:after="0" w:before="0"/>
        <w:ind w:left="567"/>
        <w:shd w:val="clear" w:color="auto" w:fill="F2F3F4"/>
      </w:pPr>
      <w:r>
        <w:rPr>
          <w:rFonts w:ascii="Courier New" w:hAnsi="Courier New"/>
          <w:color w:val="212121"/>
          <w:sz w:val="18"/>
        </w:rPr>
        <w:t>|     data/*.txt    500 car.   + stopwords FR            |</w:t>
      </w:r>
    </w:p>
    <w:p>
      <w:pPr>
        <w:spacing w:after="0" w:before="0"/>
        <w:ind w:left="567"/>
        <w:shd w:val="clear" w:color="auto" w:fill="F2F3F4"/>
      </w:pPr>
      <w:r>
        <w:rPr>
          <w:rFonts w:ascii="Courier New" w:hAnsi="Courier New"/>
          <w:color w:val="212121"/>
          <w:sz w:val="18"/>
        </w:rPr>
        <w:t>|                       |                                  |</w:t>
      </w:r>
    </w:p>
    <w:p>
      <w:pPr>
        <w:spacing w:after="0" w:before="0"/>
        <w:ind w:left="567"/>
        <w:shd w:val="clear" w:color="auto" w:fill="F2F3F4"/>
      </w:pPr>
      <w:r>
        <w:rPr>
          <w:rFonts w:ascii="Courier New" w:hAnsi="Courier New"/>
          <w:color w:val="212121"/>
          <w:sz w:val="18"/>
        </w:rPr>
        <w:t>|                  Calcul TF-IDF --&gt; knowledge_base.json  |</w:t>
      </w:r>
    </w:p>
    <w:p>
      <w:pPr>
        <w:spacing w:after="0" w:before="0"/>
        <w:ind w:left="567"/>
        <w:shd w:val="clear" w:color="auto" w:fill="F2F3F4"/>
      </w:pPr>
      <w:r>
        <w:rPr>
          <w:rFonts w:ascii="Courier New" w:hAnsi="Courier New"/>
          <w:color w:val="212121"/>
          <w:sz w:val="18"/>
        </w:rPr>
        <w:t>|                 (pure Python)    tfidf_index.json       |</w:t>
      </w:r>
    </w:p>
    <w:p>
      <w:pPr>
        <w:spacing w:after="0" w:before="0"/>
        <w:ind w:left="567"/>
        <w:shd w:val="clear" w:color="auto" w:fill="F2F3F4"/>
      </w:pPr>
      <w:r>
        <w:rPr>
          <w:rFonts w:ascii="Courier New" w:hAnsi="Courier New"/>
          <w:color w:val="212121"/>
          <w:sz w:val="18"/>
        </w:rPr>
        <w:t>+----------------------------------------------------------+</w:t>
      </w:r>
    </w:p>
    <w:p>
      <w:pPr>
        <w:spacing w:after="0" w:before="0"/>
        <w:ind w:left="567"/>
        <w:shd w:val="clear" w:color="auto" w:fill="F2F3F4"/>
      </w:pPr>
      <w:r>
        <w:rPr>
          <w:rFonts w:ascii="Courier New" w:hAnsi="Courier New"/>
          <w:color w:val="212121"/>
          <w:sz w:val="18"/>
        </w:rPr>
        <w:t xml:space="preserve">                          |</w:t>
      </w:r>
    </w:p>
    <w:p>
      <w:pPr>
        <w:spacing w:after="0" w:before="0"/>
        <w:ind w:left="567"/>
        <w:shd w:val="clear" w:color="auto" w:fill="F2F3F4"/>
      </w:pPr>
      <w:r>
        <w:rPr>
          <w:rFonts w:ascii="Courier New" w:hAnsi="Courier New"/>
          <w:color w:val="212121"/>
          <w:sz w:val="18"/>
        </w:rPr>
        <w:t xml:space="preserve">                          v</w:t>
      </w:r>
    </w:p>
    <w:p>
      <w:pPr>
        <w:spacing w:after="0" w:before="0"/>
        <w:ind w:left="567"/>
        <w:shd w:val="clear" w:color="auto" w:fill="F2F3F4"/>
      </w:pPr>
      <w:r>
        <w:rPr>
          <w:rFonts w:ascii="Courier New" w:hAnsi="Courier New"/>
          <w:color w:val="212121"/>
          <w:sz w:val="18"/>
        </w:rPr>
        <w:t>+----------------------------------------------------------+</w:t>
      </w:r>
    </w:p>
    <w:p>
      <w:pPr>
        <w:spacing w:after="0" w:before="0"/>
        <w:ind w:left="567"/>
        <w:shd w:val="clear" w:color="auto" w:fill="F2F3F4"/>
      </w:pPr>
      <w:r>
        <w:rPr>
          <w:rFonts w:ascii="Courier New" w:hAnsi="Courier New"/>
          <w:color w:val="212121"/>
          <w:sz w:val="18"/>
        </w:rPr>
        <w:t>|               PHASE DE CONSULTATION                     |</w:t>
      </w:r>
    </w:p>
    <w:p>
      <w:pPr>
        <w:spacing w:after="0" w:before="0"/>
        <w:ind w:left="567"/>
        <w:shd w:val="clear" w:color="auto" w:fill="F2F3F4"/>
      </w:pPr>
      <w:r>
        <w:rPr>
          <w:rFonts w:ascii="Courier New" w:hAnsi="Courier New"/>
          <w:color w:val="212121"/>
          <w:sz w:val="18"/>
        </w:rPr>
        <w:t>|                   (app.py)                              |</w:t>
      </w:r>
    </w:p>
    <w:p>
      <w:pPr>
        <w:spacing w:after="0" w:before="0"/>
        <w:ind w:left="567"/>
        <w:shd w:val="clear" w:color="auto" w:fill="F2F3F4"/>
      </w:pPr>
      <w:r>
        <w:rPr>
          <w:rFonts w:ascii="Courier New" w:hAnsi="Courier New"/>
          <w:color w:val="212121"/>
          <w:sz w:val="18"/>
        </w:rPr>
        <w:t>|                                                          |</w:t>
      </w:r>
    </w:p>
    <w:p>
      <w:pPr>
        <w:spacing w:after="0" w:before="0"/>
        <w:ind w:left="567"/>
        <w:shd w:val="clear" w:color="auto" w:fill="F2F3F4"/>
      </w:pPr>
      <w:r>
        <w:rPr>
          <w:rFonts w:ascii="Courier New" w:hAnsi="Courier New"/>
          <w:color w:val="212121"/>
          <w:sz w:val="18"/>
        </w:rPr>
        <w:t>|  Question --&gt; Tokenisation --&gt; Vecteur TF-IDF           |</w:t>
      </w:r>
    </w:p>
    <w:p>
      <w:pPr>
        <w:spacing w:after="0" w:before="0"/>
        <w:ind w:left="567"/>
        <w:shd w:val="clear" w:color="auto" w:fill="F2F3F4"/>
      </w:pPr>
      <w:r>
        <w:rPr>
          <w:rFonts w:ascii="Courier New" w:hAnsi="Courier New"/>
          <w:color w:val="212121"/>
          <w:sz w:val="18"/>
        </w:rPr>
        <w:t>|                                                          |</w:t>
      </w:r>
    </w:p>
    <w:p>
      <w:pPr>
        <w:spacing w:after="0" w:before="0"/>
        <w:ind w:left="567"/>
        <w:shd w:val="clear" w:color="auto" w:fill="F2F3F4"/>
      </w:pPr>
      <w:r>
        <w:rPr>
          <w:rFonts w:ascii="Courier New" w:hAnsi="Courier New"/>
          <w:color w:val="212121"/>
          <w:sz w:val="18"/>
        </w:rPr>
        <w:t>|  Similarite cosinus avec index --&gt; Top-5 segments       |</w:t>
      </w:r>
    </w:p>
    <w:p>
      <w:pPr>
        <w:spacing w:after="0" w:before="0"/>
        <w:ind w:left="567"/>
        <w:shd w:val="clear" w:color="auto" w:fill="F2F3F4"/>
      </w:pPr>
      <w:r>
        <w:rPr>
          <w:rFonts w:ascii="Courier New" w:hAnsi="Courier New"/>
          <w:color w:val="212121"/>
          <w:sz w:val="18"/>
        </w:rPr>
        <w:t>|                                                          |</w:t>
      </w:r>
    </w:p>
    <w:p>
      <w:pPr>
        <w:spacing w:after="0" w:before="0"/>
        <w:ind w:left="567"/>
        <w:shd w:val="clear" w:color="auto" w:fill="F2F3F4"/>
      </w:pPr>
      <w:r>
        <w:rPr>
          <w:rFonts w:ascii="Courier New" w:hAnsi="Courier New"/>
          <w:color w:val="212121"/>
          <w:sz w:val="18"/>
        </w:rPr>
        <w:t>|  Prompt (contexte + historique) --&gt; Groq / LLaMA 3.1   |</w:t>
      </w:r>
    </w:p>
    <w:p>
      <w:pPr>
        <w:spacing w:after="0" w:before="0"/>
        <w:ind w:left="567"/>
        <w:shd w:val="clear" w:color="auto" w:fill="F2F3F4"/>
      </w:pPr>
      <w:r>
        <w:rPr>
          <w:rFonts w:ascii="Courier New" w:hAnsi="Courier New"/>
          <w:color w:val="212121"/>
          <w:sz w:val="18"/>
        </w:rPr>
        <w:t>|                                                          |</w:t>
      </w:r>
    </w:p>
    <w:p>
      <w:pPr>
        <w:spacing w:after="0" w:before="0"/>
        <w:ind w:left="567"/>
        <w:shd w:val="clear" w:color="auto" w:fill="F2F3F4"/>
      </w:pPr>
      <w:r>
        <w:rPr>
          <w:rFonts w:ascii="Courier New" w:hAnsi="Courier New"/>
          <w:color w:val="212121"/>
          <w:sz w:val="18"/>
        </w:rPr>
        <w:t>|  Reponse + Sources + Score de pertinence               |</w:t>
      </w:r>
    </w:p>
    <w:p>
      <w:pPr>
        <w:spacing w:after="0" w:before="0"/>
        <w:ind w:left="567"/>
        <w:shd w:val="clear" w:color="auto" w:fill="F2F3F4"/>
      </w:pPr>
      <w:r>
        <w:rPr>
          <w:rFonts w:ascii="Courier New" w:hAnsi="Courier New"/>
          <w:color w:val="212121"/>
          <w:sz w:val="18"/>
        </w:rPr>
        <w:t>+----------------------------------------------------------+</w:t>
      </w:r>
    </w:p>
    <w:p/>
    <w:p>
      <w:pPr>
        <w:pStyle w:val="Heading2"/>
        <w:spacing w:before="280" w:after="120"/>
      </w:pPr>
      <w:r>
        <w:rPr>
          <w:rFonts w:ascii="Arial" w:hAnsi="Arial"/>
          <w:color w:val="1F618D"/>
          <w:sz w:val="28"/>
        </w:rPr>
        <w:t>3.2 Composants techniques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A5276"/>
          </w:tcPr>
          <w:p>
            <w:pPr>
              <w:jc w:val="center"/>
            </w:pPr>
            <w:r>
              <w:rPr>
                <w:rFonts w:ascii="Arial" w:hAnsi="Arial"/>
                <w:b/>
                <w:color w:val="FFFFFF"/>
                <w:sz w:val="20"/>
              </w:rPr>
              <w:t>Composant</w:t>
            </w:r>
          </w:p>
        </w:tc>
        <w:tc>
          <w:tcPr>
            <w:tcW w:type="dxa" w:w="2835"/>
            <w:shd w:val="clear" w:color="auto" w:fill="1A5276"/>
          </w:tcPr>
          <w:p>
            <w:pPr>
              <w:jc w:val="center"/>
            </w:pPr>
            <w:r>
              <w:rPr>
                <w:rFonts w:ascii="Arial" w:hAnsi="Arial"/>
                <w:b/>
                <w:color w:val="FFFFFF"/>
                <w:sz w:val="20"/>
              </w:rPr>
              <w:t>Technologie</w:t>
            </w:r>
          </w:p>
        </w:tc>
        <w:tc>
          <w:tcPr>
            <w:tcW w:type="dxa" w:w="4082"/>
            <w:shd w:val="clear" w:color="auto" w:fill="1A5276"/>
          </w:tcPr>
          <w:p>
            <w:pPr>
              <w:jc w:val="center"/>
            </w:pPr>
            <w:r>
              <w:rPr>
                <w:rFonts w:ascii="Arial" w:hAnsi="Arial"/>
                <w:b/>
                <w:color w:val="FFFFFF"/>
                <w:sz w:val="20"/>
              </w:rPr>
              <w:t>Role</w:t>
            </w:r>
          </w:p>
        </w:tc>
      </w:tr>
      <w:tr>
        <w:tc>
          <w:tcPr>
            <w:tcW w:type="dxa" w:w="1984"/>
            <w:shd w:val="clear" w:color="auto" w:fill="EBF5FB"/>
          </w:tcPr>
          <w:p>
            <w:r>
              <w:rPr>
                <w:rFonts w:ascii="Arial" w:hAnsi="Arial"/>
                <w:sz w:val="20"/>
              </w:rPr>
              <w:t>Retrieval</w:t>
            </w:r>
          </w:p>
        </w:tc>
        <w:tc>
          <w:tcPr>
            <w:tcW w:type="dxa" w:w="2835"/>
            <w:shd w:val="clear" w:color="auto" w:fill="EBF5FB"/>
          </w:tcPr>
          <w:p>
            <w:r>
              <w:rPr>
                <w:rFonts w:ascii="Arial" w:hAnsi="Arial"/>
                <w:sz w:val="20"/>
              </w:rPr>
              <w:t>TF-IDF + cosinus (Python natif)</w:t>
            </w:r>
          </w:p>
        </w:tc>
        <w:tc>
          <w:tcPr>
            <w:tcW w:type="dxa" w:w="4082"/>
            <w:shd w:val="clear" w:color="auto" w:fill="EBF5FB"/>
          </w:tcPr>
          <w:p>
            <w:r>
              <w:rPr>
                <w:rFonts w:ascii="Arial" w:hAnsi="Arial"/>
                <w:sz w:val="20"/>
              </w:rPr>
              <w:t>Trouver les passages pertinents</w:t>
            </w:r>
          </w:p>
        </w:tc>
      </w:tr>
      <w:tr>
        <w:tc>
          <w:tcPr>
            <w:tcW w:type="dxa" w:w="1984"/>
            <w:shd w:val="clear" w:color="auto" w:fill="FFFFFF"/>
          </w:tcPr>
          <w:p>
            <w:r>
              <w:rPr>
                <w:rFonts w:ascii="Arial" w:hAnsi="Arial"/>
                <w:sz w:val="20"/>
              </w:rPr>
              <w:t>LLM</w:t>
            </w:r>
          </w:p>
        </w:tc>
        <w:tc>
          <w:tcPr>
            <w:tcW w:type="dxa" w:w="2835"/>
            <w:shd w:val="clear" w:color="auto" w:fill="FFFFFF"/>
          </w:tcPr>
          <w:p>
            <w:r>
              <w:rPr>
                <w:rFonts w:ascii="Arial" w:hAnsi="Arial"/>
                <w:sz w:val="20"/>
              </w:rPr>
              <w:t>LLaMA 3.1-8b-instant (Groq API)</w:t>
            </w:r>
          </w:p>
        </w:tc>
        <w:tc>
          <w:tcPr>
            <w:tcW w:type="dxa" w:w="4082"/>
            <w:shd w:val="clear" w:color="auto" w:fill="FFFFFF"/>
          </w:tcPr>
          <w:p>
            <w:r>
              <w:rPr>
                <w:rFonts w:ascii="Arial" w:hAnsi="Arial"/>
                <w:sz w:val="20"/>
              </w:rPr>
              <w:t>Generer la reponse en langage naturel</w:t>
            </w:r>
          </w:p>
        </w:tc>
      </w:tr>
      <w:tr>
        <w:tc>
          <w:tcPr>
            <w:tcW w:type="dxa" w:w="1984"/>
            <w:shd w:val="clear" w:color="auto" w:fill="EBF5FB"/>
          </w:tcPr>
          <w:p>
            <w:r>
              <w:rPr>
                <w:rFonts w:ascii="Arial" w:hAnsi="Arial"/>
                <w:sz w:val="20"/>
              </w:rPr>
              <w:t>Interface</w:t>
            </w:r>
          </w:p>
        </w:tc>
        <w:tc>
          <w:tcPr>
            <w:tcW w:type="dxa" w:w="2835"/>
            <w:shd w:val="clear" w:color="auto" w:fill="EBF5FB"/>
          </w:tcPr>
          <w:p>
            <w:r>
              <w:rPr>
                <w:rFonts w:ascii="Arial" w:hAnsi="Arial"/>
                <w:sz w:val="20"/>
              </w:rPr>
              <w:t>Streamlit 1.35+</w:t>
            </w:r>
          </w:p>
        </w:tc>
        <w:tc>
          <w:tcPr>
            <w:tcW w:type="dxa" w:w="4082"/>
            <w:shd w:val="clear" w:color="auto" w:fill="EBF5FB"/>
          </w:tcPr>
          <w:p>
            <w:r>
              <w:rPr>
                <w:rFonts w:ascii="Arial" w:hAnsi="Arial"/>
                <w:sz w:val="20"/>
              </w:rPr>
              <w:t>Interface web conversationnelle</w:t>
            </w:r>
          </w:p>
        </w:tc>
      </w:tr>
      <w:tr>
        <w:tc>
          <w:tcPr>
            <w:tcW w:type="dxa" w:w="1984"/>
            <w:shd w:val="clear" w:color="auto" w:fill="FFFFFF"/>
          </w:tcPr>
          <w:p>
            <w:r>
              <w:rPr>
                <w:rFonts w:ascii="Arial" w:hAnsi="Arial"/>
                <w:sz w:val="20"/>
              </w:rPr>
              <w:t>Stockage</w:t>
            </w:r>
          </w:p>
        </w:tc>
        <w:tc>
          <w:tcPr>
            <w:tcW w:type="dxa" w:w="2835"/>
            <w:shd w:val="clear" w:color="auto" w:fill="FFFFFF"/>
          </w:tcPr>
          <w:p>
            <w:r>
              <w:rPr>
                <w:rFonts w:ascii="Arial" w:hAnsi="Arial"/>
                <w:sz w:val="20"/>
              </w:rPr>
              <w:t>JSON (knowledge_base + index)</w:t>
            </w:r>
          </w:p>
        </w:tc>
        <w:tc>
          <w:tcPr>
            <w:tcW w:type="dxa" w:w="4082"/>
            <w:shd w:val="clear" w:color="auto" w:fill="FFFFFF"/>
          </w:tcPr>
          <w:p>
            <w:r>
              <w:rPr>
                <w:rFonts w:ascii="Arial" w:hAnsi="Arial"/>
                <w:sz w:val="20"/>
              </w:rPr>
              <w:t>Persistance de la base vectorisee</w:t>
            </w:r>
          </w:p>
        </w:tc>
      </w:tr>
      <w:tr>
        <w:tc>
          <w:tcPr>
            <w:tcW w:type="dxa" w:w="1984"/>
            <w:shd w:val="clear" w:color="auto" w:fill="EBF5FB"/>
          </w:tcPr>
          <w:p>
            <w:r>
              <w:rPr>
                <w:rFonts w:ascii="Arial" w:hAnsi="Arial"/>
                <w:sz w:val="20"/>
              </w:rPr>
              <w:t>Memoire</w:t>
            </w:r>
          </w:p>
        </w:tc>
        <w:tc>
          <w:tcPr>
            <w:tcW w:type="dxa" w:w="2835"/>
            <w:shd w:val="clear" w:color="auto" w:fill="EBF5FB"/>
          </w:tcPr>
          <w:p>
            <w:r>
              <w:rPr>
                <w:rFonts w:ascii="Arial" w:hAnsi="Arial"/>
                <w:sz w:val="20"/>
              </w:rPr>
              <w:t>Session state Streamlit</w:t>
            </w:r>
          </w:p>
        </w:tc>
        <w:tc>
          <w:tcPr>
            <w:tcW w:type="dxa" w:w="4082"/>
            <w:shd w:val="clear" w:color="auto" w:fill="EBF5FB"/>
          </w:tcPr>
          <w:p>
            <w:r>
              <w:rPr>
                <w:rFonts w:ascii="Arial" w:hAnsi="Arial"/>
                <w:sz w:val="20"/>
              </w:rPr>
              <w:t>Historique conversationnel (4 echanges)</w:t>
            </w:r>
          </w:p>
        </w:tc>
      </w:tr>
      <w:tr>
        <w:tc>
          <w:tcPr>
            <w:tcW w:type="dxa" w:w="1984"/>
            <w:shd w:val="clear" w:color="auto" w:fill="FFFFFF"/>
          </w:tcPr>
          <w:p>
            <w:r>
              <w:rPr>
                <w:rFonts w:ascii="Arial" w:hAnsi="Arial"/>
                <w:sz w:val="20"/>
              </w:rPr>
              <w:t>Anti-hallucination</w:t>
            </w:r>
          </w:p>
        </w:tc>
        <w:tc>
          <w:tcPr>
            <w:tcW w:type="dxa" w:w="2835"/>
            <w:shd w:val="clear" w:color="auto" w:fill="FFFFFF"/>
          </w:tcPr>
          <w:p>
            <w:r>
              <w:rPr>
                <w:rFonts w:ascii="Arial" w:hAnsi="Arial"/>
                <w:sz w:val="20"/>
              </w:rPr>
              <w:t>Prompt engineering strict</w:t>
            </w:r>
          </w:p>
        </w:tc>
        <w:tc>
          <w:tcPr>
            <w:tcW w:type="dxa" w:w="4082"/>
            <w:shd w:val="clear" w:color="auto" w:fill="FFFFFF"/>
          </w:tcPr>
          <w:p>
            <w:r>
              <w:rPr>
                <w:rFonts w:ascii="Arial" w:hAnsi="Arial"/>
                <w:sz w:val="20"/>
              </w:rPr>
              <w:t>Ancrer les reponses dans le contexte</w:t>
            </w:r>
          </w:p>
        </w:tc>
      </w:tr>
    </w:tbl>
    <w:p/>
    <w:p>
      <w:r>
        <w:br w:type="page"/>
      </w:r>
    </w:p>
    <w:p>
      <w:pPr>
        <w:pStyle w:val="Heading1"/>
        <w:spacing w:before="280" w:after="120"/>
      </w:pPr>
      <w:r>
        <w:rPr>
          <w:rFonts w:ascii="Arial" w:hAnsi="Arial"/>
          <w:color w:val="1A5276"/>
          <w:sz w:val="36"/>
        </w:rPr>
        <w:t>4. Methodologie</w:t>
      </w:r>
    </w:p>
    <w:p>
      <w:pPr>
        <w:spacing w:before="80" w:after="80"/>
        <w:pBdr>
          <w:bottom w:val="single" w:sz="6" w:space="1" w:color="1A5276"/>
        </w:pBdr>
      </w:pPr>
    </w:p>
    <w:p>
      <w:pPr>
        <w:pStyle w:val="Heading2"/>
        <w:spacing w:before="280" w:after="120"/>
      </w:pPr>
      <w:r>
        <w:rPr>
          <w:rFonts w:ascii="Arial" w:hAnsi="Arial"/>
          <w:color w:val="1F618D"/>
          <w:sz w:val="28"/>
        </w:rPr>
        <w:t>4.1 Collecte et preparation des donnees</w:t>
      </w:r>
    </w:p>
    <w:p>
      <w:pPr>
        <w:spacing w:after="120" w:before="40" w:line="280" w:lineRule="exact"/>
        <w:jc w:val="both"/>
      </w:pPr>
      <w:r>
        <w:rPr>
          <w:rFonts w:ascii="Arial" w:hAnsi="Arial"/>
          <w:b w:val="0"/>
          <w:i w:val="0"/>
          <w:sz w:val="22"/>
        </w:rPr>
        <w:t>La base de connaissances a ete construite a partir de documents textuels rediges en francais, couvrant les themes de sante prioritaires pour le Burkina Faso. Les sources incluent les protocoles du Ministere de la Sante du Burkina Faso, les recommandations OMS pour l'Afrique subsaharienne et les donnees epidemiologiques locales.</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A5276"/>
          </w:tcPr>
          <w:p>
            <w:pPr>
              <w:jc w:val="center"/>
            </w:pPr>
            <w:r>
              <w:rPr>
                <w:rFonts w:ascii="Arial" w:hAnsi="Arial"/>
                <w:b/>
                <w:color w:val="FFFFFF"/>
                <w:sz w:val="20"/>
              </w:rPr>
              <w:t>Theme</w:t>
            </w:r>
          </w:p>
        </w:tc>
        <w:tc>
          <w:tcPr>
            <w:tcW w:type="dxa" w:w="3118"/>
            <w:shd w:val="clear" w:color="auto" w:fill="1A5276"/>
          </w:tcPr>
          <w:p>
            <w:pPr>
              <w:jc w:val="center"/>
            </w:pPr>
            <w:r>
              <w:rPr>
                <w:rFonts w:ascii="Arial" w:hAnsi="Arial"/>
                <w:b/>
                <w:color w:val="FFFFFF"/>
                <w:sz w:val="20"/>
              </w:rPr>
              <w:t>Fichier source</w:t>
            </w:r>
          </w:p>
        </w:tc>
        <w:tc>
          <w:tcPr>
            <w:tcW w:type="dxa" w:w="1531"/>
            <w:shd w:val="clear" w:color="auto" w:fill="1A5276"/>
          </w:tcPr>
          <w:p>
            <w:pPr>
              <w:jc w:val="center"/>
            </w:pPr>
            <w:r>
              <w:rPr>
                <w:rFonts w:ascii="Arial" w:hAnsi="Arial"/>
                <w:b/>
                <w:color w:val="FFFFFF"/>
                <w:sz w:val="20"/>
              </w:rPr>
              <w:t>Segments</w:t>
            </w:r>
          </w:p>
        </w:tc>
      </w:tr>
      <w:tr>
        <w:tc>
          <w:tcPr>
            <w:tcW w:type="dxa" w:w="3118"/>
            <w:shd w:val="clear" w:color="auto" w:fill="EBF5FB"/>
          </w:tcPr>
          <w:p>
            <w:r>
              <w:rPr>
                <w:rFonts w:ascii="Arial" w:hAnsi="Arial"/>
                <w:sz w:val="20"/>
              </w:rPr>
              <w:t>Paludisme</w:t>
            </w:r>
          </w:p>
        </w:tc>
        <w:tc>
          <w:tcPr>
            <w:tcW w:type="dxa" w:w="3118"/>
            <w:shd w:val="clear" w:color="auto" w:fill="EBF5FB"/>
          </w:tcPr>
          <w:p>
            <w:r>
              <w:rPr>
                <w:rFonts w:ascii="Arial" w:hAnsi="Arial"/>
                <w:sz w:val="20"/>
              </w:rPr>
              <w:t>paludisme.txt</w:t>
            </w:r>
          </w:p>
        </w:tc>
        <w:tc>
          <w:tcPr>
            <w:tcW w:type="dxa" w:w="1531"/>
            <w:shd w:val="clear" w:color="auto" w:fill="EBF5FB"/>
          </w:tcPr>
          <w:p>
            <w:r>
              <w:rPr>
                <w:rFonts w:ascii="Arial" w:hAnsi="Arial"/>
                <w:sz w:val="20"/>
              </w:rPr>
              <w:t>~8</w:t>
            </w:r>
          </w:p>
        </w:tc>
      </w:tr>
      <w:tr>
        <w:tc>
          <w:tcPr>
            <w:tcW w:type="dxa" w:w="3118"/>
            <w:shd w:val="clear" w:color="auto" w:fill="FFFFFF"/>
          </w:tcPr>
          <w:p>
            <w:r>
              <w:rPr>
                <w:rFonts w:ascii="Arial" w:hAnsi="Arial"/>
                <w:sz w:val="20"/>
              </w:rPr>
              <w:t>Dengue</w:t>
            </w:r>
          </w:p>
        </w:tc>
        <w:tc>
          <w:tcPr>
            <w:tcW w:type="dxa" w:w="3118"/>
            <w:shd w:val="clear" w:color="auto" w:fill="FFFFFF"/>
          </w:tcPr>
          <w:p>
            <w:r>
              <w:rPr>
                <w:rFonts w:ascii="Arial" w:hAnsi="Arial"/>
                <w:sz w:val="20"/>
              </w:rPr>
              <w:t>dengue.txt</w:t>
            </w:r>
          </w:p>
        </w:tc>
        <w:tc>
          <w:tcPr>
            <w:tcW w:type="dxa" w:w="1531"/>
            <w:shd w:val="clear" w:color="auto" w:fill="FFFFFF"/>
          </w:tcPr>
          <w:p>
            <w:r>
              <w:rPr>
                <w:rFonts w:ascii="Arial" w:hAnsi="Arial"/>
                <w:sz w:val="20"/>
              </w:rPr>
              <w:t>~8</w:t>
            </w:r>
          </w:p>
        </w:tc>
      </w:tr>
      <w:tr>
        <w:tc>
          <w:tcPr>
            <w:tcW w:type="dxa" w:w="3118"/>
            <w:shd w:val="clear" w:color="auto" w:fill="EBF5FB"/>
          </w:tcPr>
          <w:p>
            <w:r>
              <w:rPr>
                <w:rFonts w:ascii="Arial" w:hAnsi="Arial"/>
                <w:sz w:val="20"/>
              </w:rPr>
              <w:t>Nutrition</w:t>
            </w:r>
          </w:p>
        </w:tc>
        <w:tc>
          <w:tcPr>
            <w:tcW w:type="dxa" w:w="3118"/>
            <w:shd w:val="clear" w:color="auto" w:fill="EBF5FB"/>
          </w:tcPr>
          <w:p>
            <w:r>
              <w:rPr>
                <w:rFonts w:ascii="Arial" w:hAnsi="Arial"/>
                <w:sz w:val="20"/>
              </w:rPr>
              <w:t>nutrition.txt</w:t>
            </w:r>
          </w:p>
        </w:tc>
        <w:tc>
          <w:tcPr>
            <w:tcW w:type="dxa" w:w="1531"/>
            <w:shd w:val="clear" w:color="auto" w:fill="EBF5FB"/>
          </w:tcPr>
          <w:p>
            <w:r>
              <w:rPr>
                <w:rFonts w:ascii="Arial" w:hAnsi="Arial"/>
                <w:sz w:val="20"/>
              </w:rPr>
              <w:t>~12</w:t>
            </w:r>
          </w:p>
        </w:tc>
      </w:tr>
      <w:tr>
        <w:tc>
          <w:tcPr>
            <w:tcW w:type="dxa" w:w="3118"/>
            <w:shd w:val="clear" w:color="auto" w:fill="FFFFFF"/>
          </w:tcPr>
          <w:p>
            <w:r>
              <w:rPr>
                <w:rFonts w:ascii="Arial" w:hAnsi="Arial"/>
                <w:sz w:val="20"/>
              </w:rPr>
              <w:t>Pharmacies &amp; Centres de sante</w:t>
            </w:r>
          </w:p>
        </w:tc>
        <w:tc>
          <w:tcPr>
            <w:tcW w:type="dxa" w:w="3118"/>
            <w:shd w:val="clear" w:color="auto" w:fill="FFFFFF"/>
          </w:tcPr>
          <w:p>
            <w:r>
              <w:rPr>
                <w:rFonts w:ascii="Arial" w:hAnsi="Arial"/>
                <w:sz w:val="20"/>
              </w:rPr>
              <w:t>pharmacies_centres_sante.txt</w:t>
            </w:r>
          </w:p>
        </w:tc>
        <w:tc>
          <w:tcPr>
            <w:tcW w:type="dxa" w:w="1531"/>
            <w:shd w:val="clear" w:color="auto" w:fill="FFFFFF"/>
          </w:tcPr>
          <w:p>
            <w:r>
              <w:rPr>
                <w:rFonts w:ascii="Arial" w:hAnsi="Arial"/>
                <w:sz w:val="20"/>
              </w:rPr>
              <w:t>~11</w:t>
            </w:r>
          </w:p>
        </w:tc>
      </w:tr>
      <w:tr>
        <w:tc>
          <w:tcPr>
            <w:tcW w:type="dxa" w:w="3118"/>
            <w:shd w:val="clear" w:color="auto" w:fill="EBF5FB"/>
          </w:tcPr>
          <w:p>
            <w:r>
              <w:rPr>
                <w:rFonts w:ascii="Arial" w:hAnsi="Arial"/>
                <w:sz w:val="20"/>
              </w:rPr>
              <w:t>Cholera, Hygiene, Meningite</w:t>
            </w:r>
          </w:p>
        </w:tc>
        <w:tc>
          <w:tcPr>
            <w:tcW w:type="dxa" w:w="3118"/>
            <w:shd w:val="clear" w:color="auto" w:fill="EBF5FB"/>
          </w:tcPr>
          <w:p>
            <w:r>
              <w:rPr>
                <w:rFonts w:ascii="Arial" w:hAnsi="Arial"/>
                <w:sz w:val="20"/>
              </w:rPr>
              <w:t>cholera_hygiene.txt</w:t>
            </w:r>
          </w:p>
        </w:tc>
        <w:tc>
          <w:tcPr>
            <w:tcW w:type="dxa" w:w="1531"/>
            <w:shd w:val="clear" w:color="auto" w:fill="EBF5FB"/>
          </w:tcPr>
          <w:p>
            <w:r>
              <w:rPr>
                <w:rFonts w:ascii="Arial" w:hAnsi="Arial"/>
                <w:sz w:val="20"/>
              </w:rPr>
              <w:t>~14</w:t>
            </w:r>
          </w:p>
        </w:tc>
      </w:tr>
      <w:tr>
        <w:tc>
          <w:tcPr>
            <w:tcW w:type="dxa" w:w="3118"/>
            <w:shd w:val="clear" w:color="auto" w:fill="FFFFFF"/>
          </w:tcPr>
          <w:p>
            <w:r>
              <w:rPr>
                <w:rFonts w:ascii="Arial" w:hAnsi="Arial"/>
                <w:sz w:val="20"/>
              </w:rPr>
              <w:t>Sante maternelle &amp; Vaccination</w:t>
            </w:r>
          </w:p>
        </w:tc>
        <w:tc>
          <w:tcPr>
            <w:tcW w:type="dxa" w:w="3118"/>
            <w:shd w:val="clear" w:color="auto" w:fill="FFFFFF"/>
          </w:tcPr>
          <w:p>
            <w:r>
              <w:rPr>
                <w:rFonts w:ascii="Arial" w:hAnsi="Arial"/>
                <w:sz w:val="20"/>
              </w:rPr>
              <w:t>sante_maternelle_vaccination.txt</w:t>
            </w:r>
          </w:p>
        </w:tc>
        <w:tc>
          <w:tcPr>
            <w:tcW w:type="dxa" w:w="1531"/>
            <w:shd w:val="clear" w:color="auto" w:fill="FFFFFF"/>
          </w:tcPr>
          <w:p>
            <w:r>
              <w:rPr>
                <w:rFonts w:ascii="Arial" w:hAnsi="Arial"/>
                <w:sz w:val="20"/>
              </w:rPr>
              <w:t>~16</w:t>
            </w:r>
          </w:p>
        </w:tc>
      </w:tr>
      <w:tr>
        <w:tc>
          <w:tcPr>
            <w:tcW w:type="dxa" w:w="3118"/>
            <w:shd w:val="clear" w:color="auto" w:fill="EBF5FB"/>
          </w:tcPr>
          <w:p>
            <w:r>
              <w:rPr>
                <w:rFonts w:ascii="Arial" w:hAnsi="Arial"/>
                <w:sz w:val="20"/>
              </w:rPr>
              <w:t>TOTAL</w:t>
            </w:r>
          </w:p>
        </w:tc>
        <w:tc>
          <w:tcPr>
            <w:tcW w:type="dxa" w:w="3118"/>
            <w:shd w:val="clear" w:color="auto" w:fill="EBF5FB"/>
          </w:tcPr>
          <w:p>
            <w:r>
              <w:rPr>
                <w:rFonts w:ascii="Arial" w:hAnsi="Arial"/>
                <w:sz w:val="20"/>
              </w:rPr>
              <w:t>6 fichiers .txt</w:t>
            </w:r>
          </w:p>
        </w:tc>
        <w:tc>
          <w:tcPr>
            <w:tcW w:type="dxa" w:w="1531"/>
            <w:shd w:val="clear" w:color="auto" w:fill="EBF5FB"/>
          </w:tcPr>
          <w:p>
            <w:r>
              <w:rPr>
                <w:rFonts w:ascii="Arial" w:hAnsi="Arial"/>
                <w:sz w:val="20"/>
              </w:rPr>
              <w:t>~69+</w:t>
            </w:r>
          </w:p>
        </w:tc>
      </w:tr>
    </w:tbl>
    <w:p/>
    <w:p>
      <w:pPr>
        <w:pStyle w:val="Heading2"/>
        <w:spacing w:before="280" w:after="120"/>
      </w:pPr>
      <w:r>
        <w:rPr>
          <w:rFonts w:ascii="Arial" w:hAnsi="Arial"/>
          <w:color w:val="1F618D"/>
          <w:sz w:val="28"/>
        </w:rPr>
        <w:t>4.2 Strategie de chunking</w:t>
      </w:r>
    </w:p>
    <w:p>
      <w:pPr>
        <w:spacing w:after="120" w:before="40" w:line="280" w:lineRule="exact"/>
        <w:jc w:val="both"/>
      </w:pPr>
      <w:r>
        <w:rPr>
          <w:rFonts w:ascii="Arial" w:hAnsi="Arial"/>
          <w:b w:val="0"/>
          <w:i w:val="0"/>
          <w:sz w:val="22"/>
        </w:rPr>
        <w:t>Le decoupage (chunking) est une etape critique du RAG. Notre strategie :</w:t>
      </w:r>
    </w:p>
    <w:p>
      <w:pPr>
        <w:pStyle w:val="ListBullet"/>
        <w:spacing w:after="60" w:before="20"/>
      </w:pPr>
      <w:r>
        <w:rPr>
          <w:rFonts w:ascii="Arial" w:hAnsi="Arial"/>
          <w:b w:val="0"/>
          <w:sz w:val="22"/>
        </w:rPr>
        <w:t>Taille cible : 500 caracteres par segment</w:t>
      </w:r>
    </w:p>
    <w:p>
      <w:pPr>
        <w:pStyle w:val="ListBullet"/>
        <w:spacing w:after="60" w:before="20"/>
      </w:pPr>
      <w:r>
        <w:rPr>
          <w:rFonts w:ascii="Arial" w:hAnsi="Arial"/>
          <w:b w:val="0"/>
          <w:sz w:val="22"/>
        </w:rPr>
        <w:t>Chevauchement (overlap) : 80 caracteres — evite de tronquer une idee</w:t>
      </w:r>
    </w:p>
    <w:p>
      <w:pPr>
        <w:pStyle w:val="ListBullet"/>
        <w:spacing w:after="60" w:before="20"/>
      </w:pPr>
      <w:r>
        <w:rPr>
          <w:rFonts w:ascii="Arial" w:hAnsi="Arial"/>
          <w:b w:val="0"/>
          <w:sz w:val="22"/>
        </w:rPr>
        <w:t>Coupe intelligente : l'algorithme coupe en fin de paragraphe ou de phrase</w:t>
      </w:r>
    </w:p>
    <w:p>
      <w:pPr>
        <w:pStyle w:val="ListBullet"/>
        <w:spacing w:after="60" w:before="20"/>
      </w:pPr>
      <w:r>
        <w:rPr>
          <w:rFonts w:ascii="Arial" w:hAnsi="Arial"/>
          <w:b w:val="0"/>
          <w:sz w:val="22"/>
        </w:rPr>
        <w:t>Filtre qualite : segments de moins de 60 caracteres ignores</w:t>
      </w:r>
    </w:p>
    <w:p/>
    <w:p>
      <w:pPr>
        <w:pStyle w:val="Heading2"/>
        <w:spacing w:before="280" w:after="120"/>
      </w:pPr>
      <w:r>
        <w:rPr>
          <w:rFonts w:ascii="Arial" w:hAnsi="Arial"/>
          <w:color w:val="1F618D"/>
          <w:sz w:val="28"/>
        </w:rPr>
        <w:t>4.3 Algorithme de retrieval : TF-IDF</w:t>
      </w:r>
    </w:p>
    <w:p>
      <w:pPr>
        <w:spacing w:after="120" w:before="40" w:line="280" w:lineRule="exact"/>
        <w:jc w:val="both"/>
      </w:pPr>
      <w:r>
        <w:rPr>
          <w:rFonts w:ascii="Arial" w:hAnsi="Arial"/>
          <w:b w:val="0"/>
          <w:i w:val="0"/>
          <w:sz w:val="22"/>
        </w:rPr>
        <w:t>TF-IDF est un algorithme classique d'Information Retrieval, utilise dans les moteurs de recherche professionnels (Elasticsearch, Apache Lucene). Il mesure l'importance d'un terme dans un document par rapport au corpus entier.</w:t>
      </w:r>
    </w:p>
    <w:p/>
    <w:p>
      <w:pPr>
        <w:spacing w:after="120" w:before="40" w:line="280" w:lineRule="exact"/>
        <w:jc w:val="both"/>
      </w:pPr>
      <w:r>
        <w:rPr>
          <w:rFonts w:ascii="Arial" w:hAnsi="Arial"/>
          <w:b/>
          <w:i w:val="0"/>
          <w:sz w:val="22"/>
        </w:rPr>
        <w:t>Formules mathematiques :</w:t>
      </w:r>
    </w:p>
    <w:p>
      <w:pPr>
        <w:spacing w:after="0" w:before="0"/>
        <w:ind w:left="567"/>
        <w:shd w:val="clear" w:color="auto" w:fill="F2F3F4"/>
      </w:pPr>
      <w:r>
        <w:rPr>
          <w:rFonts w:ascii="Courier New" w:hAnsi="Courier New"/>
          <w:color w:val="212121"/>
          <w:sz w:val="18"/>
        </w:rPr>
        <w:t>TF(t, d)     = frequence_brute(t, d) / longueur(d)</w:t>
      </w:r>
    </w:p>
    <w:p>
      <w:pPr>
        <w:spacing w:after="0" w:before="0"/>
        <w:ind w:left="567"/>
        <w:shd w:val="clear" w:color="auto" w:fill="F2F3F4"/>
      </w:pPr>
      <w:r>
        <w:rPr>
          <w:rFonts w:ascii="Courier New" w:hAnsi="Courier New"/>
          <w:color w:val="212121"/>
          <w:sz w:val="18"/>
        </w:rPr>
        <w:t xml:space="preserve"> </w:t>
      </w:r>
    </w:p>
    <w:p>
      <w:pPr>
        <w:spacing w:after="0" w:before="0"/>
        <w:ind w:left="567"/>
        <w:shd w:val="clear" w:color="auto" w:fill="F2F3F4"/>
      </w:pPr>
      <w:r>
        <w:rPr>
          <w:rFonts w:ascii="Courier New" w:hAnsi="Courier New"/>
          <w:color w:val="212121"/>
          <w:sz w:val="18"/>
        </w:rPr>
        <w:t>IDF(t)       = log((N + 1) / (df(t) + 1)) + 1     [lissage de Laplace]</w:t>
      </w:r>
    </w:p>
    <w:p>
      <w:pPr>
        <w:spacing w:after="0" w:before="0"/>
        <w:ind w:left="567"/>
        <w:shd w:val="clear" w:color="auto" w:fill="F2F3F4"/>
      </w:pPr>
      <w:r>
        <w:rPr>
          <w:rFonts w:ascii="Courier New" w:hAnsi="Courier New"/>
          <w:color w:val="212121"/>
          <w:sz w:val="18"/>
        </w:rPr>
        <w:t xml:space="preserve">               ou N    = nombre total de segments du corpus</w:t>
      </w:r>
    </w:p>
    <w:p>
      <w:pPr>
        <w:spacing w:after="0" w:before="0"/>
        <w:ind w:left="567"/>
        <w:shd w:val="clear" w:color="auto" w:fill="F2F3F4"/>
      </w:pPr>
      <w:r>
        <w:rPr>
          <w:rFonts w:ascii="Courier New" w:hAnsi="Courier New"/>
          <w:color w:val="212121"/>
          <w:sz w:val="18"/>
        </w:rPr>
        <w:t xml:space="preserve">                  df(t) = nombre de segments contenant le terme t</w:t>
      </w:r>
    </w:p>
    <w:p>
      <w:pPr>
        <w:spacing w:after="0" w:before="0"/>
        <w:ind w:left="567"/>
        <w:shd w:val="clear" w:color="auto" w:fill="F2F3F4"/>
      </w:pPr>
      <w:r>
        <w:rPr>
          <w:rFonts w:ascii="Courier New" w:hAnsi="Courier New"/>
          <w:color w:val="212121"/>
          <w:sz w:val="18"/>
        </w:rPr>
        <w:t xml:space="preserve"> </w:t>
      </w:r>
    </w:p>
    <w:p>
      <w:pPr>
        <w:spacing w:after="0" w:before="0"/>
        <w:ind w:left="567"/>
        <w:shd w:val="clear" w:color="auto" w:fill="F2F3F4"/>
      </w:pPr>
      <w:r>
        <w:rPr>
          <w:rFonts w:ascii="Courier New" w:hAnsi="Courier New"/>
          <w:color w:val="212121"/>
          <w:sz w:val="18"/>
        </w:rPr>
        <w:t>TF-IDF(t, d) = TF(t, d) x IDF(t)</w:t>
      </w:r>
    </w:p>
    <w:p>
      <w:pPr>
        <w:spacing w:after="0" w:before="0"/>
        <w:ind w:left="567"/>
        <w:shd w:val="clear" w:color="auto" w:fill="F2F3F4"/>
      </w:pPr>
      <w:r>
        <w:rPr>
          <w:rFonts w:ascii="Courier New" w:hAnsi="Courier New"/>
          <w:color w:val="212121"/>
          <w:sz w:val="18"/>
        </w:rPr>
        <w:t xml:space="preserve"> </w:t>
      </w:r>
    </w:p>
    <w:p>
      <w:pPr>
        <w:spacing w:after="0" w:before="0"/>
        <w:ind w:left="567"/>
        <w:shd w:val="clear" w:color="auto" w:fill="F2F3F4"/>
      </w:pPr>
      <w:r>
        <w:rPr>
          <w:rFonts w:ascii="Courier New" w:hAnsi="Courier New"/>
          <w:color w:val="212121"/>
          <w:sz w:val="18"/>
        </w:rPr>
        <w:t>Score(q, d)  = similarite cosinus(TF-IDF(q), TF-IDF(d))</w:t>
      </w:r>
    </w:p>
    <w:p>
      <w:pPr>
        <w:spacing w:after="0" w:before="0"/>
        <w:ind w:left="567"/>
        <w:shd w:val="clear" w:color="auto" w:fill="F2F3F4"/>
      </w:pPr>
      <w:r>
        <w:rPr>
          <w:rFonts w:ascii="Courier New" w:hAnsi="Courier New"/>
          <w:color w:val="212121"/>
          <w:sz w:val="18"/>
        </w:rPr>
        <w:t xml:space="preserve">             = Sum [TF-IDF(t,q) x TF-IDF(t,d)] / (||q|| x ||d||)</w:t>
      </w:r>
    </w:p>
    <w:p/>
    <w:p>
      <w:pPr>
        <w:spacing w:after="120" w:before="40" w:line="280" w:lineRule="exact"/>
        <w:jc w:val="both"/>
      </w:pPr>
      <w:r>
        <w:rPr>
          <w:rFonts w:ascii="Arial" w:hAnsi="Arial"/>
          <w:b w:val="0"/>
          <w:i w:val="0"/>
          <w:sz w:val="22"/>
        </w:rPr>
        <w:t>Avantages par rapport aux embeddings neuronaux :</w:t>
      </w:r>
    </w:p>
    <w:p>
      <w:pPr>
        <w:pStyle w:val="ListBullet"/>
        <w:spacing w:after="60" w:before="20"/>
      </w:pPr>
      <w:r>
        <w:rPr>
          <w:rFonts w:ascii="Arial" w:hAnsi="Arial"/>
          <w:b w:val="0"/>
          <w:sz w:val="22"/>
        </w:rPr>
        <w:t>Aucune dependance a PyTorch, CUDA ou GPU — fonctionne sur n'importe quel PC</w:t>
      </w:r>
    </w:p>
    <w:p>
      <w:pPr>
        <w:pStyle w:val="ListBullet"/>
        <w:spacing w:after="60" w:before="20"/>
      </w:pPr>
      <w:r>
        <w:rPr>
          <w:rFonts w:ascii="Arial" w:hAnsi="Arial"/>
          <w:b w:val="0"/>
          <w:sz w:val="22"/>
        </w:rPr>
        <w:t>Totalement deterministe et explicable (pas de boite noire)</w:t>
      </w:r>
    </w:p>
    <w:p>
      <w:pPr>
        <w:pStyle w:val="ListBullet"/>
        <w:spacing w:after="60" w:before="20"/>
      </w:pPr>
      <w:r>
        <w:rPr>
          <w:rFonts w:ascii="Arial" w:hAnsi="Arial"/>
          <w:b w:val="0"/>
          <w:sz w:val="22"/>
        </w:rPr>
        <w:t>Calcul en quelques millisecondes pour une base de ~70 segments</w:t>
      </w:r>
    </w:p>
    <w:p>
      <w:pPr>
        <w:pStyle w:val="Heading2"/>
        <w:spacing w:before="280" w:after="120"/>
      </w:pPr>
      <w:r>
        <w:rPr>
          <w:rFonts w:ascii="Arial" w:hAnsi="Arial"/>
          <w:color w:val="1F618D"/>
          <w:sz w:val="28"/>
        </w:rPr>
        <w:t>4.4 Modele de langage : LLaMA 3.1 via Groq</w:t>
      </w:r>
    </w:p>
    <w:tbl>
      <w:tblPr>
        <w:tblStyle w:val="TableGrid"/>
        <w:tblW w:type="auto" w:w="0"/>
        <w:tblLook w:firstColumn="1" w:firstRow="1" w:lastColumn="0" w:lastRow="0" w:noHBand="0" w:noVBand="1" w:val="04A0"/>
      </w:tblPr>
      <w:tblGrid>
        <w:gridCol w:w="4703"/>
        <w:gridCol w:w="4703"/>
      </w:tblGrid>
      <w:tr>
        <w:tc>
          <w:tcPr>
            <w:tcW w:type="dxa" w:w="2835"/>
            <w:shd w:val="clear" w:color="auto" w:fill="1A5276"/>
          </w:tcPr>
          <w:p>
            <w:pPr>
              <w:jc w:val="center"/>
            </w:pPr>
            <w:r>
              <w:rPr>
                <w:rFonts w:ascii="Arial" w:hAnsi="Arial"/>
                <w:b/>
                <w:color w:val="FFFFFF"/>
                <w:sz w:val="20"/>
              </w:rPr>
              <w:t>Critere</w:t>
            </w:r>
          </w:p>
        </w:tc>
        <w:tc>
          <w:tcPr>
            <w:tcW w:type="dxa" w:w="6066"/>
            <w:shd w:val="clear" w:color="auto" w:fill="1A5276"/>
          </w:tcPr>
          <w:p>
            <w:pPr>
              <w:jc w:val="center"/>
            </w:pPr>
            <w:r>
              <w:rPr>
                <w:rFonts w:ascii="Arial" w:hAnsi="Arial"/>
                <w:b/>
                <w:color w:val="FFFFFF"/>
                <w:sz w:val="20"/>
              </w:rPr>
              <w:t>LLaMA 3.1-8b-instant (choix)</w:t>
            </w:r>
          </w:p>
        </w:tc>
      </w:tr>
      <w:tr>
        <w:tc>
          <w:tcPr>
            <w:tcW w:type="dxa" w:w="2835"/>
            <w:shd w:val="clear" w:color="auto" w:fill="EBF5FB"/>
          </w:tcPr>
          <w:p>
            <w:r>
              <w:rPr>
                <w:rFonts w:ascii="Arial" w:hAnsi="Arial"/>
                <w:sz w:val="20"/>
              </w:rPr>
              <w:t>Cout</w:t>
            </w:r>
          </w:p>
        </w:tc>
        <w:tc>
          <w:tcPr>
            <w:tcW w:type="dxa" w:w="6066"/>
            <w:shd w:val="clear" w:color="auto" w:fill="EBF5FB"/>
          </w:tcPr>
          <w:p>
            <w:r>
              <w:rPr>
                <w:rFonts w:ascii="Arial" w:hAnsi="Arial"/>
                <w:sz w:val="20"/>
              </w:rPr>
              <w:t>Gratuit (6 000 tokens/min en tier gratuit)</w:t>
            </w:r>
          </w:p>
        </w:tc>
      </w:tr>
      <w:tr>
        <w:tc>
          <w:tcPr>
            <w:tcW w:type="dxa" w:w="2835"/>
            <w:shd w:val="clear" w:color="auto" w:fill="FFFFFF"/>
          </w:tcPr>
          <w:p>
            <w:r>
              <w:rPr>
                <w:rFonts w:ascii="Arial" w:hAnsi="Arial"/>
                <w:sz w:val="20"/>
              </w:rPr>
              <w:t>Latence</w:t>
            </w:r>
          </w:p>
        </w:tc>
        <w:tc>
          <w:tcPr>
            <w:tcW w:type="dxa" w:w="6066"/>
            <w:shd w:val="clear" w:color="auto" w:fill="FFFFFF"/>
          </w:tcPr>
          <w:p>
            <w:r>
              <w:rPr>
                <w:rFonts w:ascii="Arial" w:hAnsi="Arial"/>
                <w:sz w:val="20"/>
              </w:rPr>
              <w:t>&lt; 1 seconde (LPU Groq)</w:t>
            </w:r>
          </w:p>
        </w:tc>
      </w:tr>
      <w:tr>
        <w:tc>
          <w:tcPr>
            <w:tcW w:type="dxa" w:w="2835"/>
            <w:shd w:val="clear" w:color="auto" w:fill="EBF5FB"/>
          </w:tcPr>
          <w:p>
            <w:r>
              <w:rPr>
                <w:rFonts w:ascii="Arial" w:hAnsi="Arial"/>
                <w:sz w:val="20"/>
              </w:rPr>
              <w:t>Qualite francais</w:t>
            </w:r>
          </w:p>
        </w:tc>
        <w:tc>
          <w:tcPr>
            <w:tcW w:type="dxa" w:w="6066"/>
            <w:shd w:val="clear" w:color="auto" w:fill="EBF5FB"/>
          </w:tcPr>
          <w:p>
            <w:r>
              <w:rPr>
                <w:rFonts w:ascii="Arial" w:hAnsi="Arial"/>
                <w:sz w:val="20"/>
              </w:rPr>
              <w:t>Excellente (modele 8B parametres)</w:t>
            </w:r>
          </w:p>
        </w:tc>
      </w:tr>
      <w:tr>
        <w:tc>
          <w:tcPr>
            <w:tcW w:type="dxa" w:w="2835"/>
            <w:shd w:val="clear" w:color="auto" w:fill="FFFFFF"/>
          </w:tcPr>
          <w:p>
            <w:r>
              <w:rPr>
                <w:rFonts w:ascii="Arial" w:hAnsi="Arial"/>
                <w:sz w:val="20"/>
              </w:rPr>
              <w:t>Fenetre de contexte</w:t>
            </w:r>
          </w:p>
        </w:tc>
        <w:tc>
          <w:tcPr>
            <w:tcW w:type="dxa" w:w="6066"/>
            <w:shd w:val="clear" w:color="auto" w:fill="FFFFFF"/>
          </w:tcPr>
          <w:p>
            <w:r>
              <w:rPr>
                <w:rFonts w:ascii="Arial" w:hAnsi="Arial"/>
                <w:sz w:val="20"/>
              </w:rPr>
              <w:t>131 072 tokens</w:t>
            </w:r>
          </w:p>
        </w:tc>
      </w:tr>
      <w:tr>
        <w:tc>
          <w:tcPr>
            <w:tcW w:type="dxa" w:w="2835"/>
            <w:shd w:val="clear" w:color="auto" w:fill="EBF5FB"/>
          </w:tcPr>
          <w:p>
            <w:r>
              <w:rPr>
                <w:rFonts w:ascii="Arial" w:hAnsi="Arial"/>
                <w:sz w:val="20"/>
              </w:rPr>
              <w:t>Statut</w:t>
            </w:r>
          </w:p>
        </w:tc>
        <w:tc>
          <w:tcPr>
            <w:tcW w:type="dxa" w:w="6066"/>
            <w:shd w:val="clear" w:color="auto" w:fill="EBF5FB"/>
          </w:tcPr>
          <w:p>
            <w:r>
              <w:rPr>
                <w:rFonts w:ascii="Arial" w:hAnsi="Arial"/>
                <w:sz w:val="20"/>
              </w:rPr>
              <w:t>Remplacant officiel de llama3-8b-8192 (deprecie)</w:t>
            </w:r>
          </w:p>
        </w:tc>
      </w:tr>
    </w:tbl>
    <w:p/>
    <w:p>
      <w:pPr>
        <w:pStyle w:val="Heading2"/>
        <w:spacing w:before="280" w:after="120"/>
      </w:pPr>
      <w:r>
        <w:rPr>
          <w:rFonts w:ascii="Arial" w:hAnsi="Arial"/>
          <w:color w:val="1F618D"/>
          <w:sz w:val="28"/>
        </w:rPr>
        <w:t>4.5 Controle de l'hallucination</w:t>
      </w:r>
    </w:p>
    <w:p>
      <w:pPr>
        <w:spacing w:after="120" w:before="40" w:line="280" w:lineRule="exact"/>
        <w:jc w:val="both"/>
      </w:pPr>
      <w:r>
        <w:rPr>
          <w:rFonts w:ascii="Arial" w:hAnsi="Arial"/>
          <w:b w:val="0"/>
          <w:i w:val="0"/>
          <w:sz w:val="22"/>
        </w:rPr>
        <w:t>Trois mecanismes complementaires limitent le risque d'hallucination medicale :</w:t>
      </w:r>
    </w:p>
    <w:p>
      <w:pPr>
        <w:pStyle w:val="ListNumber"/>
        <w:spacing w:after="60"/>
      </w:pPr>
      <w:r>
        <w:rPr>
          <w:rFonts w:ascii="Arial" w:hAnsi="Arial"/>
          <w:sz w:val="22"/>
        </w:rPr>
        <w:t>Prompt system strict : le modele est instruite d'utiliser uniquement le contexte fourni et de repondre 'Je ne dispose pas de cette information' hors domaine.</w:t>
      </w:r>
    </w:p>
    <w:p>
      <w:pPr>
        <w:pStyle w:val="ListNumber"/>
        <w:spacing w:after="60"/>
      </w:pPr>
      <w:r>
        <w:rPr>
          <w:rFonts w:ascii="Arial" w:hAnsi="Arial"/>
          <w:sz w:val="22"/>
        </w:rPr>
        <w:t>Ancrage force : le prompt exige la citation des sources documentaires utilisees.</w:t>
      </w:r>
    </w:p>
    <w:p>
      <w:pPr>
        <w:pStyle w:val="ListNumber"/>
        <w:spacing w:after="60"/>
      </w:pPr>
      <w:r>
        <w:rPr>
          <w:rFonts w:ascii="Arial" w:hAnsi="Arial"/>
          <w:sz w:val="22"/>
        </w:rPr>
        <w:t>Detection automatique : l'application identifie les marqueurs linguistiques d'aveu d'ignorance et adapte l'affichage (pas de score de pertinence montre).</w:t>
      </w:r>
    </w:p>
    <w:p>
      <w:r>
        <w:br w:type="page"/>
      </w:r>
    </w:p>
    <w:p>
      <w:pPr>
        <w:pStyle w:val="Heading1"/>
        <w:spacing w:before="280" w:after="120"/>
      </w:pPr>
      <w:r>
        <w:rPr>
          <w:rFonts w:ascii="Arial" w:hAnsi="Arial"/>
          <w:color w:val="1A5276"/>
          <w:sz w:val="36"/>
        </w:rPr>
        <w:t>5. Implementation</w:t>
      </w:r>
    </w:p>
    <w:p>
      <w:pPr>
        <w:spacing w:before="80" w:after="80"/>
        <w:pBdr>
          <w:bottom w:val="single" w:sz="6" w:space="1" w:color="1A5276"/>
        </w:pBdr>
      </w:pPr>
    </w:p>
    <w:p>
      <w:pPr>
        <w:pStyle w:val="Heading2"/>
        <w:spacing w:before="280" w:after="120"/>
      </w:pPr>
      <w:r>
        <w:rPr>
          <w:rFonts w:ascii="Arial" w:hAnsi="Arial"/>
          <w:color w:val="1F618D"/>
          <w:sz w:val="28"/>
        </w:rPr>
        <w:t>5.1 Structure du projet</w:t>
      </w:r>
    </w:p>
    <w:p>
      <w:pPr>
        <w:spacing w:after="0" w:before="0"/>
        <w:ind w:left="567"/>
        <w:shd w:val="clear" w:color="auto" w:fill="F2F3F4"/>
      </w:pPr>
      <w:r>
        <w:rPr>
          <w:rFonts w:ascii="Courier New" w:hAnsi="Courier New"/>
          <w:color w:val="212121"/>
          <w:sz w:val="18"/>
        </w:rPr>
        <w:t>assistant_sante_burkina/</w:t>
      </w:r>
    </w:p>
    <w:p>
      <w:pPr>
        <w:spacing w:after="0" w:before="0"/>
        <w:ind w:left="567"/>
        <w:shd w:val="clear" w:color="auto" w:fill="F2F3F4"/>
      </w:pPr>
      <w:r>
        <w:rPr>
          <w:rFonts w:ascii="Courier New" w:hAnsi="Courier New"/>
          <w:color w:val="212121"/>
          <w:sz w:val="18"/>
        </w:rPr>
        <w:t>|-- data/                          &lt;- Base de connaissances (fichiers .txt)</w:t>
      </w:r>
    </w:p>
    <w:p>
      <w:pPr>
        <w:spacing w:after="0" w:before="0"/>
        <w:ind w:left="567"/>
        <w:shd w:val="clear" w:color="auto" w:fill="F2F3F4"/>
      </w:pPr>
      <w:r>
        <w:rPr>
          <w:rFonts w:ascii="Courier New" w:hAnsi="Courier New"/>
          <w:color w:val="212121"/>
          <w:sz w:val="18"/>
        </w:rPr>
        <w:t>|   |-- paludisme.txt</w:t>
      </w:r>
    </w:p>
    <w:p>
      <w:pPr>
        <w:spacing w:after="0" w:before="0"/>
        <w:ind w:left="567"/>
        <w:shd w:val="clear" w:color="auto" w:fill="F2F3F4"/>
      </w:pPr>
      <w:r>
        <w:rPr>
          <w:rFonts w:ascii="Courier New" w:hAnsi="Courier New"/>
          <w:color w:val="212121"/>
          <w:sz w:val="18"/>
        </w:rPr>
        <w:t>|   |-- dengue.txt</w:t>
      </w:r>
    </w:p>
    <w:p>
      <w:pPr>
        <w:spacing w:after="0" w:before="0"/>
        <w:ind w:left="567"/>
        <w:shd w:val="clear" w:color="auto" w:fill="F2F3F4"/>
      </w:pPr>
      <w:r>
        <w:rPr>
          <w:rFonts w:ascii="Courier New" w:hAnsi="Courier New"/>
          <w:color w:val="212121"/>
          <w:sz w:val="18"/>
        </w:rPr>
        <w:t>|   |-- nutrition.txt</w:t>
      </w:r>
    </w:p>
    <w:p>
      <w:pPr>
        <w:spacing w:after="0" w:before="0"/>
        <w:ind w:left="567"/>
        <w:shd w:val="clear" w:color="auto" w:fill="F2F3F4"/>
      </w:pPr>
      <w:r>
        <w:rPr>
          <w:rFonts w:ascii="Courier New" w:hAnsi="Courier New"/>
          <w:color w:val="212121"/>
          <w:sz w:val="18"/>
        </w:rPr>
        <w:t>|   |-- pharmacies_centres_sante.txt</w:t>
      </w:r>
    </w:p>
    <w:p>
      <w:pPr>
        <w:spacing w:after="0" w:before="0"/>
        <w:ind w:left="567"/>
        <w:shd w:val="clear" w:color="auto" w:fill="F2F3F4"/>
      </w:pPr>
      <w:r>
        <w:rPr>
          <w:rFonts w:ascii="Courier New" w:hAnsi="Courier New"/>
          <w:color w:val="212121"/>
          <w:sz w:val="18"/>
        </w:rPr>
        <w:t>|   |-- cholera_hygiene.txt</w:t>
      </w:r>
    </w:p>
    <w:p>
      <w:pPr>
        <w:spacing w:after="0" w:before="0"/>
        <w:ind w:left="567"/>
        <w:shd w:val="clear" w:color="auto" w:fill="F2F3F4"/>
      </w:pPr>
      <w:r>
        <w:rPr>
          <w:rFonts w:ascii="Courier New" w:hAnsi="Courier New"/>
          <w:color w:val="212121"/>
          <w:sz w:val="18"/>
        </w:rPr>
        <w:t>|   +-- sante_maternelle_vaccination.txt</w:t>
      </w:r>
    </w:p>
    <w:p>
      <w:pPr>
        <w:spacing w:after="0" w:before="0"/>
        <w:ind w:left="567"/>
        <w:shd w:val="clear" w:color="auto" w:fill="F2F3F4"/>
      </w:pPr>
      <w:r>
        <w:rPr>
          <w:rFonts w:ascii="Courier New" w:hAnsi="Courier New"/>
          <w:color w:val="212121"/>
          <w:sz w:val="18"/>
        </w:rPr>
        <w:t>|-- knowledge_base.json            &lt;- Segments (genere par ingest.py)</w:t>
      </w:r>
    </w:p>
    <w:p>
      <w:pPr>
        <w:spacing w:after="0" w:before="0"/>
        <w:ind w:left="567"/>
        <w:shd w:val="clear" w:color="auto" w:fill="F2F3F4"/>
      </w:pPr>
      <w:r>
        <w:rPr>
          <w:rFonts w:ascii="Courier New" w:hAnsi="Courier New"/>
          <w:color w:val="212121"/>
          <w:sz w:val="18"/>
        </w:rPr>
        <w:t>|-- tfidf_index.json               &lt;- Index TF-IDF (genere par ingest.py)</w:t>
      </w:r>
    </w:p>
    <w:p>
      <w:pPr>
        <w:spacing w:after="0" w:before="0"/>
        <w:ind w:left="567"/>
        <w:shd w:val="clear" w:color="auto" w:fill="F2F3F4"/>
      </w:pPr>
      <w:r>
        <w:rPr>
          <w:rFonts w:ascii="Courier New" w:hAnsi="Courier New"/>
          <w:color w:val="212121"/>
          <w:sz w:val="18"/>
        </w:rPr>
        <w:t>|-- ingest.py                      &lt;- Script d'ingestion et indexation</w:t>
      </w:r>
    </w:p>
    <w:p>
      <w:pPr>
        <w:spacing w:after="0" w:before="0"/>
        <w:ind w:left="567"/>
        <w:shd w:val="clear" w:color="auto" w:fill="F2F3F4"/>
      </w:pPr>
      <w:r>
        <w:rPr>
          <w:rFonts w:ascii="Courier New" w:hAnsi="Courier New"/>
          <w:color w:val="212121"/>
          <w:sz w:val="18"/>
        </w:rPr>
        <w:t>|-- app.py                         &lt;- Application Streamlit principale</w:t>
      </w:r>
    </w:p>
    <w:p>
      <w:pPr>
        <w:spacing w:after="0" w:before="0"/>
        <w:ind w:left="567"/>
        <w:shd w:val="clear" w:color="auto" w:fill="F2F3F4"/>
      </w:pPr>
      <w:r>
        <w:rPr>
          <w:rFonts w:ascii="Courier New" w:hAnsi="Courier New"/>
          <w:color w:val="212121"/>
          <w:sz w:val="18"/>
        </w:rPr>
        <w:t>+-- requirements.txt              &lt;- Dependances (streamlit + groq)</w:t>
      </w:r>
    </w:p>
    <w:p/>
    <w:p>
      <w:pPr>
        <w:pStyle w:val="Heading2"/>
        <w:spacing w:before="280" w:after="120"/>
      </w:pPr>
      <w:r>
        <w:rPr>
          <w:rFonts w:ascii="Arial" w:hAnsi="Arial"/>
          <w:color w:val="1F618D"/>
          <w:sz w:val="28"/>
        </w:rPr>
        <w:t>5.2 Interface utilisateur (3 onglets)</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A5276"/>
          </w:tcPr>
          <w:p>
            <w:pPr>
              <w:jc w:val="center"/>
            </w:pPr>
            <w:r>
              <w:rPr>
                <w:rFonts w:ascii="Arial" w:hAnsi="Arial"/>
                <w:b/>
                <w:color w:val="FFFFFF"/>
                <w:sz w:val="20"/>
              </w:rPr>
              <w:t>Onglet</w:t>
            </w:r>
          </w:p>
        </w:tc>
        <w:tc>
          <w:tcPr>
            <w:tcW w:type="dxa" w:w="3969"/>
            <w:shd w:val="clear" w:color="auto" w:fill="1A5276"/>
          </w:tcPr>
          <w:p>
            <w:pPr>
              <w:jc w:val="center"/>
            </w:pPr>
            <w:r>
              <w:rPr>
                <w:rFonts w:ascii="Arial" w:hAnsi="Arial"/>
                <w:b/>
                <w:color w:val="FFFFFF"/>
                <w:sz w:val="20"/>
              </w:rPr>
              <w:t>Contenu</w:t>
            </w:r>
          </w:p>
        </w:tc>
        <w:tc>
          <w:tcPr>
            <w:tcW w:type="dxa" w:w="3231"/>
            <w:shd w:val="clear" w:color="auto" w:fill="1A5276"/>
          </w:tcPr>
          <w:p>
            <w:pPr>
              <w:jc w:val="center"/>
            </w:pPr>
            <w:r>
              <w:rPr>
                <w:rFonts w:ascii="Arial" w:hAnsi="Arial"/>
                <w:b/>
                <w:color w:val="FFFFFF"/>
                <w:sz w:val="20"/>
              </w:rPr>
              <w:t>Objectif</w:t>
            </w:r>
          </w:p>
        </w:tc>
      </w:tr>
      <w:tr>
        <w:tc>
          <w:tcPr>
            <w:tcW w:type="dxa" w:w="1701"/>
            <w:shd w:val="clear" w:color="auto" w:fill="EBF5FB"/>
          </w:tcPr>
          <w:p>
            <w:r>
              <w:rPr>
                <w:rFonts w:ascii="Arial" w:hAnsi="Arial"/>
                <w:sz w:val="20"/>
              </w:rPr>
              <w:t>Consultation</w:t>
            </w:r>
          </w:p>
        </w:tc>
        <w:tc>
          <w:tcPr>
            <w:tcW w:type="dxa" w:w="3969"/>
            <w:shd w:val="clear" w:color="auto" w:fill="EBF5FB"/>
          </w:tcPr>
          <w:p>
            <w:r>
              <w:rPr>
                <w:rFonts w:ascii="Arial" w:hAnsi="Arial"/>
                <w:sz w:val="20"/>
              </w:rPr>
              <w:t>Chat, sources, scores de pertinence, passages RAG</w:t>
            </w:r>
          </w:p>
        </w:tc>
        <w:tc>
          <w:tcPr>
            <w:tcW w:type="dxa" w:w="3231"/>
            <w:shd w:val="clear" w:color="auto" w:fill="EBF5FB"/>
          </w:tcPr>
          <w:p>
            <w:r>
              <w:rPr>
                <w:rFonts w:ascii="Arial" w:hAnsi="Arial"/>
                <w:sz w:val="20"/>
              </w:rPr>
              <w:t>Interaction principale</w:t>
            </w:r>
          </w:p>
        </w:tc>
      </w:tr>
      <w:tr>
        <w:tc>
          <w:tcPr>
            <w:tcW w:type="dxa" w:w="1701"/>
            <w:shd w:val="clear" w:color="auto" w:fill="FFFFFF"/>
          </w:tcPr>
          <w:p>
            <w:r>
              <w:rPr>
                <w:rFonts w:ascii="Arial" w:hAnsi="Arial"/>
                <w:sz w:val="20"/>
              </w:rPr>
              <w:t>Evaluation</w:t>
            </w:r>
          </w:p>
        </w:tc>
        <w:tc>
          <w:tcPr>
            <w:tcW w:type="dxa" w:w="3969"/>
            <w:shd w:val="clear" w:color="auto" w:fill="FFFFFF"/>
          </w:tcPr>
          <w:p>
            <w:r>
              <w:rPr>
                <w:rFonts w:ascii="Arial" w:hAnsi="Arial"/>
                <w:sz w:val="20"/>
              </w:rPr>
              <w:t>Tests automatiques, metriques, bilan de session</w:t>
            </w:r>
          </w:p>
        </w:tc>
        <w:tc>
          <w:tcPr>
            <w:tcW w:type="dxa" w:w="3231"/>
            <w:shd w:val="clear" w:color="auto" w:fill="FFFFFF"/>
          </w:tcPr>
          <w:p>
            <w:r>
              <w:rPr>
                <w:rFonts w:ascii="Arial" w:hAnsi="Arial"/>
                <w:sz w:val="20"/>
              </w:rPr>
              <w:t>Etape 4 du projet</w:t>
            </w:r>
          </w:p>
        </w:tc>
      </w:tr>
      <w:tr>
        <w:tc>
          <w:tcPr>
            <w:tcW w:type="dxa" w:w="1701"/>
            <w:shd w:val="clear" w:color="auto" w:fill="EBF5FB"/>
          </w:tcPr>
          <w:p>
            <w:r>
              <w:rPr>
                <w:rFonts w:ascii="Arial" w:hAnsi="Arial"/>
                <w:sz w:val="20"/>
              </w:rPr>
              <w:t>Architecture</w:t>
            </w:r>
          </w:p>
        </w:tc>
        <w:tc>
          <w:tcPr>
            <w:tcW w:type="dxa" w:w="3969"/>
            <w:shd w:val="clear" w:color="auto" w:fill="EBF5FB"/>
          </w:tcPr>
          <w:p>
            <w:r>
              <w:rPr>
                <w:rFonts w:ascii="Arial" w:hAnsi="Arial"/>
                <w:sz w:val="20"/>
              </w:rPr>
              <w:t>Diagramme de flux, choix technologiques</w:t>
            </w:r>
          </w:p>
        </w:tc>
        <w:tc>
          <w:tcPr>
            <w:tcW w:type="dxa" w:w="3231"/>
            <w:shd w:val="clear" w:color="auto" w:fill="EBF5FB"/>
          </w:tcPr>
          <w:p>
            <w:r>
              <w:rPr>
                <w:rFonts w:ascii="Arial" w:hAnsi="Arial"/>
                <w:sz w:val="20"/>
              </w:rPr>
              <w:t>Documentation</w:t>
            </w:r>
          </w:p>
        </w:tc>
      </w:tr>
    </w:tbl>
    <w:p/>
    <w:p>
      <w:pPr>
        <w:pStyle w:val="Heading2"/>
        <w:spacing w:before="280" w:after="120"/>
      </w:pPr>
      <w:r>
        <w:rPr>
          <w:rFonts w:ascii="Arial" w:hAnsi="Arial"/>
          <w:color w:val="1F618D"/>
          <w:sz w:val="28"/>
        </w:rPr>
        <w:t>5.3 Fonctionnalites avancees</w:t>
      </w:r>
    </w:p>
    <w:p>
      <w:pPr>
        <w:pStyle w:val="ListBullet"/>
        <w:spacing w:after="60" w:before="20"/>
      </w:pPr>
      <w:r>
        <w:rPr>
          <w:rFonts w:ascii="Arial" w:hAnsi="Arial"/>
          <w:b w:val="0"/>
          <w:sz w:val="22"/>
        </w:rPr>
        <w:t>Memoire conversationnelle : les 4 derniers echanges inclus dans le prompt</w:t>
      </w:r>
    </w:p>
    <w:p>
      <w:pPr>
        <w:pStyle w:val="ListBullet"/>
        <w:spacing w:after="60" w:before="20"/>
      </w:pPr>
      <w:r>
        <w:rPr>
          <w:rFonts w:ascii="Arial" w:hAnsi="Arial"/>
          <w:b w:val="0"/>
          <w:sz w:val="22"/>
        </w:rPr>
        <w:t>Scores de pertinence : score cosinus affiche apres chaque reponse</w:t>
      </w:r>
    </w:p>
    <w:p>
      <w:pPr>
        <w:pStyle w:val="ListBullet"/>
        <w:spacing w:after="60" w:before="20"/>
      </w:pPr>
      <w:r>
        <w:rPr>
          <w:rFonts w:ascii="Arial" w:hAnsi="Arial"/>
          <w:b w:val="0"/>
          <w:sz w:val="22"/>
        </w:rPr>
        <w:t>Affichage des passages RAG : expander montrant les segments utilises</w:t>
      </w:r>
    </w:p>
    <w:p>
      <w:pPr>
        <w:pStyle w:val="ListBullet"/>
        <w:spacing w:after="60" w:before="20"/>
      </w:pPr>
      <w:r>
        <w:rPr>
          <w:rFonts w:ascii="Arial" w:hAnsi="Arial"/>
          <w:b w:val="0"/>
          <w:sz w:val="22"/>
        </w:rPr>
        <w:t>Questions predefinies en sidebar : 7 exemples pour guider les utilisateurs</w:t>
      </w:r>
    </w:p>
    <w:p>
      <w:pPr>
        <w:pStyle w:val="ListBullet"/>
        <w:spacing w:after="60" w:before="20"/>
      </w:pPr>
      <w:r>
        <w:rPr>
          <w:rFonts w:ascii="Arial" w:hAnsi="Arial"/>
          <w:b w:val="0"/>
          <w:sz w:val="22"/>
        </w:rPr>
        <w:t>Detection automatique des reponses hors-domaine</w:t>
      </w:r>
    </w:p>
    <w:p>
      <w:pPr>
        <w:pStyle w:val="ListBullet"/>
        <w:spacing w:after="60" w:before="20"/>
      </w:pPr>
      <w:r>
        <w:rPr>
          <w:rFonts w:ascii="Arial" w:hAnsi="Arial"/>
          <w:b w:val="0"/>
          <w:sz w:val="22"/>
        </w:rPr>
        <w:t>Drapeau national Burkina Faso affiche dans la barre laterale</w:t>
      </w:r>
    </w:p>
    <w:p>
      <w:r>
        <w:br w:type="page"/>
      </w:r>
    </w:p>
    <w:p>
      <w:pPr>
        <w:pStyle w:val="Heading1"/>
        <w:spacing w:before="280" w:after="120"/>
      </w:pPr>
      <w:r>
        <w:rPr>
          <w:rFonts w:ascii="Arial" w:hAnsi="Arial"/>
          <w:color w:val="1A5276"/>
          <w:sz w:val="36"/>
        </w:rPr>
        <w:t>6. Evaluation du systeme (Etape 4 — Nouveaute 2026)</w:t>
      </w:r>
    </w:p>
    <w:p>
      <w:pPr>
        <w:spacing w:before="80" w:after="80"/>
        <w:pBdr>
          <w:bottom w:val="single" w:sz="6" w:space="1" w:color="1A5276"/>
        </w:pBdr>
      </w:pPr>
    </w:p>
    <w:p>
      <w:pPr>
        <w:pStyle w:val="Heading2"/>
        <w:spacing w:before="280" w:after="120"/>
      </w:pPr>
      <w:r>
        <w:rPr>
          <w:rFonts w:ascii="Arial" w:hAnsi="Arial"/>
          <w:color w:val="1F618D"/>
          <w:sz w:val="28"/>
        </w:rPr>
        <w:t>6.1 Protocole d'evaluation</w:t>
      </w:r>
    </w:p>
    <w:p>
      <w:pPr>
        <w:spacing w:after="120" w:before="40" w:line="280" w:lineRule="exact"/>
        <w:jc w:val="both"/>
      </w:pPr>
      <w:r>
        <w:rPr>
          <w:rFonts w:ascii="Arial" w:hAnsi="Arial"/>
          <w:b w:val="0"/>
          <w:i w:val="0"/>
          <w:sz w:val="22"/>
        </w:rPr>
        <w:t>Conformement aux exigences de l'edition 2026, nous avons mis en place un systeme d'evaluation automatique integre a l'interface Streamlit (onglet Evaluation). Ce systeme teste deux dimensions de la robustesse du RAG :</w:t>
      </w:r>
    </w:p>
    <w:p>
      <w:pPr>
        <w:pStyle w:val="ListBullet"/>
        <w:spacing w:after="60" w:before="20"/>
      </w:pPr>
      <w:r>
        <w:rPr>
          <w:rFonts w:ascii="Arial" w:hAnsi="Arial"/>
          <w:b/>
          <w:sz w:val="22"/>
        </w:rPr>
        <w:t>Pertinence de la recuperation (Precision@k) : pour des questions connues, les termes cles attendus apparaissent-ils dans les passages recuperes ?</w:t>
      </w:r>
    </w:p>
    <w:p>
      <w:pPr>
        <w:pStyle w:val="ListBullet"/>
        <w:spacing w:after="60" w:before="20"/>
      </w:pPr>
      <w:r>
        <w:rPr>
          <w:rFonts w:ascii="Arial" w:hAnsi="Arial"/>
          <w:b/>
          <w:sz w:val="22"/>
        </w:rPr>
        <w:t>Taux de refus approprie (anti-hallucination) : pour des questions hors domaine (politique, economie), le score cosinus est-il suffisamment bas (&lt; 15%) ?</w:t>
      </w:r>
    </w:p>
    <w:p/>
    <w:p>
      <w:pPr>
        <w:pStyle w:val="Heading2"/>
        <w:spacing w:before="280" w:after="120"/>
      </w:pPr>
      <w:r>
        <w:rPr>
          <w:rFonts w:ascii="Arial" w:hAnsi="Arial"/>
          <w:color w:val="1F618D"/>
          <w:sz w:val="28"/>
        </w:rPr>
        <w:t>6.2 Jeu de tests (8 questions)</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A5276"/>
          </w:tcPr>
          <w:p>
            <w:pPr>
              <w:jc w:val="center"/>
            </w:pPr>
            <w:r>
              <w:rPr>
                <w:rFonts w:ascii="Arial" w:hAnsi="Arial"/>
                <w:b/>
                <w:color w:val="FFFFFF"/>
                <w:sz w:val="20"/>
              </w:rPr>
              <w:t>Question</w:t>
            </w:r>
          </w:p>
        </w:tc>
        <w:tc>
          <w:tcPr>
            <w:tcW w:type="dxa" w:w="1701"/>
            <w:shd w:val="clear" w:color="auto" w:fill="1A5276"/>
          </w:tcPr>
          <w:p>
            <w:pPr>
              <w:jc w:val="center"/>
            </w:pPr>
            <w:r>
              <w:rPr>
                <w:rFonts w:ascii="Arial" w:hAnsi="Arial"/>
                <w:b/>
                <w:color w:val="FFFFFF"/>
                <w:sz w:val="20"/>
              </w:rPr>
              <w:t>Type</w:t>
            </w:r>
          </w:p>
        </w:tc>
        <w:tc>
          <w:tcPr>
            <w:tcW w:type="dxa" w:w="4082"/>
            <w:shd w:val="clear" w:color="auto" w:fill="1A5276"/>
          </w:tcPr>
          <w:p>
            <w:pPr>
              <w:jc w:val="center"/>
            </w:pPr>
            <w:r>
              <w:rPr>
                <w:rFonts w:ascii="Arial" w:hAnsi="Arial"/>
                <w:b/>
                <w:color w:val="FFFFFF"/>
                <w:sz w:val="20"/>
              </w:rPr>
              <w:t>Critere de succes</w:t>
            </w:r>
          </w:p>
        </w:tc>
      </w:tr>
      <w:tr>
        <w:tc>
          <w:tcPr>
            <w:tcW w:type="dxa" w:w="3118"/>
            <w:shd w:val="clear" w:color="auto" w:fill="EBF5FB"/>
          </w:tcPr>
          <w:p>
            <w:r>
              <w:rPr>
                <w:rFonts w:ascii="Arial" w:hAnsi="Arial"/>
                <w:sz w:val="20"/>
              </w:rPr>
              <w:t>Symptomes du paludisme ?</w:t>
            </w:r>
          </w:p>
        </w:tc>
        <w:tc>
          <w:tcPr>
            <w:tcW w:type="dxa" w:w="1701"/>
            <w:shd w:val="clear" w:color="auto" w:fill="EBF5FB"/>
          </w:tcPr>
          <w:p>
            <w:r>
              <w:rPr>
                <w:rFonts w:ascii="Arial" w:hAnsi="Arial"/>
                <w:sz w:val="20"/>
              </w:rPr>
              <w:t>In-domain</w:t>
            </w:r>
          </w:p>
        </w:tc>
        <w:tc>
          <w:tcPr>
            <w:tcW w:type="dxa" w:w="4082"/>
            <w:shd w:val="clear" w:color="auto" w:fill="EBF5FB"/>
          </w:tcPr>
          <w:p>
            <w:r>
              <w:rPr>
                <w:rFonts w:ascii="Arial" w:hAnsi="Arial"/>
                <w:sz w:val="20"/>
              </w:rPr>
              <w:t>fievre, frissons dans passages</w:t>
            </w:r>
          </w:p>
        </w:tc>
      </w:tr>
      <w:tr>
        <w:tc>
          <w:tcPr>
            <w:tcW w:type="dxa" w:w="3118"/>
            <w:shd w:val="clear" w:color="auto" w:fill="FFFFFF"/>
          </w:tcPr>
          <w:p>
            <w:r>
              <w:rPr>
                <w:rFonts w:ascii="Arial" w:hAnsi="Arial"/>
                <w:sz w:val="20"/>
              </w:rPr>
              <w:t>Comment prevenir la dengue ?</w:t>
            </w:r>
          </w:p>
        </w:tc>
        <w:tc>
          <w:tcPr>
            <w:tcW w:type="dxa" w:w="1701"/>
            <w:shd w:val="clear" w:color="auto" w:fill="FFFFFF"/>
          </w:tcPr>
          <w:p>
            <w:r>
              <w:rPr>
                <w:rFonts w:ascii="Arial" w:hAnsi="Arial"/>
                <w:sz w:val="20"/>
              </w:rPr>
              <w:t>In-domain</w:t>
            </w:r>
          </w:p>
        </w:tc>
        <w:tc>
          <w:tcPr>
            <w:tcW w:type="dxa" w:w="4082"/>
            <w:shd w:val="clear" w:color="auto" w:fill="FFFFFF"/>
          </w:tcPr>
          <w:p>
            <w:r>
              <w:rPr>
                <w:rFonts w:ascii="Arial" w:hAnsi="Arial"/>
                <w:sz w:val="20"/>
              </w:rPr>
              <w:t>moustique, gites dans passages</w:t>
            </w:r>
          </w:p>
        </w:tc>
      </w:tr>
      <w:tr>
        <w:tc>
          <w:tcPr>
            <w:tcW w:type="dxa" w:w="3118"/>
            <w:shd w:val="clear" w:color="auto" w:fill="EBF5FB"/>
          </w:tcPr>
          <w:p>
            <w:r>
              <w:rPr>
                <w:rFonts w:ascii="Arial" w:hAnsi="Arial"/>
                <w:sz w:val="20"/>
              </w:rPr>
              <w:t>Aliments pour enfant de 2 ans ?</w:t>
            </w:r>
          </w:p>
        </w:tc>
        <w:tc>
          <w:tcPr>
            <w:tcW w:type="dxa" w:w="1701"/>
            <w:shd w:val="clear" w:color="auto" w:fill="EBF5FB"/>
          </w:tcPr>
          <w:p>
            <w:r>
              <w:rPr>
                <w:rFonts w:ascii="Arial" w:hAnsi="Arial"/>
                <w:sz w:val="20"/>
              </w:rPr>
              <w:t>In-domain</w:t>
            </w:r>
          </w:p>
        </w:tc>
        <w:tc>
          <w:tcPr>
            <w:tcW w:type="dxa" w:w="4082"/>
            <w:shd w:val="clear" w:color="auto" w:fill="EBF5FB"/>
          </w:tcPr>
          <w:p>
            <w:r>
              <w:rPr>
                <w:rFonts w:ascii="Arial" w:hAnsi="Arial"/>
                <w:sz w:val="20"/>
              </w:rPr>
              <w:t>proteines, vitamines dans passages</w:t>
            </w:r>
          </w:p>
        </w:tc>
      </w:tr>
      <w:tr>
        <w:tc>
          <w:tcPr>
            <w:tcW w:type="dxa" w:w="3118"/>
            <w:shd w:val="clear" w:color="auto" w:fill="FFFFFF"/>
          </w:tcPr>
          <w:p>
            <w:r>
              <w:rPr>
                <w:rFonts w:ascii="Arial" w:hAnsi="Arial"/>
                <w:sz w:val="20"/>
              </w:rPr>
              <w:t>Ou est le CHU Yalgado ?</w:t>
            </w:r>
          </w:p>
        </w:tc>
        <w:tc>
          <w:tcPr>
            <w:tcW w:type="dxa" w:w="1701"/>
            <w:shd w:val="clear" w:color="auto" w:fill="FFFFFF"/>
          </w:tcPr>
          <w:p>
            <w:r>
              <w:rPr>
                <w:rFonts w:ascii="Arial" w:hAnsi="Arial"/>
                <w:sz w:val="20"/>
              </w:rPr>
              <w:t>In-domain</w:t>
            </w:r>
          </w:p>
        </w:tc>
        <w:tc>
          <w:tcPr>
            <w:tcW w:type="dxa" w:w="4082"/>
            <w:shd w:val="clear" w:color="auto" w:fill="FFFFFF"/>
          </w:tcPr>
          <w:p>
            <w:r>
              <w:rPr>
                <w:rFonts w:ascii="Arial" w:hAnsi="Arial"/>
                <w:sz w:val="20"/>
              </w:rPr>
              <w:t>Ouagadougou, telephone dans passages</w:t>
            </w:r>
          </w:p>
        </w:tc>
      </w:tr>
      <w:tr>
        <w:tc>
          <w:tcPr>
            <w:tcW w:type="dxa" w:w="3118"/>
            <w:shd w:val="clear" w:color="auto" w:fill="EBF5FB"/>
          </w:tcPr>
          <w:p>
            <w:r>
              <w:rPr>
                <w:rFonts w:ascii="Arial" w:hAnsi="Arial"/>
                <w:sz w:val="20"/>
              </w:rPr>
              <w:t>Difference dengue / paludisme ?</w:t>
            </w:r>
          </w:p>
        </w:tc>
        <w:tc>
          <w:tcPr>
            <w:tcW w:type="dxa" w:w="1701"/>
            <w:shd w:val="clear" w:color="auto" w:fill="EBF5FB"/>
          </w:tcPr>
          <w:p>
            <w:r>
              <w:rPr>
                <w:rFonts w:ascii="Arial" w:hAnsi="Arial"/>
                <w:sz w:val="20"/>
              </w:rPr>
              <w:t>In-domain</w:t>
            </w:r>
          </w:p>
        </w:tc>
        <w:tc>
          <w:tcPr>
            <w:tcW w:type="dxa" w:w="4082"/>
            <w:shd w:val="clear" w:color="auto" w:fill="EBF5FB"/>
          </w:tcPr>
          <w:p>
            <w:r>
              <w:rPr>
                <w:rFonts w:ascii="Arial" w:hAnsi="Arial"/>
                <w:sz w:val="20"/>
              </w:rPr>
              <w:t>fievre, articulaires dans passages</w:t>
            </w:r>
          </w:p>
        </w:tc>
      </w:tr>
      <w:tr>
        <w:tc>
          <w:tcPr>
            <w:tcW w:type="dxa" w:w="3118"/>
            <w:shd w:val="clear" w:color="auto" w:fill="FFFFFF"/>
          </w:tcPr>
          <w:p>
            <w:r>
              <w:rPr>
                <w:rFonts w:ascii="Arial" w:hAnsi="Arial"/>
                <w:sz w:val="20"/>
              </w:rPr>
              <w:t>Prix de l'or au Burkina ?</w:t>
            </w:r>
          </w:p>
        </w:tc>
        <w:tc>
          <w:tcPr>
            <w:tcW w:type="dxa" w:w="1701"/>
            <w:shd w:val="clear" w:color="auto" w:fill="FFFFFF"/>
          </w:tcPr>
          <w:p>
            <w:r>
              <w:rPr>
                <w:rFonts w:ascii="Arial" w:hAnsi="Arial"/>
                <w:sz w:val="20"/>
              </w:rPr>
              <w:t>Hors-domaine</w:t>
            </w:r>
          </w:p>
        </w:tc>
        <w:tc>
          <w:tcPr>
            <w:tcW w:type="dxa" w:w="4082"/>
            <w:shd w:val="clear" w:color="auto" w:fill="FFFFFF"/>
          </w:tcPr>
          <w:p>
            <w:r>
              <w:rPr>
                <w:rFonts w:ascii="Arial" w:hAnsi="Arial"/>
                <w:sz w:val="20"/>
              </w:rPr>
              <w:t>Score cosinus &lt; 15%</w:t>
            </w:r>
          </w:p>
        </w:tc>
      </w:tr>
      <w:tr>
        <w:tc>
          <w:tcPr>
            <w:tcW w:type="dxa" w:w="3118"/>
            <w:shd w:val="clear" w:color="auto" w:fill="EBF5FB"/>
          </w:tcPr>
          <w:p>
            <w:r>
              <w:rPr>
                <w:rFonts w:ascii="Arial" w:hAnsi="Arial"/>
                <w:sz w:val="20"/>
              </w:rPr>
              <w:t>Politique burkinabe en 2024 ?</w:t>
            </w:r>
          </w:p>
        </w:tc>
        <w:tc>
          <w:tcPr>
            <w:tcW w:type="dxa" w:w="1701"/>
            <w:shd w:val="clear" w:color="auto" w:fill="EBF5FB"/>
          </w:tcPr>
          <w:p>
            <w:r>
              <w:rPr>
                <w:rFonts w:ascii="Arial" w:hAnsi="Arial"/>
                <w:sz w:val="20"/>
              </w:rPr>
              <w:t>Hors-domaine</w:t>
            </w:r>
          </w:p>
        </w:tc>
        <w:tc>
          <w:tcPr>
            <w:tcW w:type="dxa" w:w="4082"/>
            <w:shd w:val="clear" w:color="auto" w:fill="EBF5FB"/>
          </w:tcPr>
          <w:p>
            <w:r>
              <w:rPr>
                <w:rFonts w:ascii="Arial" w:hAnsi="Arial"/>
                <w:sz w:val="20"/>
              </w:rPr>
              <w:t>Score cosinus &lt; 15%</w:t>
            </w:r>
          </w:p>
        </w:tc>
      </w:tr>
      <w:tr>
        <w:tc>
          <w:tcPr>
            <w:tcW w:type="dxa" w:w="3118"/>
            <w:shd w:val="clear" w:color="auto" w:fill="FFFFFF"/>
          </w:tcPr>
          <w:p>
            <w:r>
              <w:rPr>
                <w:rFonts w:ascii="Arial" w:hAnsi="Arial"/>
                <w:sz w:val="20"/>
              </w:rPr>
              <w:t>Qui est le president ?</w:t>
            </w:r>
          </w:p>
        </w:tc>
        <w:tc>
          <w:tcPr>
            <w:tcW w:type="dxa" w:w="1701"/>
            <w:shd w:val="clear" w:color="auto" w:fill="FFFFFF"/>
          </w:tcPr>
          <w:p>
            <w:r>
              <w:rPr>
                <w:rFonts w:ascii="Arial" w:hAnsi="Arial"/>
                <w:sz w:val="20"/>
              </w:rPr>
              <w:t>Hors-domaine</w:t>
            </w:r>
          </w:p>
        </w:tc>
        <w:tc>
          <w:tcPr>
            <w:tcW w:type="dxa" w:w="4082"/>
            <w:shd w:val="clear" w:color="auto" w:fill="FFFFFF"/>
          </w:tcPr>
          <w:p>
            <w:r>
              <w:rPr>
                <w:rFonts w:ascii="Arial" w:hAnsi="Arial"/>
                <w:sz w:val="20"/>
              </w:rPr>
              <w:t>Score cosinus &lt; 15%</w:t>
            </w:r>
          </w:p>
        </w:tc>
      </w:tr>
    </w:tbl>
    <w:p/>
    <w:p>
      <w:pPr>
        <w:pStyle w:val="Heading2"/>
        <w:spacing w:before="280" w:after="120"/>
      </w:pPr>
      <w:r>
        <w:rPr>
          <w:rFonts w:ascii="Arial" w:hAnsi="Arial"/>
          <w:color w:val="1F618D"/>
          <w:sz w:val="28"/>
        </w:rPr>
        <w:t>6.3 Resultats observes</w:t>
      </w:r>
    </w:p>
    <w:p>
      <w:pPr>
        <w:pStyle w:val="ListBullet"/>
        <w:spacing w:after="60" w:before="20"/>
      </w:pPr>
      <w:r>
        <w:rPr>
          <w:rFonts w:ascii="Arial" w:hAnsi="Arial"/>
          <w:b w:val="0"/>
          <w:sz w:val="22"/>
        </w:rPr>
        <w:t>Tests in-domain : 5/5 — passages pertinents recuperes, score moyen &gt; 20%</w:t>
      </w:r>
    </w:p>
    <w:p>
      <w:pPr>
        <w:pStyle w:val="ListBullet"/>
        <w:spacing w:after="60" w:before="20"/>
      </w:pPr>
      <w:r>
        <w:rPr>
          <w:rFonts w:ascii="Arial" w:hAnsi="Arial"/>
          <w:b w:val="0"/>
          <w:sz w:val="22"/>
        </w:rPr>
        <w:t>Tests hors-domaine : 3/3 — scores cosinus &lt; 10%, bonne separation des domaines</w:t>
      </w:r>
    </w:p>
    <w:p>
      <w:pPr>
        <w:pStyle w:val="ListBullet"/>
        <w:spacing w:after="60" w:before="20"/>
      </w:pPr>
      <w:r>
        <w:rPr>
          <w:rFonts w:ascii="Arial" w:hAnsi="Arial"/>
          <w:b w:val="0"/>
          <w:sz w:val="22"/>
        </w:rPr>
        <w:t>Score global de l'evaluation : &gt;= 87%</w:t>
      </w:r>
    </w:p>
    <w:p>
      <w:pPr>
        <w:pStyle w:val="ListBullet"/>
        <w:spacing w:after="60" w:before="20"/>
      </w:pPr>
      <w:r>
        <w:rPr>
          <w:rFonts w:ascii="Arial" w:hAnsi="Arial"/>
          <w:b w:val="0"/>
          <w:sz w:val="22"/>
        </w:rPr>
        <w:t>Taux d'hallucination observe en session : &lt; 5% des questions in-domain</w:t>
      </w:r>
    </w:p>
    <w:p/>
    <w:p>
      <w:pPr>
        <w:pStyle w:val="Heading2"/>
        <w:spacing w:before="280" w:after="120"/>
      </w:pPr>
      <w:r>
        <w:rPr>
          <w:rFonts w:ascii="Arial" w:hAnsi="Arial"/>
          <w:color w:val="1F618D"/>
          <w:sz w:val="28"/>
        </w:rPr>
        <w:t>6.4 Limites de l'evaluation</w:t>
      </w:r>
    </w:p>
    <w:p>
      <w:pPr>
        <w:pStyle w:val="ListBullet"/>
        <w:spacing w:after="60" w:before="20"/>
      </w:pPr>
      <w:r>
        <w:rPr>
          <w:rFonts w:ascii="Arial" w:hAnsi="Arial"/>
          <w:b w:val="0"/>
          <w:sz w:val="22"/>
        </w:rPr>
        <w:t>Absence de gold standard : pas de jeu annote humainement</w:t>
      </w:r>
    </w:p>
    <w:p>
      <w:pPr>
        <w:pStyle w:val="ListBullet"/>
        <w:spacing w:after="60" w:before="20"/>
      </w:pPr>
      <w:r>
        <w:rPr>
          <w:rFonts w:ascii="Arial" w:hAnsi="Arial"/>
          <w:b w:val="0"/>
          <w:sz w:val="22"/>
        </w:rPr>
        <w:t>TF-IDF vs semantique : synonymes et reformulations peuvent etre manques</w:t>
      </w:r>
    </w:p>
    <w:p>
      <w:pPr>
        <w:pStyle w:val="ListBullet"/>
        <w:spacing w:after="60" w:before="20"/>
      </w:pPr>
      <w:r>
        <w:rPr>
          <w:rFonts w:ascii="Arial" w:hAnsi="Arial"/>
          <w:b w:val="0"/>
          <w:sz w:val="22"/>
        </w:rPr>
        <w:t>Biais de construction : questions creees par les auteurs de la base</w:t>
      </w:r>
    </w:p>
    <w:p>
      <w:r>
        <w:br w:type="page"/>
      </w:r>
    </w:p>
    <w:p>
      <w:pPr>
        <w:pStyle w:val="Heading1"/>
        <w:spacing w:before="280" w:after="120"/>
      </w:pPr>
      <w:r>
        <w:rPr>
          <w:rFonts w:ascii="Arial" w:hAnsi="Arial"/>
          <w:color w:val="1A5276"/>
          <w:sz w:val="36"/>
        </w:rPr>
        <w:t>7. Limites et perspectives</w:t>
      </w:r>
    </w:p>
    <w:p>
      <w:pPr>
        <w:spacing w:before="80" w:after="80"/>
        <w:pBdr>
          <w:bottom w:val="single" w:sz="6" w:space="1" w:color="1A5276"/>
        </w:pBdr>
      </w:pPr>
    </w:p>
    <w:p>
      <w:pPr>
        <w:pStyle w:val="Heading2"/>
        <w:spacing w:before="280" w:after="120"/>
      </w:pPr>
      <w:r>
        <w:rPr>
          <w:rFonts w:ascii="Arial" w:hAnsi="Arial"/>
          <w:color w:val="1F618D"/>
          <w:sz w:val="28"/>
        </w:rPr>
        <w:t>7.1 Limites actuelles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A5276"/>
          </w:tcPr>
          <w:p>
            <w:pPr>
              <w:jc w:val="center"/>
            </w:pPr>
            <w:r>
              <w:rPr>
                <w:rFonts w:ascii="Arial" w:hAnsi="Arial"/>
                <w:b/>
                <w:color w:val="FFFFFF"/>
                <w:sz w:val="20"/>
              </w:rPr>
              <w:t>Limite</w:t>
            </w:r>
          </w:p>
        </w:tc>
        <w:tc>
          <w:tcPr>
            <w:tcW w:type="dxa" w:w="3118"/>
            <w:shd w:val="clear" w:color="auto" w:fill="1A5276"/>
          </w:tcPr>
          <w:p>
            <w:pPr>
              <w:jc w:val="center"/>
            </w:pPr>
            <w:r>
              <w:rPr>
                <w:rFonts w:ascii="Arial" w:hAnsi="Arial"/>
                <w:b/>
                <w:color w:val="FFFFFF"/>
                <w:sz w:val="20"/>
              </w:rPr>
              <w:t>Impact</w:t>
            </w:r>
          </w:p>
        </w:tc>
        <w:tc>
          <w:tcPr>
            <w:tcW w:type="dxa" w:w="2948"/>
            <w:shd w:val="clear" w:color="auto" w:fill="1A5276"/>
          </w:tcPr>
          <w:p>
            <w:pPr>
              <w:jc w:val="center"/>
            </w:pPr>
            <w:r>
              <w:rPr>
                <w:rFonts w:ascii="Arial" w:hAnsi="Arial"/>
                <w:b/>
                <w:color w:val="FFFFFF"/>
                <w:sz w:val="20"/>
              </w:rPr>
              <w:t>Gravite</w:t>
            </w:r>
          </w:p>
        </w:tc>
      </w:tr>
      <w:tr>
        <w:tc>
          <w:tcPr>
            <w:tcW w:type="dxa" w:w="2835"/>
            <w:shd w:val="clear" w:color="auto" w:fill="EBF5FB"/>
          </w:tcPr>
          <w:p>
            <w:r>
              <w:rPr>
                <w:rFonts w:ascii="Arial" w:hAnsi="Arial"/>
                <w:sz w:val="20"/>
              </w:rPr>
              <w:t>Retrieval lexical (TF-IDF)</w:t>
            </w:r>
          </w:p>
        </w:tc>
        <w:tc>
          <w:tcPr>
            <w:tcW w:type="dxa" w:w="3118"/>
            <w:shd w:val="clear" w:color="auto" w:fill="EBF5FB"/>
          </w:tcPr>
          <w:p>
            <w:r>
              <w:rPr>
                <w:rFonts w:ascii="Arial" w:hAnsi="Arial"/>
                <w:sz w:val="20"/>
              </w:rPr>
              <w:t>Synonymes et reformulations manques</w:t>
            </w:r>
          </w:p>
        </w:tc>
        <w:tc>
          <w:tcPr>
            <w:tcW w:type="dxa" w:w="2948"/>
            <w:shd w:val="clear" w:color="auto" w:fill="EBF5FB"/>
          </w:tcPr>
          <w:p>
            <w:r>
              <w:rPr>
                <w:rFonts w:ascii="Arial" w:hAnsi="Arial"/>
                <w:sz w:val="20"/>
              </w:rPr>
              <w:t>Moderee</w:t>
            </w:r>
          </w:p>
        </w:tc>
      </w:tr>
      <w:tr>
        <w:tc>
          <w:tcPr>
            <w:tcW w:type="dxa" w:w="2835"/>
            <w:shd w:val="clear" w:color="auto" w:fill="FFFFFF"/>
          </w:tcPr>
          <w:p>
            <w:r>
              <w:rPr>
                <w:rFonts w:ascii="Arial" w:hAnsi="Arial"/>
                <w:sz w:val="20"/>
              </w:rPr>
              <w:t>Base de connaissances statique</w:t>
            </w:r>
          </w:p>
        </w:tc>
        <w:tc>
          <w:tcPr>
            <w:tcW w:type="dxa" w:w="3118"/>
            <w:shd w:val="clear" w:color="auto" w:fill="FFFFFF"/>
          </w:tcPr>
          <w:p>
            <w:r>
              <w:rPr>
                <w:rFonts w:ascii="Arial" w:hAnsi="Arial"/>
                <w:sz w:val="20"/>
              </w:rPr>
              <w:t>Pas de mise a jour automatique</w:t>
            </w:r>
          </w:p>
        </w:tc>
        <w:tc>
          <w:tcPr>
            <w:tcW w:type="dxa" w:w="2948"/>
            <w:shd w:val="clear" w:color="auto" w:fill="FFFFFF"/>
          </w:tcPr>
          <w:p>
            <w:r>
              <w:rPr>
                <w:rFonts w:ascii="Arial" w:hAnsi="Arial"/>
                <w:sz w:val="20"/>
              </w:rPr>
              <w:t>Moderee</w:t>
            </w:r>
          </w:p>
        </w:tc>
      </w:tr>
      <w:tr>
        <w:tc>
          <w:tcPr>
            <w:tcW w:type="dxa" w:w="2835"/>
            <w:shd w:val="clear" w:color="auto" w:fill="EBF5FB"/>
          </w:tcPr>
          <w:p>
            <w:r>
              <w:rPr>
                <w:rFonts w:ascii="Arial" w:hAnsi="Arial"/>
                <w:sz w:val="20"/>
              </w:rPr>
              <w:t>Langue unique (francais)</w:t>
            </w:r>
          </w:p>
        </w:tc>
        <w:tc>
          <w:tcPr>
            <w:tcW w:type="dxa" w:w="3118"/>
            <w:shd w:val="clear" w:color="auto" w:fill="EBF5FB"/>
          </w:tcPr>
          <w:p>
            <w:r>
              <w:rPr>
                <w:rFonts w:ascii="Arial" w:hAnsi="Arial"/>
                <w:sz w:val="20"/>
              </w:rPr>
              <w:t>Non accessible aux locuteurs moore/dioula</w:t>
            </w:r>
          </w:p>
        </w:tc>
        <w:tc>
          <w:tcPr>
            <w:tcW w:type="dxa" w:w="2948"/>
            <w:shd w:val="clear" w:color="auto" w:fill="EBF5FB"/>
          </w:tcPr>
          <w:p>
            <w:r>
              <w:rPr>
                <w:rFonts w:ascii="Arial" w:hAnsi="Arial"/>
                <w:sz w:val="20"/>
              </w:rPr>
              <w:t>Forte</w:t>
            </w:r>
          </w:p>
        </w:tc>
      </w:tr>
      <w:tr>
        <w:tc>
          <w:tcPr>
            <w:tcW w:type="dxa" w:w="2835"/>
            <w:shd w:val="clear" w:color="auto" w:fill="FFFFFF"/>
          </w:tcPr>
          <w:p>
            <w:r>
              <w:rPr>
                <w:rFonts w:ascii="Arial" w:hAnsi="Arial"/>
                <w:sz w:val="20"/>
              </w:rPr>
              <w:t>Pas de validation medicale</w:t>
            </w:r>
          </w:p>
        </w:tc>
        <w:tc>
          <w:tcPr>
            <w:tcW w:type="dxa" w:w="3118"/>
            <w:shd w:val="clear" w:color="auto" w:fill="FFFFFF"/>
          </w:tcPr>
          <w:p>
            <w:r>
              <w:rPr>
                <w:rFonts w:ascii="Arial" w:hAnsi="Arial"/>
                <w:sz w:val="20"/>
              </w:rPr>
              <w:t>Informations non verifiees par medecin</w:t>
            </w:r>
          </w:p>
        </w:tc>
        <w:tc>
          <w:tcPr>
            <w:tcW w:type="dxa" w:w="2948"/>
            <w:shd w:val="clear" w:color="auto" w:fill="FFFFFF"/>
          </w:tcPr>
          <w:p>
            <w:r>
              <w:rPr>
                <w:rFonts w:ascii="Arial" w:hAnsi="Arial"/>
                <w:sz w:val="20"/>
              </w:rPr>
              <w:t>Forte</w:t>
            </w:r>
          </w:p>
        </w:tc>
      </w:tr>
      <w:tr>
        <w:tc>
          <w:tcPr>
            <w:tcW w:type="dxa" w:w="2835"/>
            <w:shd w:val="clear" w:color="auto" w:fill="EBF5FB"/>
          </w:tcPr>
          <w:p>
            <w:r>
              <w:rPr>
                <w:rFonts w:ascii="Arial" w:hAnsi="Arial"/>
                <w:sz w:val="20"/>
              </w:rPr>
              <w:t>Dependance API Groq</w:t>
            </w:r>
          </w:p>
        </w:tc>
        <w:tc>
          <w:tcPr>
            <w:tcW w:type="dxa" w:w="3118"/>
            <w:shd w:val="clear" w:color="auto" w:fill="EBF5FB"/>
          </w:tcPr>
          <w:p>
            <w:r>
              <w:rPr>
                <w:rFonts w:ascii="Arial" w:hAnsi="Arial"/>
                <w:sz w:val="20"/>
              </w:rPr>
              <w:t>Interruption si API indisponible</w:t>
            </w:r>
          </w:p>
        </w:tc>
        <w:tc>
          <w:tcPr>
            <w:tcW w:type="dxa" w:w="2948"/>
            <w:shd w:val="clear" w:color="auto" w:fill="EBF5FB"/>
          </w:tcPr>
          <w:p>
            <w:r>
              <w:rPr>
                <w:rFonts w:ascii="Arial" w:hAnsi="Arial"/>
                <w:sz w:val="20"/>
              </w:rPr>
              <w:t>Faible</w:t>
            </w:r>
          </w:p>
        </w:tc>
      </w:tr>
    </w:tbl>
    <w:p/>
    <w:p>
      <w:pPr>
        <w:pStyle w:val="Heading2"/>
        <w:spacing w:before="280" w:after="120"/>
      </w:pPr>
      <w:r>
        <w:rPr>
          <w:rFonts w:ascii="Arial" w:hAnsi="Arial"/>
          <w:color w:val="1F618D"/>
          <w:sz w:val="28"/>
        </w:rPr>
        <w:t>7.2 Perspectives d'amelioration</w:t>
      </w:r>
    </w:p>
    <w:p>
      <w:pPr>
        <w:pStyle w:val="Heading3"/>
        <w:spacing w:before="280" w:after="120"/>
      </w:pPr>
      <w:r>
        <w:rPr>
          <w:rFonts w:ascii="Arial" w:hAnsi="Arial"/>
          <w:color w:val="2874A6"/>
          <w:sz w:val="24"/>
        </w:rPr>
        <w:t>Court terme (1-3 mois)</w:t>
      </w:r>
    </w:p>
    <w:p>
      <w:pPr>
        <w:pStyle w:val="ListBullet"/>
        <w:spacing w:after="60" w:before="20"/>
      </w:pPr>
      <w:r>
        <w:rPr>
          <w:rFonts w:ascii="Arial" w:hAnsi="Arial"/>
          <w:b w:val="0"/>
          <w:sz w:val="22"/>
        </w:rPr>
        <w:t>Embeddings semantiques via API HuggingFace Inference (gratuite) : remplacer TF-IDF par une vraie similarite vectorielle neuronale sans installation locale</w:t>
      </w:r>
    </w:p>
    <w:p>
      <w:pPr>
        <w:pStyle w:val="ListBullet"/>
        <w:spacing w:after="60" w:before="20"/>
      </w:pPr>
      <w:r>
        <w:rPr>
          <w:rFonts w:ascii="Arial" w:hAnsi="Arial"/>
          <w:b w:val="0"/>
          <w:sz w:val="22"/>
        </w:rPr>
        <w:t>Integrer des PDFs officiels du Ministere de la Sante et de l'OMS Afrique</w:t>
      </w:r>
    </w:p>
    <w:p>
      <w:pPr>
        <w:pStyle w:val="ListBullet"/>
        <w:spacing w:after="60" w:before="20"/>
      </w:pPr>
      <w:r>
        <w:rPr>
          <w:rFonts w:ascii="Arial" w:hAnsi="Arial"/>
          <w:b w:val="0"/>
          <w:sz w:val="22"/>
        </w:rPr>
        <w:t>Validation par un professionnel de sante pour chaque theme</w:t>
      </w:r>
    </w:p>
    <w:p>
      <w:pPr>
        <w:pStyle w:val="Heading3"/>
        <w:spacing w:before="280" w:after="120"/>
      </w:pPr>
      <w:r>
        <w:rPr>
          <w:rFonts w:ascii="Arial" w:hAnsi="Arial"/>
          <w:color w:val="2874A6"/>
          <w:sz w:val="24"/>
        </w:rPr>
        <w:t>Moyen terme (3-12 mois)</w:t>
      </w:r>
    </w:p>
    <w:p>
      <w:pPr>
        <w:pStyle w:val="ListBullet"/>
        <w:spacing w:after="60" w:before="20"/>
      </w:pPr>
      <w:r>
        <w:rPr>
          <w:rFonts w:ascii="Arial" w:hAnsi="Arial"/>
          <w:b w:val="0"/>
          <w:sz w:val="22"/>
        </w:rPr>
        <w:t>Support multilingue : traduction automatique en moore et dioula (langues nationales les plus parlees au Burkina Faso)</w:t>
      </w:r>
    </w:p>
    <w:p>
      <w:pPr>
        <w:pStyle w:val="ListBullet"/>
        <w:spacing w:after="60" w:before="20"/>
      </w:pPr>
      <w:r>
        <w:rPr>
          <w:rFonts w:ascii="Arial" w:hAnsi="Arial"/>
          <w:b w:val="0"/>
          <w:sz w:val="22"/>
        </w:rPr>
        <w:t>Interface vocale : synthese et reconnaissance vocale pour les utilisateurs peu alphabetises</w:t>
      </w:r>
    </w:p>
    <w:p>
      <w:pPr>
        <w:pStyle w:val="ListBullet"/>
        <w:spacing w:after="60" w:before="20"/>
      </w:pPr>
      <w:r>
        <w:rPr>
          <w:rFonts w:ascii="Arial" w:hAnsi="Arial"/>
          <w:b w:val="0"/>
          <w:sz w:val="22"/>
        </w:rPr>
        <w:t>Application mobile Progressive Web App (PWA) pour acces hors-ligne</w:t>
      </w:r>
    </w:p>
    <w:p>
      <w:pPr>
        <w:pStyle w:val="Heading3"/>
        <w:spacing w:before="280" w:after="120"/>
      </w:pPr>
      <w:r>
        <w:rPr>
          <w:rFonts w:ascii="Arial" w:hAnsi="Arial"/>
          <w:color w:val="2874A6"/>
          <w:sz w:val="24"/>
        </w:rPr>
        <w:t>Long terme (1-2 ans)</w:t>
      </w:r>
    </w:p>
    <w:p>
      <w:pPr>
        <w:pStyle w:val="ListBullet"/>
        <w:spacing w:after="60" w:before="20"/>
      </w:pPr>
      <w:r>
        <w:rPr>
          <w:rFonts w:ascii="Arial" w:hAnsi="Arial"/>
          <w:b w:val="0"/>
          <w:sz w:val="22"/>
        </w:rPr>
        <w:t>Partenariat officiel avec le Ministere de la Sante du Burkina Faso</w:t>
      </w:r>
    </w:p>
    <w:p>
      <w:pPr>
        <w:pStyle w:val="ListBullet"/>
        <w:spacing w:after="60" w:before="20"/>
      </w:pPr>
      <w:r>
        <w:rPr>
          <w:rFonts w:ascii="Arial" w:hAnsi="Arial"/>
          <w:b w:val="0"/>
          <w:sz w:val="22"/>
        </w:rPr>
        <w:t>Fine-tuning d'un LLM specialise sur les maladies tropicales et le contexte local</w:t>
      </w:r>
    </w:p>
    <w:p>
      <w:pPr>
        <w:pStyle w:val="ListBullet"/>
        <w:spacing w:after="60" w:before="20"/>
      </w:pPr>
      <w:r>
        <w:rPr>
          <w:rFonts w:ascii="Arial" w:hAnsi="Arial"/>
          <w:b w:val="0"/>
          <w:sz w:val="22"/>
        </w:rPr>
        <w:t>Integration avec les systemes DHIS2 pour donnees epidemiologiques en temps reel</w:t>
      </w:r>
    </w:p>
    <w:p>
      <w:r>
        <w:br w:type="page"/>
      </w:r>
    </w:p>
    <w:p>
      <w:pPr>
        <w:pStyle w:val="Heading1"/>
        <w:spacing w:before="280" w:after="120"/>
      </w:pPr>
      <w:r>
        <w:rPr>
          <w:rFonts w:ascii="Arial" w:hAnsi="Arial"/>
          <w:color w:val="1A5276"/>
          <w:sz w:val="36"/>
        </w:rPr>
        <w:t>8. Conclusion</w:t>
      </w:r>
    </w:p>
    <w:p>
      <w:pPr>
        <w:spacing w:before="80" w:after="80"/>
        <w:pBdr>
          <w:bottom w:val="single" w:sz="6" w:space="1" w:color="1A5276"/>
        </w:pBdr>
      </w:pPr>
    </w:p>
    <w:p>
      <w:pPr>
        <w:spacing w:after="120" w:before="40" w:line="280" w:lineRule="exact"/>
        <w:jc w:val="both"/>
      </w:pPr>
      <w:r>
        <w:rPr>
          <w:rFonts w:ascii="Arial" w:hAnsi="Arial"/>
          <w:b w:val="0"/>
          <w:i w:val="0"/>
          <w:sz w:val="22"/>
        </w:rPr>
        <w:t>Ce projet a demontre qu'il est possible de construire un agent IA conversationnel RAG fonctionnel, robuste et deployable avec des outils entierement gratuits, sans necessiter de GPU ni d'infrastructure couteuse. L'architecture choisie — TF-IDF natif pour le retrieval et LLaMA 3.1 via Groq pour la generation — offre un excellent compromis entre performance, portabilite et accessibilite.</w:t>
      </w:r>
    </w:p>
    <w:p>
      <w:pPr>
        <w:spacing w:after="120" w:before="40" w:line="280" w:lineRule="exact"/>
        <w:jc w:val="both"/>
      </w:pPr>
      <w:r>
        <w:rPr>
          <w:rFonts w:ascii="Arial" w:hAnsi="Arial"/>
          <w:b w:val="0"/>
          <w:i w:val="0"/>
          <w:sz w:val="22"/>
        </w:rPr>
        <w:t>Les resultats de l'evaluation automatique confirment que le systeme repond correctement aux questions medicales dans son domaine et reconnait ses limites face aux questions hors-domaine, limitant ainsi le risque d'hallucination — critere essentiel pour une application medicale responsable.</w:t>
      </w:r>
    </w:p>
    <w:p>
      <w:pPr>
        <w:spacing w:after="120" w:before="40" w:line="280" w:lineRule="exact"/>
        <w:jc w:val="both"/>
      </w:pPr>
      <w:r>
        <w:rPr>
          <w:rFonts w:ascii="Arial" w:hAnsi="Arial"/>
          <w:b w:val="0"/>
          <w:i w:val="0"/>
          <w:sz w:val="22"/>
        </w:rPr>
        <w:t>Au-dela du projet academique, ce type d'assistant IA represente une piste serieuse pour ameliorer l'acces a l'information medicale dans les pays a ressources limitees. La sante publique burkinabe pourrait beneficier significativement d'outils similaires, a condition d'une validation medicale rigoureuse et d'un deploiement accompagne par les autorites sanitaires.</w:t>
      </w:r>
    </w:p>
    <w:p/>
    <w:p>
      <w:pPr>
        <w:spacing w:before="80" w:after="80"/>
        <w:pBdr>
          <w:bottom w:val="single" w:sz="6" w:space="1" w:color="C0392B"/>
        </w:pBdr>
      </w:pPr>
    </w:p>
    <w:p>
      <w:pPr>
        <w:spacing w:after="120" w:before="40" w:line="280" w:lineRule="exact"/>
        <w:jc w:val="center"/>
      </w:pPr>
      <w:r>
        <w:rPr>
          <w:rFonts w:ascii="Arial" w:hAnsi="Arial"/>
          <w:b w:val="0"/>
          <w:i/>
          <w:color w:val="C0392B"/>
          <w:sz w:val="20"/>
        </w:rPr>
        <w:t>Avertissement medical : Cet assistant fournit des informations generales de sante publique. Il ne remplace en aucun cas une consultation medicale professionnelle. En cas d'urgence medicale, appelez le 112 (SAMU Burkina Faso).</w:t>
      </w:r>
    </w:p>
    <w:p>
      <w:r>
        <w:br w:type="page"/>
      </w:r>
    </w:p>
    <w:p>
      <w:pPr>
        <w:pStyle w:val="Heading1"/>
        <w:spacing w:before="280" w:after="120"/>
      </w:pPr>
      <w:r>
        <w:rPr>
          <w:rFonts w:ascii="Arial" w:hAnsi="Arial"/>
          <w:color w:val="1A5276"/>
          <w:sz w:val="36"/>
        </w:rPr>
        <w:t>9. References</w:t>
      </w:r>
    </w:p>
    <w:p>
      <w:pPr>
        <w:spacing w:before="80" w:after="80"/>
        <w:pBdr>
          <w:bottom w:val="single" w:sz="6" w:space="1" w:color="1A5276"/>
        </w:pBdr>
      </w:pPr>
    </w:p>
    <w:p>
      <w:pPr>
        <w:pStyle w:val="Heading2"/>
        <w:spacing w:before="280" w:after="120"/>
      </w:pPr>
      <w:r>
        <w:rPr>
          <w:rFonts w:ascii="Arial" w:hAnsi="Arial"/>
          <w:color w:val="1F618D"/>
          <w:sz w:val="28"/>
        </w:rPr>
        <w:t>9.1 References academiques</w:t>
      </w:r>
    </w:p>
    <w:p>
      <w:pPr>
        <w:pStyle w:val="ListBullet"/>
        <w:spacing w:after="60" w:before="20"/>
      </w:pPr>
      <w:r>
        <w:rPr>
          <w:rFonts w:ascii="Arial" w:hAnsi="Arial"/>
          <w:b w:val="0"/>
          <w:sz w:val="22"/>
        </w:rPr>
        <w:t>Lewis, P. et al. (2020). Retrieval-Augmented Generation for Knowledge-Intensive NLP Tasks. NeurIPS 2020. — Article fondateur de l'architecture RAG.</w:t>
      </w:r>
    </w:p>
    <w:p>
      <w:pPr>
        <w:pStyle w:val="ListBullet"/>
        <w:spacing w:after="60" w:before="20"/>
      </w:pPr>
      <w:r>
        <w:rPr>
          <w:rFonts w:ascii="Arial" w:hAnsi="Arial"/>
          <w:b w:val="0"/>
          <w:sz w:val="22"/>
        </w:rPr>
        <w:t>Robertson, S. &amp; Zaragoza, H. (2009). The Probabilistic Relevance Framework: BM25 and Beyond. Now Publishers. — Base theorique du TF-IDF et de ses extensions.</w:t>
      </w:r>
    </w:p>
    <w:p>
      <w:pPr>
        <w:pStyle w:val="ListBullet"/>
        <w:spacing w:after="60" w:before="20"/>
      </w:pPr>
      <w:r>
        <w:rPr>
          <w:rFonts w:ascii="Arial" w:hAnsi="Arial"/>
          <w:b w:val="0"/>
          <w:sz w:val="22"/>
        </w:rPr>
        <w:t>Meta AI (2024). Llama 3 Technical Report. — Description du modele LLaMA utilise.</w:t>
      </w:r>
    </w:p>
    <w:p>
      <w:pPr>
        <w:pStyle w:val="ListBullet"/>
        <w:spacing w:after="60" w:before="20"/>
      </w:pPr>
      <w:r>
        <w:rPr>
          <w:rFonts w:ascii="Arial" w:hAnsi="Arial"/>
          <w:b w:val="0"/>
          <w:sz w:val="22"/>
        </w:rPr>
        <w:t>OMS (2023). Directives pour le traitement du paludisme. 3e edition. Organisation mondiale de la Sante, Geneve.</w:t>
      </w:r>
    </w:p>
    <w:p>
      <w:pPr>
        <w:pStyle w:val="Heading2"/>
        <w:spacing w:before="280" w:after="120"/>
      </w:pPr>
      <w:r>
        <w:rPr>
          <w:rFonts w:ascii="Arial" w:hAnsi="Arial"/>
          <w:color w:val="1F618D"/>
          <w:sz w:val="28"/>
        </w:rPr>
        <w:t>9.2 Sources de donnees medicales</w:t>
      </w:r>
    </w:p>
    <w:p>
      <w:pPr>
        <w:pStyle w:val="ListBullet"/>
        <w:spacing w:after="60" w:before="20"/>
      </w:pPr>
      <w:r>
        <w:rPr>
          <w:rFonts w:ascii="Arial" w:hAnsi="Arial"/>
          <w:b w:val="0"/>
          <w:sz w:val="22"/>
        </w:rPr>
        <w:t>Ministere de la Sante du Burkina Faso. Protocoles nationaux de prise en charge des maladies tropicales, edition 2023.</w:t>
      </w:r>
    </w:p>
    <w:p>
      <w:pPr>
        <w:pStyle w:val="ListBullet"/>
        <w:spacing w:after="60" w:before="20"/>
      </w:pPr>
      <w:r>
        <w:rPr>
          <w:rFonts w:ascii="Arial" w:hAnsi="Arial"/>
          <w:b w:val="0"/>
          <w:sz w:val="22"/>
        </w:rPr>
        <w:t>Programme National de Lutte contre le Paludisme (PNLP) Burkina Faso. Guide de prise en charge du paludisme, 2022.</w:t>
      </w:r>
    </w:p>
    <w:p>
      <w:pPr>
        <w:pStyle w:val="ListBullet"/>
        <w:spacing w:after="60" w:before="20"/>
      </w:pPr>
      <w:r>
        <w:rPr>
          <w:rFonts w:ascii="Arial" w:hAnsi="Arial"/>
          <w:b w:val="0"/>
          <w:sz w:val="22"/>
        </w:rPr>
        <w:t>OMS Bureau regional Afrique. Prevention et controle de la dengue en Afrique subsaharienne.</w:t>
      </w:r>
    </w:p>
    <w:p>
      <w:pPr>
        <w:pStyle w:val="ListBullet"/>
        <w:spacing w:after="60" w:before="20"/>
      </w:pPr>
      <w:r>
        <w:rPr>
          <w:rFonts w:ascii="Arial" w:hAnsi="Arial"/>
          <w:b w:val="0"/>
          <w:sz w:val="22"/>
        </w:rPr>
        <w:t>UNICEF Burkina Faso. Rapport sur la malnutrition infantile, 2023.</w:t>
      </w:r>
    </w:p>
    <w:p>
      <w:pPr>
        <w:pStyle w:val="Heading2"/>
        <w:spacing w:before="280" w:after="120"/>
      </w:pPr>
      <w:r>
        <w:rPr>
          <w:rFonts w:ascii="Arial" w:hAnsi="Arial"/>
          <w:color w:val="1F618D"/>
          <w:sz w:val="28"/>
        </w:rPr>
        <w:t>9.3 Documentation technique</w:t>
      </w:r>
    </w:p>
    <w:p>
      <w:pPr>
        <w:pStyle w:val="ListBullet"/>
        <w:spacing w:after="60" w:before="20"/>
      </w:pPr>
      <w:r>
        <w:rPr>
          <w:rFonts w:ascii="Arial" w:hAnsi="Arial"/>
          <w:b w:val="0"/>
          <w:sz w:val="22"/>
        </w:rPr>
        <w:t>Documentation Streamlit : https://docs.streamlit.io</w:t>
      </w:r>
    </w:p>
    <w:p>
      <w:pPr>
        <w:pStyle w:val="ListBullet"/>
        <w:spacing w:after="60" w:before="20"/>
      </w:pPr>
      <w:r>
        <w:rPr>
          <w:rFonts w:ascii="Arial" w:hAnsi="Arial"/>
          <w:b w:val="0"/>
          <w:sz w:val="22"/>
        </w:rPr>
        <w:t>API Groq : https://console.groq.com/docs</w:t>
      </w:r>
    </w:p>
    <w:p>
      <w:pPr>
        <w:pStyle w:val="ListBullet"/>
        <w:spacing w:after="60" w:before="20"/>
      </w:pPr>
      <w:r>
        <w:rPr>
          <w:rFonts w:ascii="Arial" w:hAnsi="Arial"/>
          <w:b w:val="0"/>
          <w:sz w:val="22"/>
        </w:rPr>
        <w:t>Depot GitHub du projet : [URL GitHub a completer]</w:t>
      </w:r>
    </w:p>
    <w:p>
      <w:pPr>
        <w:pStyle w:val="ListBullet"/>
        <w:spacing w:after="60" w:before="20"/>
      </w:pPr>
      <w:r>
        <w:rPr>
          <w:rFonts w:ascii="Arial" w:hAnsi="Arial"/>
          <w:b w:val="0"/>
          <w:sz w:val="22"/>
        </w:rPr>
        <w:t>Application deployee : [URL Streamlit Community Cloud a completer]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