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January</w:t>
      </w:r>
      <w:r>
        <w:t xml:space="preserve"> </w:t>
      </w:r>
      <w:r>
        <w:t xml:space="preserve">1,</w:t>
      </w:r>
      <w:r>
        <w:t xml:space="preserve"> </w:t>
      </w:r>
      <w:r>
        <w:t xml:space="preserve">2013</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second-growth</w:t>
      </w:r>
      <w:r>
        <w:t xml:space="preserve"> </w:t>
      </w:r>
      <w:r>
        <w:t xml:space="preserve">vegetation</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we</w:t>
      </w:r>
      <w:r>
        <w:t xml:space="preserve"> </w:t>
      </w:r>
      <w:r>
        <w:t xml:space="preserve">would</w:t>
      </w:r>
      <w:r>
        <w:t xml:space="preserve"> </w:t>
      </w:r>
      <w:r>
        <w:t xml:space="preserve">expect</w:t>
      </w:r>
      <w:r>
        <w:t xml:space="preserve"> </w:t>
      </w:r>
      <w:r>
        <w:t xml:space="preserve">dense</w:t>
      </w:r>
      <w:r>
        <w:t xml:space="preserve"> </w:t>
      </w:r>
      <w:r>
        <w:t xml:space="preserve">closed</w:t>
      </w:r>
      <w:r>
        <w:t xml:space="preserve"> </w:t>
      </w:r>
      <w:r>
        <w:t xml:space="preserve">canopies,</w:t>
      </w:r>
      <w:r>
        <w:t xml:space="preserve"> </w:t>
      </w:r>
      <w:r>
        <w:t xml:space="preserve">little</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have</w:t>
      </w:r>
      <w:r>
        <w:t xml:space="preserve"> </w:t>
      </w:r>
      <w:r>
        <w:t xml:space="preserve">a</w:t>
      </w:r>
      <w:r>
        <w:t xml:space="preserve"> </w:t>
      </w:r>
      <w:r>
        <w:t xml:space="preserve">positive</w:t>
      </w:r>
      <w:r>
        <w:t xml:space="preserve"> </w:t>
      </w:r>
      <w:r>
        <w:t xml:space="preserve">response</w:t>
      </w:r>
      <w:r>
        <w:t xml:space="preserve"> </w:t>
      </w:r>
      <w:r>
        <w:t xml:space="preserve">on</w:t>
      </w:r>
      <w:r>
        <w:t xml:space="preserve"> </w:t>
      </w:r>
      <w:r>
        <w:t xml:space="preserve">grazing</w:t>
      </w:r>
      <w:r>
        <w:t xml:space="preserve"> </w:t>
      </w:r>
      <w:r>
        <w:t xml:space="preserve">macroinvertebrates</w:t>
      </w:r>
      <w:r>
        <w:t xml:space="preserve"> </w:t>
      </w:r>
      <w:r>
        <w:t xml:space="preserve">due</w:t>
      </w:r>
      <w:r>
        <w:t xml:space="preserve"> </w:t>
      </w:r>
      <w:r>
        <w:t xml:space="preserve">to</w:t>
      </w:r>
      <w:r>
        <w:t xml:space="preserve"> </w:t>
      </w:r>
      <w:r>
        <w:t xml:space="preserve">elevated</w:t>
      </w:r>
      <w:r>
        <w:t xml:space="preserve"> </w:t>
      </w:r>
      <w:r>
        <w:t xml:space="preserve">algal</w:t>
      </w:r>
      <w:r>
        <w:t xml:space="preserve"> </w:t>
      </w:r>
      <w:r>
        <w:t xml:space="preserve">production,</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would</w:t>
      </w:r>
      <w:r>
        <w:t xml:space="preserve"> </w:t>
      </w:r>
      <w:r>
        <w:t xml:space="preserve">be</w:t>
      </w:r>
      <w:r>
        <w:t xml:space="preserve"> </w:t>
      </w:r>
      <w:r>
        <w:t xml:space="preserve">reflected</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reflected</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terrestiral environment in the form of both leaf litter and terrestrial invertebrates (</w:t>
      </w:r>
      <w:r>
        <w:t xml:space="preserve">Wipfli (</w:t>
      </w:r>
      <w:hyperlink w:anchor="ref-Wipfli1997">
        <w:r>
          <w:rPr>
            <w:rStyle w:val="Hyperlink"/>
          </w:rPr>
          <w:t xml:space="preserve">1997</w:t>
        </w:r>
      </w:hyperlink>
      <w:r>
        <w:t xml:space="preserve">)</w:t>
      </w:r>
      <w:r>
        <w:t xml:space="preserve">), but riparian controls on stream systems aren’t limited to organic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w:t>
      </w:r>
      <w:r>
        <w:t xml:space="preserve">Pan et al. (</w:t>
      </w:r>
      <w:hyperlink w:anchor="ref-Pan2011">
        <w:r>
          <w:rPr>
            <w:rStyle w:val="Hyperlink"/>
          </w:rPr>
          <w:t xml:space="preserve">2011</w:t>
        </w:r>
      </w:hyperlink>
      <w:r>
        <w:t xml:space="preserve">)</w:t>
      </w:r>
      <w:r>
        <w:t xml:space="preserve">), riparian forest protections have created dense second-growth vegetation along streams in contrast with old-growth forests containing multiple canopy gaps (</w:t>
      </w:r>
      <w:r>
        <w:t xml:space="preserve">(</w:t>
      </w:r>
      <w:r>
        <w:rPr>
          <w:b/>
        </w:rPr>
        <w:t xml:space="preserve">???</w:t>
      </w:r>
      <w:r>
        <w:t xml:space="preserve">)</w:t>
      </w:r>
      <w:r>
        <w:t xml:space="preserve">). The dense vegetation in these regenerating forests decreases light availability and limits benthic primary production (</w:t>
      </w:r>
      <w:r>
        <w:t xml:space="preserve">Kaylor, Warren, &amp; Kiffney (</w:t>
      </w:r>
      <w:hyperlink w:anchor="ref-Kaylor2017FS">
        <w:r>
          <w:rPr>
            <w:rStyle w:val="Hyperlink"/>
          </w:rPr>
          <w:t xml:space="preserve">2017</w:t>
        </w:r>
      </w:hyperlink>
      <w:r>
        <w:t xml:space="preserve">)</w:t>
      </w:r>
      <w:r>
        <w:t xml:space="preserve">). As forest stand development continues natural disturbances and individual tree mortality will increase canopy heterogeneity through the introduction of gaps. 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aquatic systems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in high light areas can elicit a positive response among these scraping taxa (</w:t>
      </w:r>
      <w:r>
        <w:t xml:space="preserve">Liess, Le Gros, Wagenhoff, Townsend, &amp; Matthaei (</w:t>
      </w:r>
      <w:hyperlink w:anchor="ref-liess2012">
        <w:r>
          <w:rPr>
            <w:rStyle w:val="Hyperlink"/>
          </w:rPr>
          <w:t xml:space="preserve">2012</w:t>
        </w:r>
      </w:hyperlink>
      <w:r>
        <w:t xml:space="preserve">)</w:t>
      </w:r>
      <w:r>
        <w:t xml:space="preserve">).</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has been used to assess community responses along a variety of environmental gradients (</w:t>
      </w:r>
      <w:r>
        <w:t xml:space="preserve">Cole, Russell, &amp; Mabee (</w:t>
      </w:r>
      <w:hyperlink w:anchor="ref-Cole2003">
        <w:r>
          <w:rPr>
            <w:rStyle w:val="Hyperlink"/>
          </w:rPr>
          <w:t xml:space="preserve">2003</w:t>
        </w:r>
      </w:hyperlink>
      <w:r>
        <w:t xml:space="preserve">)</w:t>
      </w:r>
      <w:r>
        <w:t xml:space="preserve">,</w:t>
      </w:r>
      <w:r>
        <w:t xml:space="preserve"> </w:t>
      </w:r>
      <w:r>
        <w:t xml:space="preserve">Purcell et al. (</w:t>
      </w:r>
      <w:hyperlink w:anchor="ref-Purcell2009">
        <w:r>
          <w:rPr>
            <w:rStyle w:val="Hyperlink"/>
          </w:rPr>
          <w:t xml:space="preserve">2009</w:t>
        </w:r>
      </w:hyperlink>
      <w:r>
        <w:t xml:space="preserve">)</w:t>
      </w:r>
      <w:r>
        <w:t xml:space="preserve">).</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capture rates of all taxa and functional feeding groups.</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buffers, stands are recovering from past land clearing, and are currently in the early to mid-seral stage of development with dense homogenous canopy cover and low stream light (</w:t>
      </w:r>
      <w:r>
        <w:t xml:space="preserve">Kaylor et al. (</w:t>
      </w:r>
      <w:hyperlink w:anchor="ref-Kaylor2017FS">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this does not reflect future stream conditions in most forested landscapes. Rather, as stands progress toward late succesional forest structure, localized light patches (as opposed to large openings) will become increasingly prevelant. The more moderate influence of these small canopy gaps have not been widely investigated, especially in an experimental context.</w:t>
      </w:r>
    </w:p>
    <w:p>
      <w:pPr>
        <w:pStyle w:val="BodyText"/>
      </w:pPr>
      <w:r>
        <w:t xml:space="preserve">We implemented a two-year long before-after, control-impact study designed to detect accurately capture the effect of canopy gaps in the natural environment. In this work, we hypothesized that primary production would increase when canopy gaps were created, and this would cause the invertebrate community to shift toward more scraping taxa. However, we expect the response to be dampended in comparison observed responses in large scale riparian clearing studies. In addition to evaluating the macroinvertebrate community, we quantified trout diets with the expectation that shifts in the invertebrate community would be reflected proportionally in the diet of opportunistic foraging of trout, but also to ensure that a potential signal in invertebrate scraper taxa was not being masked by increased foraging of apex consumers.</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Photosynthetically active radiation (PAR) was estimated from flourescein decay rate over a twenty-four hour period following methods in Warren et al. Briefly, flourescein dyes were prepared by diluting to 400 g L</w:t>
      </w:r>
      <w:r>
        <w:rPr>
          <w:vertAlign w:val="superscript"/>
        </w:rPr>
        <w:t xml:space="preserve">-1</w:t>
      </w:r>
      <w:r>
        <w:t xml:space="preserve"> </w:t>
      </w:r>
      <w:r>
        <w:t xml:space="preserve">with DI water and buffering with 40 g L</w:t>
      </w:r>
      <w:r>
        <w:rPr>
          <w:vertAlign w:val="superscript"/>
        </w:rPr>
        <w:t xml:space="preserve">-1</w:t>
      </w:r>
      <w:r>
        <w:t xml:space="preserve"> </w:t>
      </w:r>
      <w:r>
        <w:t xml:space="preserve">of aquarium salt. Once the dye was prepared, we filled 3.7mL glass vials and stored them in the dark until deployment. At each study reach hree replicate vials were deployed every five meters, and retrieved twenty-four hours later. Because flourescence of fluorescein changes with temperature (</w:t>
      </w:r>
      <w:r>
        <w:t xml:space="preserve">(</w:t>
      </w:r>
      <w:r>
        <w:rPr>
          <w:b/>
        </w:rPr>
        <w:t xml:space="preserve">???</w:t>
      </w:r>
      <w:r>
        <w:t xml:space="preserve">)</w:t>
      </w:r>
      <w:r>
        <w:t xml:space="preserve">), vials were left in the dark until they reached room temperature. Flouresence was then measured using a flourometer (Turner Designs, San Jose, California), and the twenty-four hour decay rate was converted to photosynthetically active radiation (PAR) using the known relationship in (</w:t>
      </w:r>
      <w:r>
        <w:t xml:space="preserve">(</w:t>
      </w:r>
      <w:r>
        <w:rPr>
          <w:b/>
        </w:rPr>
        <w:t xml:space="preserve">???</w:t>
      </w:r>
      <w:r>
        <w:t xml:space="preserve">)</w:t>
      </w:r>
      <w:r>
        <w:t xml:space="preserve">).</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every ten meters, three ceramic tiles (15 cm x 15cm) were placed every 10 meters within a stream reach and left for 6 weeks before they were collected to allow periphyton communities to establish. Tiles were placed in riffle sections at a depth of 10-25 cm to keep them from silting over. All tiles were deployed in mid-July, and the tiles were deployed at the control and treatment reaches of each stream at the same time to keep within unit measures consistent. After collection, tiles were kept in the dark, submerged in water for two hours to avoid potential photosasturation issues with the</w:t>
      </w:r>
      <w:r>
        <w:t xml:space="preserve"> </w:t>
      </w:r>
      <w:r>
        <w:rPr>
          <w:i/>
        </w:rPr>
        <w:t xml:space="preserve">in situ</w:t>
      </w:r>
      <w:r>
        <w:t xml:space="preserve"> </w:t>
      </w:r>
      <w:r>
        <w:t xml:space="preserve">chlorophyll</w:t>
      </w:r>
      <w:r>
        <w:t xml:space="preserve"> </w:t>
      </w:r>
      <w:r>
        <w:rPr>
          <w:i/>
        </w:rPr>
        <w:t xml:space="preserve">a</w:t>
      </w:r>
      <w:r>
        <w:t xml:space="preserve"> </w:t>
      </w:r>
      <w:r>
        <w:t xml:space="preserve">measurements. Chlorophyll</w:t>
      </w:r>
      <w:r>
        <w:t xml:space="preserve"> </w:t>
      </w:r>
      <w:r>
        <w:rPr>
          <w:i/>
        </w:rPr>
        <w:t xml:space="preserve">a</w:t>
      </w:r>
      <w:r>
        <w:t xml:space="preserve"> </w:t>
      </w:r>
      <w:r>
        <w:t xml:space="preserve">(abbreviated as Chla for the remainder of this text) concentrations were then quanitified using a BenthoTorch (BBE Moldaenke GmbH), a portable field instrument used for the quantification of chlorophyll</w:t>
      </w:r>
      <w:r>
        <w:t xml:space="preserve"> </w:t>
      </w:r>
      <w:r>
        <w:rPr>
          <w:i/>
        </w:rPr>
        <w:t xml:space="preserve">a</w:t>
      </w:r>
      <w:r>
        <w:t xml:space="preserve"> </w:t>
      </w:r>
      <w:r>
        <w:t xml:space="preserve">fluorescence on different substrates.</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such as Chironomidae primarily using</w:t>
      </w:r>
      <w:r>
        <w:t xml:space="preserve"> </w:t>
      </w:r>
      <w:r>
        <w:t xml:space="preserve">Merritt, Cummins, &amp; Berg (</w:t>
      </w:r>
      <w:hyperlink w:anchor="ref-Merritt2008">
        <w:r>
          <w:rPr>
            <w:rStyle w:val="Hyperlink"/>
          </w:rPr>
          <w:t xml:space="preserve">2008</w:t>
        </w:r>
      </w:hyperlink>
      <w:r>
        <w:t xml:space="preserve">)</w:t>
      </w:r>
      <w:r>
        <w:t xml:space="preserve">.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w:t>
      </w:r>
      <w:r>
        <w:t xml:space="preserve"> </w:t>
      </w:r>
      <w:r>
        <w:rPr>
          <w:i/>
        </w:rPr>
        <w:t xml:space="preserve">Baetis</w:t>
      </w:r>
      <w:r>
        <w:t xml:space="preserve">,</w:t>
      </w:r>
      <w:r>
        <w:t xml:space="preserve"> </w:t>
      </w:r>
      <w:r>
        <w:rPr>
          <w:i/>
        </w:rPr>
        <w:t xml:space="preserve">Micrasema</w:t>
      </w:r>
      <w:r>
        <w:t xml:space="preserve">)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p>
    <w:p>
      <w:pPr>
        <w:pStyle w:val="BodyText"/>
      </w:pPr>
      <w:r>
        <w:t xml:space="preserve">Functional feeding groups were assigned using the primary feeding habit of each taxon as in</w:t>
      </w:r>
      <w:r>
        <w:t xml:space="preserve"> </w:t>
      </w:r>
      <w:r>
        <w:t xml:space="preserve">Merritt et al. (</w:t>
      </w:r>
      <w:hyperlink w:anchor="ref-Merritt2008">
        <w:r>
          <w:rPr>
            <w:rStyle w:val="Hyperlink"/>
          </w:rPr>
          <w:t xml:space="preserve">2008</w:t>
        </w:r>
      </w:hyperlink>
      <w:r>
        <w:t xml:space="preserve">)</w:t>
      </w:r>
      <w:r>
        <w:t xml:space="preserve">.</w:t>
      </w:r>
    </w:p>
    <w:p>
      <w:pPr>
        <w:pStyle w:val="BodyText"/>
      </w:pPr>
      <w:r>
        <w:t xml:space="preserve">During Chla 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AQUI-S and gastric lavaged. Stomach contents were evacuated by inecting water into the fish stomach using a piece of small plastic tubing attached to a syringe.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The BACI analysis was performed in R (</w:t>
      </w:r>
      <w:r>
        <w:t xml:space="preserve">R Core Team (</w:t>
      </w:r>
      <w:hyperlink w:anchor="ref-R-base">
        <w:r>
          <w:rPr>
            <w:rStyle w:val="Hyperlink"/>
          </w:rPr>
          <w:t xml:space="preserve">2018</w:t>
        </w:r>
      </w:hyperlink>
      <w:r>
        <w:t xml:space="preserve">)</w:t>
      </w:r>
      <w:r>
        <w:t xml:space="preserve">), and consisted of calculating reach-pair differences by subtracting the control reach value from the treatment reach value. Reach ratios were calculated for light, chla, total invertebrate density and invertebrate densities by functional feeding group. A paired t-test using Welches method was then performed for each metric by subtracting the reach ratio from the pre-treatment year from the ratio value in the post-treatment year for each stream assuming the difference between the two reach ratios should be zero, and the degrees of freedom equal four.</w:t>
      </w:r>
    </w:p>
    <w:p>
      <w:pPr>
        <w:pStyle w:val="Heading3"/>
      </w:pPr>
      <w:bookmarkStart w:id="32" w:name="nonparametric-community-analysis"/>
      <w:bookmarkEnd w:id="32"/>
      <w:r>
        <w:t xml:space="preserve">Nonparametric Community Analysis</w:t>
      </w:r>
    </w:p>
    <w:p>
      <w:pPr>
        <w:pStyle w:val="FirstParagraph"/>
      </w:pPr>
      <w:r>
        <w:t xml:space="preserve">Nonparametric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Nonmetric multidimensional scaling (</w:t>
      </w:r>
      <w:r>
        <w:t xml:space="preserve">(</w:t>
      </w:r>
      <w:r>
        <w:rPr>
          <w:b/>
        </w:rPr>
        <w:t xml:space="preserve">???</w:t>
      </w:r>
      <w:r>
        <w:t xml:space="preserve">)</w:t>
      </w:r>
      <w:r>
        <w:t xml:space="preserve">) was used to visually assess differences between the treatment and control reach communities, and quantify the relationship between the synthetic community variable and Chla . Sorensen distance was used for both ordinations to reduce the impact of outliers.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w:t>
      </w:r>
    </w:p>
    <w:p>
      <w:pPr>
        <w:pStyle w:val="Heading3"/>
      </w:pPr>
      <w:bookmarkStart w:id="33" w:name="analysis-of-trout-diets"/>
      <w:bookmarkEnd w:id="33"/>
      <w:r>
        <w:t xml:space="preserve">Analysis of Trout Diets</w:t>
      </w:r>
    </w:p>
    <w:p>
      <w:pPr>
        <w:pStyle w:val="FirstParagraph"/>
      </w:pPr>
      <w:r>
        <w:t xml:space="preserve">Trout diets were collected in the post-treatment year, which limits analysis to a comparison of reference and treatment reaches without the BACI control on inherent reach differences. We performed paired t-tests for the abundance of each functional feeding group represented in the diets of trout in the reference and the treatment reach, and on the modified Ivlev’s selectivity index (as defined in</w:t>
      </w:r>
      <w:r>
        <w:t xml:space="preserve"> </w:t>
      </w:r>
      <w:r>
        <w:t xml:space="preserve">Jacobs (</w:t>
      </w:r>
      <w:hyperlink w:anchor="ref-Jacobs1974">
        <w:r>
          <w:rPr>
            <w:rStyle w:val="Hyperlink"/>
          </w:rPr>
          <w:t xml:space="preserve">1974</w:t>
        </w:r>
      </w:hyperlink>
      <w:r>
        <w:t xml:space="preserve">)</w:t>
      </w:r>
      <w:r>
        <w:t xml:space="preserve">) for each FFG.</w:t>
      </w:r>
    </w:p>
    <w:p>
      <w:pPr>
        <w:pStyle w:val="Heading1"/>
      </w:pPr>
      <w:bookmarkStart w:id="34" w:name="results"/>
      <w:bookmarkEnd w:id="34"/>
      <w:r>
        <w:t xml:space="preserve">Results</w:t>
      </w:r>
    </w:p>
    <w:p>
      <w:pPr>
        <w:pStyle w:val="Heading2"/>
      </w:pPr>
      <w:bookmarkStart w:id="35" w:name="light-and-chlorophyll"/>
      <w:bookmarkEnd w:id="35"/>
      <w:r>
        <w:t xml:space="preserve">Light and Chlorophyll</w:t>
      </w:r>
    </w:p>
    <w:p>
      <w:pPr>
        <w:pStyle w:val="FirstParagraph"/>
      </w:pPr>
      <w:r>
        <w:t xml:space="preserve">In 2017, before treatment, the average daily PAR reaching the stream benthos among the five streams was consistently low in both reference and treatment reaches and there was an average difference between the treatment and reference reach of -0.163 mol m</w:t>
      </w:r>
      <w:r>
        <w:rPr>
          <w:vertAlign w:val="superscript"/>
        </w:rPr>
        <w:t xml:space="preserve">-2</w:t>
      </w:r>
      <w:r>
        <w:t xml:space="preserve"> </w:t>
      </w:r>
      <w:r>
        <w:t xml:space="preserve">day</w:t>
      </w:r>
      <w:r>
        <w:rPr>
          <w:vertAlign w:val="superscript"/>
        </w:rPr>
        <w:t xml:space="preserve">-1</w:t>
      </w:r>
      <w:r>
        <w:t xml:space="preserve">. In 2018, after gaps were cut, light went up by 2.604 mol m</w:t>
      </w:r>
      <w:r>
        <w:rPr>
          <w:vertAlign w:val="superscript"/>
        </w:rPr>
        <w:t xml:space="preserve">-2</w:t>
      </w:r>
      <w:r>
        <w:t xml:space="preserve"> </w:t>
      </w:r>
      <w:r>
        <w:t xml:space="preserve">day</w:t>
      </w:r>
      <w:r>
        <w:rPr>
          <w:vertAlign w:val="superscript"/>
        </w:rPr>
        <w:t xml:space="preserve">-1</w:t>
      </w:r>
      <w:r>
        <w:t xml:space="preserve"> </w:t>
      </w:r>
      <w:r>
        <w:t xml:space="preserve">on average in the treatment reach compared to the reference reach (Figure 1) resulting in a final yearly difference between reach differences of 2.767 mol m</w:t>
      </w:r>
      <w:r>
        <w:rPr>
          <w:vertAlign w:val="superscript"/>
        </w:rPr>
        <w:t xml:space="preserve">-2</w:t>
      </w:r>
      <w:r>
        <w:t xml:space="preserve"> </w:t>
      </w:r>
      <w:r>
        <w:t xml:space="preserve">day</w:t>
      </w:r>
      <w:r>
        <w:rPr>
          <w:vertAlign w:val="superscript"/>
        </w:rPr>
        <w:t xml:space="preserve">-1</w:t>
      </w:r>
      <w:r>
        <w:t xml:space="preserve"> </w:t>
      </w:r>
      <w:r>
        <w:t xml:space="preserve">(p-value = 0.01862, t-value = -3.8296).</w:t>
      </w:r>
    </w:p>
    <w:p>
      <w:pPr>
        <w:pStyle w:val="BodyText"/>
      </w:pPr>
      <w:r>
        <w:t xml:space="preserve">Again, for chlorophyll</w:t>
      </w:r>
      <w:r>
        <w:t xml:space="preserve"> </w:t>
      </w:r>
      <w:r>
        <w:rPr>
          <w:i/>
        </w:rPr>
        <w:t xml:space="preserve">a</w:t>
      </w:r>
      <w:r>
        <w:t xml:space="preserve">, values across all sites in the pre-treatment year were low (mean = 0.095 ug cm</w:t>
      </w:r>
      <w:r>
        <w:rPr>
          <w:vertAlign w:val="superscript"/>
        </w:rPr>
        <w:t xml:space="preserve">-2</w:t>
      </w:r>
      <w:r>
        <w:t xml:space="preserve">), and there was little difference between reaches. After gaps were cut in the post-treatment year, Chla values went up by 0.44 ug cm</w:t>
      </w:r>
      <w:r>
        <w:rPr>
          <w:vertAlign w:val="superscript"/>
        </w:rPr>
        <w:t xml:space="preserve">-2</w:t>
      </w:r>
      <w:r>
        <w:t xml:space="preserve"> </w:t>
      </w:r>
      <w:r>
        <w:t xml:space="preserve">in the gap reach, and only 0.175 ug cm</w:t>
      </w:r>
      <w:r>
        <w:rPr>
          <w:vertAlign w:val="superscript"/>
        </w:rPr>
        <w:t xml:space="preserve">-2</w:t>
      </w:r>
      <w:r>
        <w:t xml:space="preserve"> </w:t>
      </w:r>
      <w:r>
        <w:t xml:space="preserve">in the reference reach (final BACI difference = 0.265 ug cm</w:t>
      </w:r>
      <w:r>
        <w:rPr>
          <w:vertAlign w:val="superscript"/>
        </w:rPr>
        <w:t xml:space="preserve">-2</w:t>
      </w:r>
      <w:r>
        <w:t xml:space="preserve">, p-value = 0.0017).</w:t>
      </w:r>
    </w:p>
    <w:p>
      <w:pPr>
        <w:pStyle w:val="FigureWithCaption"/>
      </w:pPr>
      <w:r>
        <w:drawing>
          <wp:inline>
            <wp:extent cx="5334000" cy="5334000"/>
            <wp:effectExtent b="0" l="0" r="0" t="0"/>
            <wp:docPr descr="Figure 1: Light and Chla reach differences in the pre and post-treament years " id="1" name="Picture"/>
            <a:graphic>
              <a:graphicData uri="http://schemas.openxmlformats.org/drawingml/2006/picture">
                <pic:pic>
                  <pic:nvPicPr>
                    <pic:cNvPr descr="Figures/Vars_Reach_Diffs.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Light and Chla reach differences in the pre and post-treament years</w:t>
      </w:r>
      <w:r>
        <w:t xml:space="preserve"> </w:t>
      </w:r>
    </w:p>
    <w:p>
      <w:pPr>
        <w:pStyle w:val="Heading2"/>
      </w:pPr>
      <w:bookmarkStart w:id="37" w:name="juga-on-tiles"/>
      <w:bookmarkEnd w:id="37"/>
      <w:r>
        <w:rPr>
          <w:i/>
        </w:rPr>
        <w:t xml:space="preserve">Juga</w:t>
      </w:r>
      <w:r>
        <w:t xml:space="preserve"> </w:t>
      </w:r>
      <w:r>
        <w:t xml:space="preserve">on Tiles</w:t>
      </w:r>
    </w:p>
    <w:p>
      <w:pPr>
        <w:pStyle w:val="FirstParagraph"/>
      </w:pPr>
      <w:r>
        <w:t xml:space="preserve">In the pre-treatment year, the average density of</w:t>
      </w:r>
      <w:r>
        <w:t xml:space="preserve"> </w:t>
      </w:r>
      <w:r>
        <w:rPr>
          <w:i/>
        </w:rPr>
        <w:t xml:space="preserve">Juga</w:t>
      </w:r>
      <w:r>
        <w:t xml:space="preserve"> </w:t>
      </w:r>
      <w:r>
        <w:t xml:space="preserve">on tiles among the two streams with</w:t>
      </w:r>
      <w:r>
        <w:t xml:space="preserve"> </w:t>
      </w:r>
      <w:r>
        <w:rPr>
          <w:i/>
        </w:rPr>
        <w:t xml:space="preserve">Juga</w:t>
      </w:r>
      <w:r>
        <w:t xml:space="preserve"> </w:t>
      </w:r>
      <w:r>
        <w:t xml:space="preserve">present was 24.44 snails per m</w:t>
      </w:r>
      <w:r>
        <w:rPr>
          <w:vertAlign w:val="superscript"/>
        </w:rPr>
        <w:t xml:space="preserve">2</w:t>
      </w:r>
      <w:r>
        <w:t xml:space="preserve"> </w:t>
      </w:r>
      <w:r>
        <w:t xml:space="preserve">with little difference between the control and treatment reaches. In the post treatment year the average snail density in the treatment reach increased by 204.44 snails per m</w:t>
      </w:r>
      <w:r>
        <w:rPr>
          <w:vertAlign w:val="superscript"/>
        </w:rPr>
        <w:t xml:space="preserve">2</w:t>
      </w:r>
      <w:r>
        <w:t xml:space="preserve">, whereas snail density in the control reach only increased by 88.89 snails per m</w:t>
      </w:r>
      <w:r>
        <w:rPr>
          <w:vertAlign w:val="superscript"/>
        </w:rPr>
        <w:t xml:space="preserve">2</w:t>
      </w:r>
      <w:r>
        <w:t xml:space="preserve">. Snail abundance at these two streams was moderately associated with Chla (r</w:t>
      </w:r>
      <w:r>
        <w:rPr>
          <w:vertAlign w:val="superscript"/>
        </w:rPr>
        <w:t xml:space="preserve">2</w:t>
      </w:r>
      <w:r>
        <w:t xml:space="preserve"> </w:t>
      </w:r>
      <w:r>
        <w:t xml:space="preserve">= 0.3204, p = 0.00547), but saw the largest BACI response in meters ten and twenty, slightly upstream of the gap treatment.</w:t>
      </w:r>
    </w:p>
    <w:p>
      <w:pPr>
        <w:pStyle w:val="Heading2"/>
      </w:pPr>
      <w:bookmarkStart w:id="38" w:name="benthic-invertebrate-community"/>
      <w:bookmarkEnd w:id="38"/>
      <w:r>
        <w:t xml:space="preserve">Benthic Invertebrate Community</w:t>
      </w:r>
    </w:p>
    <w:p>
      <w:pPr>
        <w:pStyle w:val="FirstParagraph"/>
      </w:pPr>
      <w:r>
        <w:t xml:space="preserve">There was little difference between benthic invertebrate communities in the treatment and reference reaches in the pre-treatment year (MRBP: A = 0.041, p = 0.071), or the post-treatment year (A = -0.022, p = 0.838). The results from the NMS ordinations support the results of the MRBP (Figure 2).</w:t>
      </w:r>
    </w:p>
    <w:p>
      <w:pPr>
        <w:pStyle w:val="FigureWithCaption"/>
      </w:pPr>
      <w:r>
        <w:drawing>
          <wp:inline>
            <wp:extent cx="5334000" cy="4445000"/>
            <wp:effectExtent b="0" l="0" r="0" t="0"/>
            <wp:docPr descr="Figure 2: NMS of each reach in invertebrate community space. Each point represents a single stream reach, shapes identify stream, and color identifies treament and year." id="1" name="Picture"/>
            <a:graphic>
              <a:graphicData uri="http://schemas.openxmlformats.org/drawingml/2006/picture">
                <pic:pic>
                  <pic:nvPicPr>
                    <pic:cNvPr descr="Figures/NMS-Benthic-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2: NMS of each reach in invertebrate community space. Each point represents a single stream reach, shapes identify stream, and color identifies treament and year.</w:t>
      </w:r>
    </w:p>
    <w:p>
      <w:pPr>
        <w:pStyle w:val="BodyText"/>
      </w:pPr>
      <w:r>
        <w:t xml:space="preserve">The NMS ordination of benthic invertebrates converged on a 2D solution with a final stress of 12.031. BenthoTotal (total chlorophyll values from the BenthoTorch) and YearTreatQ (a binary variable coded with 1’s for 2018 treated reaches and 0’s for all other reaches) both had positive r</w:t>
      </w:r>
      <w:r>
        <w:rPr>
          <w:vertAlign w:val="superscript"/>
        </w:rPr>
        <w:t xml:space="preserve">2</w:t>
      </w:r>
      <w:r>
        <w:t xml:space="preserve"> </w:t>
      </w:r>
      <w:r>
        <w:t xml:space="preserve">values with axis 1 (YearTreatQ r</w:t>
      </w:r>
      <w:r>
        <w:rPr>
          <w:vertAlign w:val="superscript"/>
        </w:rPr>
        <w:t xml:space="preserve">2</w:t>
      </w:r>
      <w:r>
        <w:t xml:space="preserve"> </w:t>
      </w:r>
      <w:r>
        <w:t xml:space="preserve">= 0.272, BenthoTotal r</w:t>
      </w:r>
      <w:r>
        <w:rPr>
          <w:vertAlign w:val="superscript"/>
        </w:rPr>
        <w:t xml:space="preserve">2</w:t>
      </w:r>
      <w:r>
        <w:t xml:space="preserve"> </w:t>
      </w:r>
      <w:r>
        <w:t xml:space="preserve">= 0.304).</w:t>
      </w:r>
    </w:p>
    <w:p>
      <w:pPr>
        <w:pStyle w:val="BodyText"/>
      </w:pPr>
      <w:r>
        <w:t xml:space="preserve">Add relationship of individual taxa to axes and ISA analysis.</w:t>
      </w:r>
    </w:p>
    <w:p>
      <w:pPr>
        <w:pStyle w:val="Heading2"/>
      </w:pPr>
      <w:bookmarkStart w:id="40" w:name="invertebrate-functional-feeding-groups"/>
      <w:bookmarkEnd w:id="40"/>
      <w:r>
        <w:t xml:space="preserve">Invertebrate Functional Feeding Groups</w:t>
      </w:r>
    </w:p>
    <w:p>
      <w:pPr>
        <w:pStyle w:val="FirstParagraph"/>
      </w:pPr>
      <w:r>
        <w:t xml:space="preserve">Collector gatherers were by far the most abundant functional feeding group in the post-treatment year for both reaches at all sites. This does not appear to be due to the treatment of the gaps since we see heightened collector gatherer response in the reference reach as well. Collector filterers were typically the least abundant FFG in any stream or year. No FFG had a significant response across all streams. Scraping invertebrates only showed a positive response to the gap in MCTE with all other streams having a moderately negative BACI response.</w:t>
      </w:r>
    </w:p>
    <w:p>
      <w:pPr>
        <w:pStyle w:val="FigureWithCaption"/>
      </w:pPr>
      <w:r>
        <w:drawing>
          <wp:inline>
            <wp:extent cx="5334000" cy="3810000"/>
            <wp:effectExtent b="0" l="0" r="0" t="0"/>
            <wp:docPr descr="Figure 3: Log ratio of treatment reach divided by control reach for each FFG. CF = Collector-filterer, CG = Collector-gatherer, SH = Shredder, SC = Scrapers, SCe = Edible Scrapers, SCi = Inedible Scrapers, P = Predators, and All Bugs is the total macroinvertebrate density" id="1" name="Picture"/>
            <a:graphic>
              <a:graphicData uri="http://schemas.openxmlformats.org/drawingml/2006/picture">
                <pic:pic>
                  <pic:nvPicPr>
                    <pic:cNvPr descr="Figures/AvgFFGratio-1.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Log ratio of treatment reach divided by control reach for each FFG. CF = Collector-filterer, CG = Collector-gatherer, SH = Shredder, SC = Scrapers, SCe = Edible Scrapers, SCi = Inedible Scrapers, P = Predators, and All Bugs is the total macroinvertebrate density</w:t>
      </w:r>
    </w:p>
    <w:p>
      <w:pPr>
        <w:pStyle w:val="Heading2"/>
      </w:pPr>
      <w:bookmarkStart w:id="42" w:name="trout-diet"/>
      <w:bookmarkEnd w:id="42"/>
      <w:r>
        <w:t xml:space="preserve">Trout Diet</w:t>
      </w:r>
    </w:p>
    <w:p>
      <w:pPr>
        <w:pStyle w:val="FirstParagraph"/>
      </w:pPr>
      <w:r>
        <w:drawing>
          <wp:inline>
            <wp:extent cx="5334000" cy="3810000"/>
            <wp:effectExtent b="0" l="0" r="0" t="0"/>
            <wp:docPr descr="" id="1" name="Picture"/>
            <a:graphic>
              <a:graphicData uri="http://schemas.openxmlformats.org/drawingml/2006/picture">
                <pic:pic>
                  <pic:nvPicPr>
                    <pic:cNvPr descr="Figures/Diet-FFG-D-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drawing>
          <wp:inline>
            <wp:extent cx="5334000" cy="3810000"/>
            <wp:effectExtent b="0" l="0" r="0" t="0"/>
            <wp:docPr descr="" id="1" name="Picture"/>
            <a:graphic>
              <a:graphicData uri="http://schemas.openxmlformats.org/drawingml/2006/picture">
                <pic:pic>
                  <pic:nvPicPr>
                    <pic:cNvPr descr="Figures/Diet-Fam-D-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1"/>
      </w:pPr>
      <w:bookmarkStart w:id="45" w:name="discussion"/>
      <w:bookmarkEnd w:id="45"/>
      <w:r>
        <w:t xml:space="preserve">Discussion</w:t>
      </w:r>
    </w:p>
    <w:p>
      <w:pPr>
        <w:pStyle w:val="FirstParagraph"/>
      </w:pPr>
      <w:r>
        <w:t xml:space="preserve">Gaps are, by definition, open canopy patches in a larger, forested system. While localized responses may occur, we were particularly interested in whether the effect of an individual canopy gap could be measured at the stream reach scale. Studies have found that systems with multiple gaps, or with patches of high shade, had an effect on the overall invertebrate community. Yet, significant localized responses to increases in light beneath a single gap may not translate to significant system-wide responses at the stream or even the reach level. Our study design emphasizes the effects of gaps that comprise only a fraction of a stream reach, focusing on the integrated effect of small gaps embedded in a larger forested matrix. While light and Chla responded as expected to an opening of the riparian canopy, our reach-scale metrics for the invertebrate community do not show a response to increases in primary production. This does not match our original hypothesis that increases in high quality algae would lead to increased abundance of scraping invertebrate taxa. Instead, we found magnitude of the invertebrate response were not large enough to manifest at the reach scale and that fish consumption was unlikely to have been a factor affecting this in the context of community compisiton or functional feeding group relative abundance. In the one taxa group for which we did evaluate local responses, snails had a strong response to the treatment in meters adjacent to the gap treatment, but our reach-scale metrics for other invertebrate community members showed little BACI response.</w:t>
      </w:r>
    </w:p>
    <w:p>
      <w:pPr>
        <w:pStyle w:val="BodyText"/>
      </w:pPr>
      <w:r>
        <w:t xml:space="preserve">While light increases in our study were large due to previous heavy shading, they were not outside the realm of what occurs naturally in these systems. Canopy gaps can be seen as a natural disturbance, not only to the riparian system, but to adjacent aquatic systems as well. While these small-scale distrubances may have localized impacts on stream biota, the system response seems to be limited. Previous studies on forest shading, a long-term perturbation to headwater systems, indicate a strong linear relationship between light and GPP, this may indicate potential photosaturation limiting distrubance response to gaps, or there may be other consumer interactions at play.</w:t>
      </w:r>
    </w:p>
    <w:p>
      <w:pPr>
        <w:pStyle w:val="BodyText"/>
      </w:pPr>
      <w:r>
        <w:t xml:space="preserve">Complex trophic dynamics and limits on primary productivity such as photosaturation and nutrient limitation make it hard to capture a per unit light biotic response. Studies demonstrate clear differences between old-growth and second-growth light dynamics and system productivity, but how frequently or how large of gaps are necessary to get a response?</w:t>
      </w:r>
    </w:p>
    <w:p>
      <w:pPr>
        <w:pStyle w:val="BodyText"/>
      </w:pPr>
      <w:r>
        <w:t xml:space="preserve">The reach-scale metrics seem to be in contradiction with previous studies on stream light (@ Heaston, Kaylor, Wooton), but these studies focused on the immediate, within-treatment response of invertebrates and fish to various alterations to light availability. In that regard, our snails responded as expected, but the relative size of our canopy manipulations, one similar to small scale natural disturbances and individual tree mortality, limited reach-level trophic responses.</w:t>
      </w:r>
    </w:p>
    <w:p>
      <w:pPr>
        <w:pStyle w:val="BodyText"/>
      </w:pPr>
      <w:r>
        <w:t xml:space="preserve">Community PCA results what have others (in Dave’s lab) found and what did we find here? How might these results change if you were to look at other seasons? Overall communities were more similar within a stream than across treatments. This is to be expected but we thought tehre would be a shift in the same direction that would show up. We did see trends in SC that fit our hypothesis, that were not significant, however what is interesting is that with such different communities between streams the shifts that we saw were a result of changes across a wide range of taxa, not just one taxa group changing. So even though there is skepticism about the FFG’s and how they relate to diet (Revisiting RCC sites in ID Rosi and Baxter are co-authors), the trends from our sites suggest that applying an FFG here may be reasonable.</w:t>
      </w:r>
    </w:p>
    <w:p>
      <w:pPr>
        <w:pStyle w:val="BodyText"/>
      </w:pPr>
      <w:r>
        <w:t xml:space="preserve">IBI what did we see with basic stuff like EPT – any evidence that a gap would negatively affect community? No – not positive or negative. Seems realtively site-specific. In</w:t>
      </w:r>
    </w:p>
    <w:p>
      <w:pPr>
        <w:pStyle w:val="BodyText"/>
      </w:pPr>
      <w:r>
        <w:t xml:space="preserve">Fish diets were all over the map. No clear preference or greater abundance of scrapers or any other FFG (or taxa group if we went order) so limited evidence to suggest that the lack of a FFG response was due to preferential feeding. Fish were eating in all sites, few (#) empty stomachs.</w:t>
      </w:r>
    </w:p>
    <w:p>
      <w:pPr>
        <w:pStyle w:val="Heading1"/>
      </w:pPr>
      <w:bookmarkStart w:id="46" w:name="conclusion"/>
      <w:bookmarkEnd w:id="46"/>
      <w:r>
        <w:t xml:space="preserve">Conclusion</w:t>
      </w:r>
    </w:p>
    <w:p>
      <w:pPr>
        <w:pStyle w:val="FirstParagraph"/>
      </w:pPr>
      <w:r>
        <w:t xml:space="preserve">Gaps do have an effect but it appears to be local – at least for gaps of this size and the effect is muted at the whole reach scale. But more gaps may give us a different answer since there is clearly some local impact.</w:t>
      </w:r>
    </w:p>
    <w:p>
      <w:pPr>
        <w:pStyle w:val="BodyText"/>
      </w:pPr>
    </w:p>
    <w:p>
      <w:pPr>
        <w:pStyle w:val="Heading1"/>
      </w:pPr>
      <w:bookmarkStart w:id="47" w:name="references"/>
      <w:bookmarkEnd w:id="47"/>
      <w:r>
        <w:t xml:space="preserve">References</w:t>
      </w:r>
    </w:p>
    <w:p>
      <w:pPr>
        <w:pStyle w:val="Bibliography"/>
      </w:pPr>
      <w:r>
        <w:t xml:space="preserve">Cole, M. B., Russell, K. R., &amp; Mabee, T. J. (2003). Relation of headwater macroinvertebrate communities to in-stream and adjacent stand characteristics in managed second-growth forests of the oregon coast range mountains.</w:t>
      </w:r>
      <w:r>
        <w:t xml:space="preserve"> </w:t>
      </w:r>
      <w:r>
        <w:rPr>
          <w:i/>
        </w:rPr>
        <w:t xml:space="preserve">Canadian Journal of Forest Research</w:t>
      </w:r>
      <w:r>
        <w:t xml:space="preserve">,</w:t>
      </w:r>
      <w:r>
        <w:t xml:space="preserve"> </w:t>
      </w:r>
      <w:r>
        <w:rPr>
          <w:i/>
        </w:rPr>
        <w:t xml:space="preserve">33</w:t>
      </w:r>
      <w:r>
        <w:t xml:space="preserve">(8), 1433–1443.</w:t>
      </w:r>
    </w:p>
    <w:p>
      <w:pPr>
        <w:pStyle w:val="Bibliography"/>
      </w:pPr>
      <w:r>
        <w:t xml:space="preserve">Jacobs, J. (1974). Quantitative measurement of food selection.</w:t>
      </w:r>
      <w:r>
        <w:t xml:space="preserve"> </w:t>
      </w:r>
      <w:r>
        <w:rPr>
          <w:i/>
        </w:rPr>
        <w:t xml:space="preserve">Oecologia</w:t>
      </w:r>
      <w:r>
        <w:t xml:space="preserve">,</w:t>
      </w:r>
      <w:r>
        <w:t xml:space="preserve"> </w:t>
      </w:r>
      <w:r>
        <w:rPr>
          <w:i/>
        </w:rPr>
        <w:t xml:space="preserve">14</w:t>
      </w:r>
      <w:r>
        <w:t xml:space="preserve">(4), 413–417.</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Liess, A., Le Gros, A., Wagenhoff, A., Townsend, C. R., &amp; Matthaei, C. D. (2012). Landuse intensity in stream catchments affects the benthic food web: Consequences for nutrient supply, periphyton c: Nutrient ratios, and invertebrate richness and abundance.</w:t>
      </w:r>
      <w:r>
        <w:t xml:space="preserve"> </w:t>
      </w:r>
      <w:r>
        <w:rPr>
          <w:i/>
        </w:rPr>
        <w:t xml:space="preserve">Freshwater Science</w:t>
      </w:r>
      <w:r>
        <w:t xml:space="preserve">,</w:t>
      </w:r>
      <w:r>
        <w:t xml:space="preserve"> </w:t>
      </w:r>
      <w:r>
        <w:rPr>
          <w:i/>
        </w:rPr>
        <w:t xml:space="preserve">31</w:t>
      </w:r>
      <w:r>
        <w:t xml:space="preserve">(3), 813–824.</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Merritt, R. W., Cummins, K. W., &amp; Berg, M. B. (2008).</w:t>
      </w:r>
      <w:r>
        <w:t xml:space="preserve"> </w:t>
      </w:r>
      <w:r>
        <w:rPr>
          <w:i/>
        </w:rPr>
        <w:t xml:space="preserve">An introduction to the aquatic insects of north america</w:t>
      </w:r>
      <w:r>
        <w:t xml:space="preserve">. Kendall Hunt.</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8">
        <w:r>
          <w:rPr>
            <w:rStyle w:val="Hyperlink"/>
          </w:rPr>
          <w:t xml:space="preserve">https://CRAN.R-project.org/package=vegan</w:t>
        </w:r>
      </w:hyperlink>
    </w:p>
    <w:p>
      <w:pPr>
        <w:pStyle w:val="Bibliography"/>
      </w:pPr>
      <w:r>
        <w:t xml:space="preserve">Pan, Y., Chen, J. M., Birdsey, R., McCullough, K., He, L., &amp; Deng, F. (2011). Age structure and disturbance legacy of north american forests.</w:t>
      </w:r>
      <w:r>
        <w:t xml:space="preserve"> </w:t>
      </w:r>
      <w:r>
        <w:rPr>
          <w:i/>
        </w:rPr>
        <w:t xml:space="preserve">Biogeosciences. 8: 715-732.</w:t>
      </w:r>
      <w:r>
        <w:t xml:space="preserve">,</w:t>
      </w:r>
      <w:r>
        <w:t xml:space="preserve"> </w:t>
      </w:r>
      <w:r>
        <w:rPr>
          <w:i/>
        </w:rPr>
        <w:t xml:space="preserve">8</w:t>
      </w:r>
      <w:r>
        <w:t xml:space="preserve">, 715–732.</w:t>
      </w:r>
    </w:p>
    <w:p>
      <w:pPr>
        <w:pStyle w:val="Bibliography"/>
      </w:pPr>
      <w:r>
        <w:t xml:space="preserve">Purcell, A. H., Bressler, D. W., Paul, M. J., Barbour, M. T., Rankin, E. T., Carter, J. L., &amp; Resh, V. H. (2009). Assessment tools for urban catchments: Developing biological indicators based on benthic macroinvertebrates 1.</w:t>
      </w:r>
      <w:r>
        <w:t xml:space="preserve"> </w:t>
      </w:r>
      <w:r>
        <w:rPr>
          <w:i/>
        </w:rPr>
        <w:t xml:space="preserve">JAWRA Journal of the American Water Resources Association</w:t>
      </w:r>
      <w:r>
        <w:t xml:space="preserve">,</w:t>
      </w:r>
      <w:r>
        <w:t xml:space="preserve"> </w:t>
      </w:r>
      <w:r>
        <w:rPr>
          <w:i/>
        </w:rPr>
        <w:t xml:space="preserve">45</w:t>
      </w:r>
      <w:r>
        <w:t xml:space="preserve">(2), 306–319.</w:t>
      </w:r>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9">
        <w:r>
          <w:rPr>
            <w:rStyle w:val="Hyperlink"/>
          </w:rPr>
          <w:t xml:space="preserve">https://www.R-project.org/</w:t>
        </w:r>
      </w:hyperlink>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p>
      <w:pPr>
        <w:pStyle w:val="Bibliography"/>
      </w:pPr>
      <w:r>
        <w:t xml:space="preserve">Wipfli, M. S. (1997). Terrestrial invertebrates as salmonid prey and nitrogen sources in streams: Contrasting old-growth and young-growth riparian forests in southeastern alaska, usa.</w:t>
      </w:r>
      <w:r>
        <w:t xml:space="preserve"> </w:t>
      </w:r>
      <w:r>
        <w:rPr>
          <w:i/>
        </w:rPr>
        <w:t xml:space="preserve">Canadian Journal of Fisheries and Aquatic Sciences</w:t>
      </w:r>
      <w:r>
        <w:t xml:space="preserve">,</w:t>
      </w:r>
      <w:r>
        <w:t xml:space="preserve"> </w:t>
      </w:r>
      <w:r>
        <w:rPr>
          <w:i/>
        </w:rPr>
        <w:t xml:space="preserve">54</w:t>
      </w:r>
      <w:r>
        <w:t xml:space="preserve">(6), 1259–1269.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2093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48" Target="https://CRAN.R-project.org/package=vegan"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s://CRAN.R-project.org/package=vegan" TargetMode="External" /><Relationship Type="http://schemas.openxmlformats.org/officeDocument/2006/relationships/hyperlink" Id="rId4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2019-06-12T03:31:43Z</dcterms:created>
  <dcterms:modified xsi:type="dcterms:W3CDTF">2019-06-12T03:31:43Z</dcterms:modified>
</cp:coreProperties>
</file>