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F81AA" w14:textId="77777777" w:rsidR="00975C86" w:rsidRPr="002C7CD1" w:rsidRDefault="00975C86" w:rsidP="00975C86">
      <w:pPr>
        <w:rPr>
          <w:b/>
        </w:rPr>
      </w:pPr>
      <w:r w:rsidRPr="002C7CD1">
        <w:rPr>
          <w:b/>
          <w:u w:val="single"/>
        </w:rPr>
        <w:t>Project overview</w:t>
      </w:r>
      <w:r w:rsidRPr="002C7CD1">
        <w:rPr>
          <w:b/>
        </w:rPr>
        <w:t>:</w:t>
      </w:r>
    </w:p>
    <w:p w14:paraId="705E0D4E" w14:textId="77777777" w:rsidR="004F76EC" w:rsidRDefault="004F76EC"/>
    <w:p w14:paraId="63314C2A" w14:textId="44D9297A" w:rsidR="00975C86" w:rsidRDefault="00975C86" w:rsidP="00975C86">
      <w:r>
        <w:t>We are investigating how riparian forest structure influences stream light availability and how that in-turn influences potential bottom up drivers of stream ecosystem processes.   We are using stand age/stage as a proxy for structure with old-growth forests having more gaps and mid/early succession forests having a more uniform structure.  We are particularly interested in how forest gap</w:t>
      </w:r>
      <w:r w:rsidR="00E1702D">
        <w:t>s</w:t>
      </w:r>
      <w:r>
        <w:t xml:space="preserve"> influence local and larger scale processes in headwater </w:t>
      </w:r>
      <w:r w:rsidR="000A635E">
        <w:t xml:space="preserve">streams </w:t>
      </w:r>
      <w:r>
        <w:t>(1</w:t>
      </w:r>
      <w:r w:rsidRPr="00A3346C">
        <w:rPr>
          <w:vertAlign w:val="superscript"/>
        </w:rPr>
        <w:t>st</w:t>
      </w:r>
      <w:r>
        <w:t xml:space="preserve"> to 3</w:t>
      </w:r>
      <w:r w:rsidRPr="00A3346C">
        <w:rPr>
          <w:vertAlign w:val="superscript"/>
        </w:rPr>
        <w:t>rd</w:t>
      </w:r>
      <w:r w:rsidR="000A635E">
        <w:t xml:space="preserve"> order</w:t>
      </w:r>
      <w:r>
        <w:t>).</w:t>
      </w:r>
    </w:p>
    <w:p w14:paraId="7543D793" w14:textId="77777777" w:rsidR="00975C86" w:rsidRDefault="00975C86"/>
    <w:p w14:paraId="46B206F5" w14:textId="77777777" w:rsidR="00975C86" w:rsidRDefault="00975C86" w:rsidP="00975C86">
      <w:r>
        <w:t>Hypothesis: Old-growth riparian forests will allow more light to reach the stream benthos than second-growth riparian forest resulting in increased primary production leading to increased nutrient demand, greater secondary production, biomass, and growth rates</w:t>
      </w:r>
      <w:r w:rsidDel="00A556C5">
        <w:t xml:space="preserve"> </w:t>
      </w:r>
      <w:r>
        <w:t xml:space="preserve">(with a primary focus on vertebrate - cutthroat trout). </w:t>
      </w:r>
    </w:p>
    <w:p w14:paraId="36C1B5DA" w14:textId="77777777" w:rsidR="00975C86" w:rsidRDefault="00975C86" w:rsidP="00975C86"/>
    <w:p w14:paraId="406A45A9" w14:textId="77777777" w:rsidR="00975C86" w:rsidRPr="002C7CD1" w:rsidRDefault="00975C86" w:rsidP="00975C86">
      <w:pPr>
        <w:rPr>
          <w:b/>
        </w:rPr>
      </w:pPr>
      <w:r w:rsidRPr="002C7CD1">
        <w:rPr>
          <w:b/>
          <w:u w:val="single"/>
        </w:rPr>
        <w:t>Premise for study</w:t>
      </w:r>
      <w:r w:rsidRPr="002C7CD1">
        <w:rPr>
          <w:b/>
        </w:rPr>
        <w:t xml:space="preserve">: </w:t>
      </w:r>
    </w:p>
    <w:p w14:paraId="47FF3996" w14:textId="77777777" w:rsidR="00975C86" w:rsidRDefault="00975C86" w:rsidP="00975C86"/>
    <w:p w14:paraId="25511D7D" w14:textId="77777777" w:rsidR="00975C86" w:rsidRDefault="00975C86" w:rsidP="00975C86">
      <w:r>
        <w:t xml:space="preserve">Studies have shown riparian clear-cuts can result in a substantial increase in solar radiation which can lead to increased primary production, increased grazer biomass and greater predator </w:t>
      </w:r>
      <w:proofErr w:type="gramStart"/>
      <w:r>
        <w:t>biomass…..</w:t>
      </w:r>
      <w:proofErr w:type="gramEnd"/>
    </w:p>
    <w:p w14:paraId="33E510C3" w14:textId="77777777" w:rsidR="00975C86" w:rsidRDefault="00975C86" w:rsidP="00975C86">
      <w:pPr>
        <w:ind w:firstLine="360"/>
      </w:pPr>
      <w:r>
        <w:t>HOWEVER these forest management practices also lead to:</w:t>
      </w:r>
    </w:p>
    <w:p w14:paraId="75C0E633" w14:textId="77777777" w:rsidR="00975C86" w:rsidRDefault="00975C86" w:rsidP="00975C86">
      <w:pPr>
        <w:pStyle w:val="ListParagraph"/>
        <w:numPr>
          <w:ilvl w:val="0"/>
          <w:numId w:val="1"/>
        </w:numPr>
      </w:pPr>
      <w:r>
        <w:t>Increased stream te</w:t>
      </w:r>
      <w:r w:rsidR="00DB6D47">
        <w:t>mperature, impacting waters locally and downstream</w:t>
      </w:r>
      <w:r>
        <w:t>.</w:t>
      </w:r>
    </w:p>
    <w:p w14:paraId="044C18CF" w14:textId="77777777" w:rsidR="00975C86" w:rsidRDefault="00975C86" w:rsidP="00975C86">
      <w:pPr>
        <w:pStyle w:val="ListParagraph"/>
        <w:numPr>
          <w:ilvl w:val="0"/>
          <w:numId w:val="1"/>
        </w:numPr>
      </w:pPr>
      <w:r>
        <w:t>Reduced Large Wood (LW) loading over time</w:t>
      </w:r>
    </w:p>
    <w:p w14:paraId="76606E6D" w14:textId="77777777" w:rsidR="00975C86" w:rsidRDefault="00975C86" w:rsidP="00975C86">
      <w:pPr>
        <w:pStyle w:val="ListParagraph"/>
        <w:numPr>
          <w:ilvl w:val="0"/>
          <w:numId w:val="1"/>
        </w:numPr>
      </w:pPr>
      <w:r>
        <w:t xml:space="preserve">Reduction of in-stream habitat and spawning habitat for </w:t>
      </w:r>
      <w:proofErr w:type="spellStart"/>
      <w:r>
        <w:t>salmonids</w:t>
      </w:r>
      <w:proofErr w:type="spellEnd"/>
      <w:r>
        <w:t xml:space="preserve"> </w:t>
      </w:r>
    </w:p>
    <w:p w14:paraId="6C793266" w14:textId="77777777" w:rsidR="00975C86" w:rsidRDefault="00975C86" w:rsidP="00975C86">
      <w:pPr>
        <w:pStyle w:val="ListParagraph"/>
        <w:numPr>
          <w:ilvl w:val="0"/>
          <w:numId w:val="1"/>
        </w:numPr>
      </w:pPr>
      <w:r>
        <w:t>Dense forest regrowth, which can quickly close canopies and reduce light &amp; primary production in small streams</w:t>
      </w:r>
    </w:p>
    <w:p w14:paraId="008F54FD" w14:textId="77777777" w:rsidR="00975C86" w:rsidRDefault="00975C86" w:rsidP="00975C86">
      <w:pPr>
        <w:pStyle w:val="ListParagraph"/>
        <w:numPr>
          <w:ilvl w:val="0"/>
          <w:numId w:val="1"/>
        </w:numPr>
      </w:pPr>
      <w:r>
        <w:t>Increased sedimentation and turbidity</w:t>
      </w:r>
    </w:p>
    <w:p w14:paraId="15BC30F9" w14:textId="77777777" w:rsidR="00DB6D47" w:rsidRDefault="00DB6D47" w:rsidP="00DB6D47"/>
    <w:p w14:paraId="6FAF89BC" w14:textId="77777777" w:rsidR="00975C86" w:rsidRDefault="00975C86" w:rsidP="00DB6D47">
      <w:r>
        <w:t>Overall long-term negative impacts that outweigh the short-term increases in primary and secondary production</w:t>
      </w:r>
    </w:p>
    <w:p w14:paraId="3C43EF5D" w14:textId="77777777" w:rsidR="00975C86" w:rsidRDefault="00975C86" w:rsidP="00975C86"/>
    <w:p w14:paraId="1542A0F9" w14:textId="14C9994E" w:rsidR="00975C86" w:rsidRDefault="00975C86" w:rsidP="00975C86">
      <w:r>
        <w:t xml:space="preserve">Old-Growth Forests typically have better habitat for </w:t>
      </w:r>
      <w:proofErr w:type="spellStart"/>
      <w:r>
        <w:t>salmonids</w:t>
      </w:r>
      <w:proofErr w:type="spellEnd"/>
      <w:r>
        <w:t xml:space="preserve"> due to the high abundance of large wood and associated d</w:t>
      </w:r>
      <w:r w:rsidR="00DB6D47">
        <w:t>eep pool and complex structure.</w:t>
      </w:r>
      <w:r>
        <w:t xml:space="preserve"> Many researchers and managers tend to focus on the </w:t>
      </w:r>
      <w:proofErr w:type="spellStart"/>
      <w:r>
        <w:t>instream</w:t>
      </w:r>
      <w:proofErr w:type="spellEnd"/>
      <w:r>
        <w:t xml:space="preserve"> habitat and wood but do not consider the importance of the canopy gaps created when that wood fell into stream. We believe these canopy gaps</w:t>
      </w:r>
      <w:r w:rsidR="003D2121">
        <w:t>, with increased solar radiation,</w:t>
      </w:r>
      <w:r>
        <w:t xml:space="preserve"> create local productivity hotspots with increased primary production, increased nutrient demand and biogeochemical cycling with the potential for greater secondary</w:t>
      </w:r>
      <w:r w:rsidR="003D2121">
        <w:t xml:space="preserve"> production without the negative effects associated with </w:t>
      </w:r>
      <w:proofErr w:type="spellStart"/>
      <w:r w:rsidR="003D2121">
        <w:t>clearcutting</w:t>
      </w:r>
      <w:proofErr w:type="spellEnd"/>
      <w:r w:rsidR="003D2121">
        <w:t xml:space="preserve">. </w:t>
      </w:r>
      <w:r>
        <w:t>But are these gaps big enough to have a noticeable effect beyond the localize area of increased light, and do these “hotspots” actually lead to greater whole stream production?  These are the questions that we are hoping to answer in this research.</w:t>
      </w:r>
    </w:p>
    <w:p w14:paraId="3826304C" w14:textId="77777777" w:rsidR="00975C86" w:rsidRDefault="00975C86"/>
    <w:p w14:paraId="2C17A429" w14:textId="77777777" w:rsidR="00975C86" w:rsidRDefault="00975C86" w:rsidP="00975C86">
      <w:pPr>
        <w:rPr>
          <w:b/>
          <w:u w:val="single"/>
        </w:rPr>
      </w:pPr>
    </w:p>
    <w:p w14:paraId="2201767D" w14:textId="77777777" w:rsidR="00975C86" w:rsidRDefault="00975C86" w:rsidP="00975C86">
      <w:pPr>
        <w:rPr>
          <w:b/>
          <w:u w:val="single"/>
        </w:rPr>
      </w:pPr>
    </w:p>
    <w:p w14:paraId="2D2B58BA" w14:textId="77777777" w:rsidR="00975C86" w:rsidRDefault="00975C86" w:rsidP="00975C86">
      <w:pPr>
        <w:rPr>
          <w:b/>
          <w:u w:val="single"/>
        </w:rPr>
      </w:pPr>
    </w:p>
    <w:p w14:paraId="72F79DB3" w14:textId="77777777" w:rsidR="00975C86" w:rsidRDefault="00975C86" w:rsidP="00975C86">
      <w:pPr>
        <w:rPr>
          <w:b/>
          <w:u w:val="single"/>
        </w:rPr>
      </w:pPr>
    </w:p>
    <w:p w14:paraId="2069DCD5" w14:textId="77777777" w:rsidR="00975C86" w:rsidRDefault="00975C86" w:rsidP="00975C86">
      <w:pPr>
        <w:rPr>
          <w:b/>
          <w:u w:val="single"/>
        </w:rPr>
      </w:pPr>
    </w:p>
    <w:p w14:paraId="18499426" w14:textId="77777777" w:rsidR="00975C86" w:rsidRDefault="00975C86" w:rsidP="00975C86">
      <w:pPr>
        <w:rPr>
          <w:b/>
          <w:u w:val="single"/>
        </w:rPr>
      </w:pPr>
    </w:p>
    <w:p w14:paraId="59C53531" w14:textId="77777777" w:rsidR="00975C86" w:rsidRDefault="00975C86" w:rsidP="00975C86">
      <w:pPr>
        <w:rPr>
          <w:b/>
          <w:u w:val="single"/>
        </w:rPr>
      </w:pPr>
    </w:p>
    <w:p w14:paraId="7D968C43" w14:textId="77777777" w:rsidR="00975C86" w:rsidRDefault="00975C86" w:rsidP="00975C86">
      <w:pPr>
        <w:rPr>
          <w:b/>
          <w:u w:val="single"/>
        </w:rPr>
      </w:pPr>
    </w:p>
    <w:p w14:paraId="138FE306" w14:textId="77777777" w:rsidR="00975C86" w:rsidRDefault="00975C86" w:rsidP="00975C86">
      <w:pPr>
        <w:rPr>
          <w:b/>
          <w:u w:val="single"/>
        </w:rPr>
      </w:pPr>
    </w:p>
    <w:p w14:paraId="12051A40" w14:textId="77777777" w:rsidR="00975C86" w:rsidRDefault="00975C86" w:rsidP="00975C86">
      <w:pPr>
        <w:rPr>
          <w:b/>
          <w:u w:val="single"/>
        </w:rPr>
      </w:pPr>
    </w:p>
    <w:p w14:paraId="68CCBE26" w14:textId="77777777" w:rsidR="00975C86" w:rsidRDefault="00975C86" w:rsidP="00975C86">
      <w:pPr>
        <w:rPr>
          <w:b/>
          <w:u w:val="single"/>
        </w:rPr>
      </w:pPr>
    </w:p>
    <w:p w14:paraId="11A79ACA" w14:textId="77777777" w:rsidR="00975C86" w:rsidRDefault="00975C86" w:rsidP="00975C86">
      <w:pPr>
        <w:rPr>
          <w:b/>
          <w:u w:val="single"/>
        </w:rPr>
      </w:pPr>
    </w:p>
    <w:p w14:paraId="65E9E8D5" w14:textId="77777777" w:rsidR="00975C86" w:rsidRDefault="00975C86" w:rsidP="00975C86">
      <w:pPr>
        <w:rPr>
          <w:b/>
          <w:u w:val="single"/>
        </w:rPr>
      </w:pPr>
    </w:p>
    <w:p w14:paraId="59962F16" w14:textId="77777777" w:rsidR="00975C86" w:rsidRDefault="00975C86" w:rsidP="00975C86">
      <w:pPr>
        <w:rPr>
          <w:b/>
          <w:u w:val="single"/>
        </w:rPr>
      </w:pPr>
      <w:r w:rsidRPr="002C7CD1">
        <w:rPr>
          <w:b/>
          <w:u w:val="single"/>
        </w:rPr>
        <w:t>Increased Light</w:t>
      </w:r>
      <w:r>
        <w:rPr>
          <w:b/>
          <w:u w:val="single"/>
        </w:rPr>
        <w:t xml:space="preserve"> </w:t>
      </w:r>
    </w:p>
    <w:p w14:paraId="7199348F" w14:textId="77777777" w:rsidR="00975C86" w:rsidRPr="00A3346C" w:rsidRDefault="00975C86" w:rsidP="00975C86">
      <w:pPr>
        <w:rPr>
          <w:i/>
        </w:rPr>
      </w:pPr>
      <w:r w:rsidRPr="00A3346C">
        <w:rPr>
          <w:i/>
        </w:rPr>
        <w:t>The first step in this study was to evaluate the fundamental hypothesis that headwater streams with old-growth riparian forests have more light than headwater streams with second-growth riparian forests.</w:t>
      </w:r>
    </w:p>
    <w:p w14:paraId="1D823C6D" w14:textId="77777777" w:rsidR="00975C86" w:rsidRDefault="00975C86" w:rsidP="00975C86"/>
    <w:p w14:paraId="2854D96C" w14:textId="77777777" w:rsidR="00975C86" w:rsidRDefault="00975C86" w:rsidP="00975C86">
      <w:r>
        <w:t xml:space="preserve">Vials of </w:t>
      </w:r>
      <w:r w:rsidR="00DB6D47">
        <w:t xml:space="preserve">the </w:t>
      </w:r>
      <w:proofErr w:type="spellStart"/>
      <w:r>
        <w:t>photodegrading</w:t>
      </w:r>
      <w:proofErr w:type="spellEnd"/>
      <w:r>
        <w:t xml:space="preserve"> dye</w:t>
      </w:r>
      <w:r w:rsidR="00DB6D47">
        <w:t xml:space="preserve"> Fluorescein</w:t>
      </w:r>
      <w:r>
        <w:t xml:space="preserve"> were placed every 5 m for 160 m in paired reaches of the same stream but different riparian forests (old-growth versus second growth riparian forests)</w:t>
      </w:r>
    </w:p>
    <w:p w14:paraId="5A25C412" w14:textId="77777777" w:rsidR="00791489" w:rsidRDefault="00791489" w:rsidP="00975C86"/>
    <w:p w14:paraId="75DFDD73" w14:textId="77777777" w:rsidR="00791489" w:rsidRDefault="00791489" w:rsidP="00975C86">
      <w:r>
        <w:t>Figure 1: STREON site Fluorescein Vial Data</w:t>
      </w:r>
    </w:p>
    <w:p w14:paraId="283F68BC" w14:textId="77777777" w:rsidR="00791489" w:rsidRDefault="00791489">
      <w:r>
        <w:rPr>
          <w:noProof/>
        </w:rPr>
        <w:drawing>
          <wp:inline distT="0" distB="0" distL="0" distR="0" wp14:anchorId="5DC6E8F0" wp14:editId="32E32996">
            <wp:extent cx="6492240" cy="1673675"/>
            <wp:effectExtent l="0" t="0" r="1016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2240" cy="1673675"/>
                    </a:xfrm>
                    <a:prstGeom prst="rect">
                      <a:avLst/>
                    </a:prstGeom>
                    <a:noFill/>
                    <a:ln>
                      <a:noFill/>
                    </a:ln>
                  </pic:spPr>
                </pic:pic>
              </a:graphicData>
            </a:graphic>
          </wp:inline>
        </w:drawing>
      </w:r>
    </w:p>
    <w:p w14:paraId="23A1B3C3" w14:textId="77777777" w:rsidR="00791489" w:rsidRDefault="00791489"/>
    <w:p w14:paraId="0D7A13EA" w14:textId="2A966D0D" w:rsidR="00975C86" w:rsidRDefault="00791489">
      <w:r>
        <w:t>Figure 2</w:t>
      </w:r>
      <w:r w:rsidR="00975C86">
        <w:t xml:space="preserve">: McRae </w:t>
      </w:r>
      <w:r w:rsidR="002729D5">
        <w:t>Tributary</w:t>
      </w:r>
      <w:r w:rsidR="00975C86">
        <w:t xml:space="preserve"> Fluorescein Vial data</w:t>
      </w:r>
    </w:p>
    <w:p w14:paraId="1F5AA3D8" w14:textId="77777777" w:rsidR="00975C86" w:rsidRDefault="00975C86">
      <w:r>
        <w:rPr>
          <w:noProof/>
        </w:rPr>
        <w:drawing>
          <wp:inline distT="0" distB="0" distL="0" distR="0" wp14:anchorId="4FBF36A2" wp14:editId="759FC834">
            <wp:extent cx="6492240" cy="1739117"/>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1739117"/>
                    </a:xfrm>
                    <a:prstGeom prst="rect">
                      <a:avLst/>
                    </a:prstGeom>
                    <a:noFill/>
                    <a:ln>
                      <a:noFill/>
                    </a:ln>
                  </pic:spPr>
                </pic:pic>
              </a:graphicData>
            </a:graphic>
          </wp:inline>
        </w:drawing>
      </w:r>
    </w:p>
    <w:p w14:paraId="734C52E8" w14:textId="77777777" w:rsidR="00791489" w:rsidRDefault="00791489"/>
    <w:p w14:paraId="52158C63" w14:textId="77777777" w:rsidR="00791489" w:rsidRDefault="00791489" w:rsidP="00975C86">
      <w:r>
        <w:t xml:space="preserve">Figures 3 &amp; 4: </w:t>
      </w:r>
      <w:proofErr w:type="spellStart"/>
      <w:r>
        <w:t>Photosynthetically</w:t>
      </w:r>
      <w:proofErr w:type="spellEnd"/>
      <w:r>
        <w:t xml:space="preserve"> Active Radiation (PAR) sensor data from</w:t>
      </w:r>
      <w:r w:rsidR="00DB6D47">
        <w:t xml:space="preserve"> McRae Tributa</w:t>
      </w:r>
      <w:r w:rsidR="00560E98">
        <w:t xml:space="preserve">ry. Left: Figure 3 </w:t>
      </w:r>
      <w:r>
        <w:t xml:space="preserve">illustrating the variability of light reaching stream in Old-Growth Site. Right: Figure </w:t>
      </w:r>
      <w:r w:rsidR="00560E98">
        <w:t xml:space="preserve">4 </w:t>
      </w:r>
      <w:r>
        <w:t>depicting two locations with similar accumulated light with high light events occurring at different times</w:t>
      </w:r>
      <w:r w:rsidR="00560E98">
        <w:t xml:space="preserve"> during day</w:t>
      </w:r>
      <w:r>
        <w:t xml:space="preserve">. </w:t>
      </w:r>
    </w:p>
    <w:p w14:paraId="1FB7806B" w14:textId="77777777" w:rsidR="00975C86" w:rsidRDefault="00D069F1" w:rsidP="00975C86">
      <w:r>
        <w:rPr>
          <w:b/>
          <w:noProof/>
          <w:u w:val="single"/>
        </w:rPr>
        <w:drawing>
          <wp:inline distT="0" distB="0" distL="0" distR="0" wp14:anchorId="0DD06D8D" wp14:editId="10077B0A">
            <wp:extent cx="3399105" cy="2514600"/>
            <wp:effectExtent l="0" t="0" r="508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918" cy="2515202"/>
                    </a:xfrm>
                    <a:prstGeom prst="rect">
                      <a:avLst/>
                    </a:prstGeom>
                    <a:noFill/>
                    <a:ln>
                      <a:noFill/>
                    </a:ln>
                  </pic:spPr>
                </pic:pic>
              </a:graphicData>
            </a:graphic>
          </wp:inline>
        </w:drawing>
      </w:r>
      <w:r w:rsidR="00791489" w:rsidRPr="00791489">
        <w:t xml:space="preserve"> </w:t>
      </w:r>
      <w:r w:rsidR="00791489">
        <w:rPr>
          <w:b/>
          <w:noProof/>
          <w:u w:val="single"/>
        </w:rPr>
        <w:drawing>
          <wp:inline distT="0" distB="0" distL="0" distR="0" wp14:anchorId="0A07E6AF" wp14:editId="6C2975F4">
            <wp:extent cx="3414895" cy="255270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693" cy="2553297"/>
                    </a:xfrm>
                    <a:prstGeom prst="rect">
                      <a:avLst/>
                    </a:prstGeom>
                    <a:noFill/>
                    <a:ln>
                      <a:noFill/>
                    </a:ln>
                  </pic:spPr>
                </pic:pic>
              </a:graphicData>
            </a:graphic>
          </wp:inline>
        </w:drawing>
      </w:r>
    </w:p>
    <w:p w14:paraId="5DC6432A" w14:textId="77777777" w:rsidR="00791489" w:rsidRDefault="00791489" w:rsidP="00975C86"/>
    <w:p w14:paraId="1A0B883D" w14:textId="6DB95403" w:rsidR="00975C86" w:rsidRPr="00791489" w:rsidRDefault="00791489" w:rsidP="00975C86">
      <w:r>
        <w:t>Note that old-growth forest reaches have greate</w:t>
      </w:r>
      <w:r w:rsidR="002F47E4">
        <w:t xml:space="preserve">r light on average </w:t>
      </w:r>
      <w:r>
        <w:t>but also much greater variability in light than the second-growth forest reaches.</w:t>
      </w:r>
    </w:p>
    <w:p w14:paraId="477647CE" w14:textId="77777777" w:rsidR="00791489" w:rsidRDefault="00791489" w:rsidP="00975C86">
      <w:pPr>
        <w:rPr>
          <w:b/>
          <w:u w:val="single"/>
        </w:rPr>
      </w:pPr>
    </w:p>
    <w:p w14:paraId="1FAD73CB" w14:textId="77777777" w:rsidR="00975C86" w:rsidRPr="00A3346C" w:rsidRDefault="00975C86" w:rsidP="00975C86">
      <w:pPr>
        <w:rPr>
          <w:b/>
          <w:u w:val="single"/>
        </w:rPr>
      </w:pPr>
      <w:r w:rsidRPr="00A3346C">
        <w:rPr>
          <w:b/>
          <w:u w:val="single"/>
        </w:rPr>
        <w:t>Primary Production</w:t>
      </w:r>
    </w:p>
    <w:p w14:paraId="5C3FF0EF" w14:textId="77777777" w:rsidR="00975C86" w:rsidRPr="00975C86" w:rsidRDefault="00975C86" w:rsidP="00975C86">
      <w:r w:rsidRPr="00975C86">
        <w:t xml:space="preserve">Our next step was to see if increased light resulted in greater Chlorophyll a and </w:t>
      </w:r>
      <w:proofErr w:type="spellStart"/>
      <w:r w:rsidRPr="00975C86">
        <w:t>periphyton</w:t>
      </w:r>
      <w:proofErr w:type="spellEnd"/>
      <w:r w:rsidRPr="00975C86">
        <w:t xml:space="preserve"> Ash Free Dry Mass</w:t>
      </w:r>
      <w:r w:rsidR="002F47E4">
        <w:t>, both indicators of increased primary production</w:t>
      </w:r>
      <w:r w:rsidRPr="00975C86">
        <w:t>.</w:t>
      </w:r>
    </w:p>
    <w:p w14:paraId="1C0AF7E3" w14:textId="77777777" w:rsidR="00975C86" w:rsidRDefault="00975C86" w:rsidP="00975C86"/>
    <w:p w14:paraId="6BD48AFD" w14:textId="77777777" w:rsidR="00975C86" w:rsidRPr="00166B14" w:rsidRDefault="00560E98" w:rsidP="00975C86">
      <w:r>
        <w:t>Figure 5</w:t>
      </w:r>
      <w:r w:rsidR="00975C86">
        <w:t xml:space="preserve">: McRae Tributary fluorescein loss in vials. Box indicates where </w:t>
      </w:r>
      <w:proofErr w:type="spellStart"/>
      <w:r w:rsidR="00975C86">
        <w:t>periphyton</w:t>
      </w:r>
      <w:proofErr w:type="spellEnd"/>
      <w:r w:rsidR="00975C86">
        <w:t xml:space="preserve"> samples were collected</w:t>
      </w:r>
      <w:proofErr w:type="gramStart"/>
      <w:r w:rsidR="00975C86">
        <w:t>.-</w:t>
      </w:r>
      <w:proofErr w:type="gramEnd"/>
      <w:r w:rsidR="00975C86">
        <w:t xml:space="preserve"> capturing the transition from a gap to a closed canopy second of the old-growth stream.</w:t>
      </w:r>
    </w:p>
    <w:p w14:paraId="53E50FB5" w14:textId="77777777" w:rsidR="00975C86" w:rsidRDefault="00975C86">
      <w:r>
        <w:rPr>
          <w:noProof/>
        </w:rPr>
        <mc:AlternateContent>
          <mc:Choice Requires="wps">
            <w:drawing>
              <wp:anchor distT="0" distB="0" distL="114300" distR="114300" simplePos="0" relativeHeight="251659264" behindDoc="0" locked="0" layoutInCell="1" allowOverlap="1" wp14:anchorId="0D9EFC31" wp14:editId="273DA2AB">
                <wp:simplePos x="0" y="0"/>
                <wp:positionH relativeFrom="column">
                  <wp:posOffset>1485900</wp:posOffset>
                </wp:positionH>
                <wp:positionV relativeFrom="paragraph">
                  <wp:posOffset>777240</wp:posOffset>
                </wp:positionV>
                <wp:extent cx="0" cy="1828800"/>
                <wp:effectExtent l="127000" t="25400" r="101600" b="101600"/>
                <wp:wrapNone/>
                <wp:docPr id="7" name="Straight Arrow Connector 7"/>
                <wp:cNvGraphicFramePr/>
                <a:graphic xmlns:a="http://schemas.openxmlformats.org/drawingml/2006/main">
                  <a:graphicData uri="http://schemas.microsoft.com/office/word/2010/wordprocessingShape">
                    <wps:wsp>
                      <wps:cNvCnPr/>
                      <wps:spPr>
                        <a:xfrm>
                          <a:off x="0" y="0"/>
                          <a:ext cx="0" cy="18288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117pt;margin-top:61.2pt;width:0;height:2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" strokecolor="black [3213]" strokeweight="2pt">
                <v:stroke endarrow="open"/>
                <v:shadow on="t" opacity="24903f" mv:blur="40000f" origin=",.5" offset="0,20000emu"/>
              </v:shape>
            </w:pict>
          </mc:Fallback>
        </mc:AlternateContent>
      </w:r>
      <w:r>
        <w:rPr>
          <w:noProof/>
        </w:rPr>
        <w:drawing>
          <wp:inline distT="0" distB="0" distL="0" distR="0" wp14:anchorId="02963CD0" wp14:editId="58A79E00">
            <wp:extent cx="6492240" cy="1688928"/>
            <wp:effectExtent l="0" t="0" r="1016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2240" cy="1688928"/>
                    </a:xfrm>
                    <a:prstGeom prst="rect">
                      <a:avLst/>
                    </a:prstGeom>
                    <a:noFill/>
                    <a:ln>
                      <a:noFill/>
                    </a:ln>
                  </pic:spPr>
                </pic:pic>
              </a:graphicData>
            </a:graphic>
          </wp:inline>
        </w:drawing>
      </w:r>
    </w:p>
    <w:p w14:paraId="15988014" w14:textId="77777777" w:rsidR="00560E98" w:rsidRDefault="00560E98"/>
    <w:p w14:paraId="16763345" w14:textId="77777777" w:rsidR="00560E98" w:rsidRDefault="00560E98">
      <w:r>
        <w:t xml:space="preserve">Figure 6: </w:t>
      </w:r>
      <w:proofErr w:type="spellStart"/>
      <w:r>
        <w:t>Periphyton</w:t>
      </w:r>
      <w:proofErr w:type="spellEnd"/>
      <w:r>
        <w:t xml:space="preserve"> Chlorophyll a., Ash Free Dry Mass and their ratio plotted against light measured with fluorescein vials.</w:t>
      </w:r>
    </w:p>
    <w:p w14:paraId="4F9993CA" w14:textId="77777777" w:rsidR="00975C86" w:rsidRDefault="00975C86" w:rsidP="00975C86">
      <w:pPr>
        <w:jc w:val="center"/>
      </w:pPr>
    </w:p>
    <w:p w14:paraId="51C78F4A" w14:textId="77777777" w:rsidR="00975C86" w:rsidRDefault="002F47E4" w:rsidP="00975C86">
      <w:pPr>
        <w:jc w:val="center"/>
      </w:pPr>
      <w:r>
        <w:rPr>
          <w:noProof/>
        </w:rPr>
        <w:drawing>
          <wp:inline distT="0" distB="0" distL="0" distR="0" wp14:anchorId="316546D0" wp14:editId="155A57C2">
            <wp:extent cx="6858000" cy="41910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191000"/>
                    </a:xfrm>
                    <a:prstGeom prst="rect">
                      <a:avLst/>
                    </a:prstGeom>
                    <a:noFill/>
                    <a:ln>
                      <a:noFill/>
                    </a:ln>
                  </pic:spPr>
                </pic:pic>
              </a:graphicData>
            </a:graphic>
          </wp:inline>
        </w:drawing>
      </w:r>
    </w:p>
    <w:p w14:paraId="6FD0DABA" w14:textId="77777777" w:rsidR="00560E98" w:rsidRDefault="00560E98" w:rsidP="00975C86">
      <w:pPr>
        <w:rPr>
          <w:b/>
          <w:u w:val="single"/>
        </w:rPr>
      </w:pPr>
    </w:p>
    <w:p w14:paraId="3A641166" w14:textId="77777777" w:rsidR="00560E98" w:rsidRDefault="00560E98" w:rsidP="00975C86">
      <w:pPr>
        <w:rPr>
          <w:b/>
          <w:u w:val="single"/>
        </w:rPr>
      </w:pPr>
    </w:p>
    <w:p w14:paraId="2BFC4B66" w14:textId="77777777" w:rsidR="00560E98" w:rsidRDefault="00560E98" w:rsidP="00975C86">
      <w:pPr>
        <w:rPr>
          <w:b/>
          <w:u w:val="single"/>
        </w:rPr>
      </w:pPr>
    </w:p>
    <w:p w14:paraId="08E55DA0" w14:textId="77777777" w:rsidR="00560E98" w:rsidRDefault="00560E98" w:rsidP="00975C86">
      <w:pPr>
        <w:rPr>
          <w:b/>
          <w:u w:val="single"/>
        </w:rPr>
      </w:pPr>
    </w:p>
    <w:p w14:paraId="6245873C" w14:textId="77777777" w:rsidR="00560E98" w:rsidRDefault="00560E98" w:rsidP="00975C86">
      <w:pPr>
        <w:rPr>
          <w:b/>
          <w:u w:val="single"/>
        </w:rPr>
      </w:pPr>
    </w:p>
    <w:p w14:paraId="2061E6E9" w14:textId="77777777" w:rsidR="00560E98" w:rsidRDefault="00560E98" w:rsidP="00975C86">
      <w:pPr>
        <w:rPr>
          <w:b/>
          <w:u w:val="single"/>
        </w:rPr>
      </w:pPr>
    </w:p>
    <w:p w14:paraId="66E43183" w14:textId="77777777" w:rsidR="00560E98" w:rsidRDefault="00560E98" w:rsidP="00975C86">
      <w:pPr>
        <w:rPr>
          <w:b/>
          <w:u w:val="single"/>
        </w:rPr>
      </w:pPr>
    </w:p>
    <w:p w14:paraId="5B4C699F" w14:textId="77777777" w:rsidR="00975C86" w:rsidRDefault="00975C86" w:rsidP="00975C86">
      <w:pPr>
        <w:rPr>
          <w:b/>
          <w:u w:val="single"/>
        </w:rPr>
      </w:pPr>
      <w:r>
        <w:rPr>
          <w:b/>
          <w:u w:val="single"/>
        </w:rPr>
        <w:t>Nutrient Cycling</w:t>
      </w:r>
    </w:p>
    <w:p w14:paraId="1D7CDC58" w14:textId="77777777" w:rsidR="00560E98" w:rsidRDefault="00560E98" w:rsidP="00975C86">
      <w:pPr>
        <w:rPr>
          <w:b/>
          <w:u w:val="single"/>
        </w:rPr>
      </w:pPr>
    </w:p>
    <w:p w14:paraId="5A1DDECE" w14:textId="77777777" w:rsidR="00975C86" w:rsidRPr="00375912" w:rsidRDefault="00975C86" w:rsidP="00975C86">
      <w:pPr>
        <w:rPr>
          <w:i/>
        </w:rPr>
      </w:pPr>
      <w:r>
        <w:rPr>
          <w:i/>
        </w:rPr>
        <w:t>We then asked whether</w:t>
      </w:r>
      <w:r w:rsidRPr="00AD7B9D">
        <w:rPr>
          <w:i/>
        </w:rPr>
        <w:t xml:space="preserve"> increased light </w:t>
      </w:r>
      <w:r>
        <w:rPr>
          <w:i/>
        </w:rPr>
        <w:t xml:space="preserve">with an associated increase in primary production lead to differences in stream nutrient cycling?  </w:t>
      </w:r>
      <w:r w:rsidRPr="00375912">
        <w:rPr>
          <w:i/>
        </w:rPr>
        <w:t>We focus here on Nitrate uptake during the day versus uptake during the night to explicitly evaluate the role of primary producers on nutrient demand.</w:t>
      </w:r>
    </w:p>
    <w:p w14:paraId="46F95F93" w14:textId="77777777" w:rsidR="00975C86" w:rsidRDefault="00975C86" w:rsidP="00975C86"/>
    <w:p w14:paraId="67D462F7" w14:textId="77777777" w:rsidR="00975C86" w:rsidRDefault="002F47E4" w:rsidP="00DB6D47">
      <w:r>
        <w:t>Figure 7</w:t>
      </w:r>
      <w:r w:rsidR="00975C86">
        <w:t>: Uptake velocity data from day/night nutrient releases on McRae Tributary</w:t>
      </w:r>
    </w:p>
    <w:p w14:paraId="59E59264" w14:textId="77777777" w:rsidR="00ED4297" w:rsidRDefault="00DB6D47" w:rsidP="00ED4297">
      <w:pPr>
        <w:jc w:val="center"/>
      </w:pPr>
      <w:r>
        <w:rPr>
          <w:noProof/>
        </w:rPr>
        <w:drawing>
          <wp:inline distT="0" distB="0" distL="0" distR="0" wp14:anchorId="45E557D0" wp14:editId="0A669218">
            <wp:extent cx="5067300" cy="3302517"/>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302517"/>
                    </a:xfrm>
                    <a:prstGeom prst="rect">
                      <a:avLst/>
                    </a:prstGeom>
                    <a:noFill/>
                    <a:ln>
                      <a:noFill/>
                    </a:ln>
                  </pic:spPr>
                </pic:pic>
              </a:graphicData>
            </a:graphic>
          </wp:inline>
        </w:drawing>
      </w:r>
    </w:p>
    <w:p w14:paraId="572DFF69" w14:textId="77777777" w:rsidR="00DB6D47" w:rsidRDefault="00DB6D47" w:rsidP="00ED4297">
      <w:pPr>
        <w:jc w:val="center"/>
      </w:pPr>
    </w:p>
    <w:p w14:paraId="1AAC4D5E" w14:textId="77777777" w:rsidR="00ED4297" w:rsidRDefault="00ED4297" w:rsidP="00ED4297">
      <w:pPr>
        <w:rPr>
          <w:b/>
          <w:u w:val="single"/>
        </w:rPr>
      </w:pPr>
      <w:r>
        <w:rPr>
          <w:b/>
          <w:u w:val="single"/>
        </w:rPr>
        <w:t>Increased Vertebrate Predators</w:t>
      </w:r>
    </w:p>
    <w:p w14:paraId="5F20CA0A" w14:textId="77777777" w:rsidR="00560E98" w:rsidRDefault="00560E98" w:rsidP="00ED4297">
      <w:pPr>
        <w:rPr>
          <w:b/>
          <w:u w:val="single"/>
        </w:rPr>
      </w:pPr>
    </w:p>
    <w:p w14:paraId="07F3D8FF" w14:textId="77777777" w:rsidR="00ED4297" w:rsidRPr="00A3346C" w:rsidRDefault="00ED4297" w:rsidP="00ED4297">
      <w:pPr>
        <w:rPr>
          <w:sz w:val="22"/>
          <w:szCs w:val="22"/>
        </w:rPr>
      </w:pPr>
      <w:r>
        <w:rPr>
          <w:i/>
        </w:rPr>
        <w:t xml:space="preserve">We then ask the question: </w:t>
      </w:r>
      <w:r w:rsidRPr="00A3346C">
        <w:rPr>
          <w:i/>
        </w:rPr>
        <w:t>Does greater primary production lead to measurably greater secondary production?</w:t>
      </w:r>
      <w:r>
        <w:rPr>
          <w:b/>
          <w:u w:val="single"/>
        </w:rPr>
        <w:t xml:space="preserve">  </w:t>
      </w:r>
      <w:r w:rsidRPr="00A3346C">
        <w:rPr>
          <w:sz w:val="22"/>
          <w:szCs w:val="22"/>
        </w:rPr>
        <w:t xml:space="preserve">Note: it is a LOT of work to truly measure secondary production so we are using </w:t>
      </w:r>
      <w:r>
        <w:rPr>
          <w:sz w:val="22"/>
          <w:szCs w:val="22"/>
        </w:rPr>
        <w:t xml:space="preserve">measures of the abundance and </w:t>
      </w:r>
      <w:r w:rsidRPr="00A3346C">
        <w:rPr>
          <w:sz w:val="22"/>
          <w:szCs w:val="22"/>
        </w:rPr>
        <w:t xml:space="preserve">biomass </w:t>
      </w:r>
      <w:r w:rsidRPr="00EF6F88">
        <w:rPr>
          <w:sz w:val="22"/>
          <w:szCs w:val="22"/>
        </w:rPr>
        <w:t>of</w:t>
      </w:r>
      <w:r w:rsidRPr="00A3346C">
        <w:rPr>
          <w:sz w:val="22"/>
          <w:szCs w:val="22"/>
        </w:rPr>
        <w:t xml:space="preserve"> top predator</w:t>
      </w:r>
      <w:r>
        <w:rPr>
          <w:sz w:val="22"/>
          <w:szCs w:val="22"/>
        </w:rPr>
        <w:t>s</w:t>
      </w:r>
      <w:r w:rsidRPr="00A3346C">
        <w:rPr>
          <w:sz w:val="22"/>
          <w:szCs w:val="22"/>
        </w:rPr>
        <w:t xml:space="preserve"> as a proxy</w:t>
      </w:r>
      <w:r w:rsidRPr="00EF6F88">
        <w:rPr>
          <w:sz w:val="22"/>
          <w:szCs w:val="22"/>
        </w:rPr>
        <w:t>/first-</w:t>
      </w:r>
      <w:r w:rsidRPr="00A3346C">
        <w:rPr>
          <w:sz w:val="22"/>
          <w:szCs w:val="22"/>
        </w:rPr>
        <w:t xml:space="preserve">cut look at a potential </w:t>
      </w:r>
      <w:r>
        <w:rPr>
          <w:sz w:val="22"/>
          <w:szCs w:val="22"/>
        </w:rPr>
        <w:t>relationship between forests structure and</w:t>
      </w:r>
      <w:r w:rsidRPr="00A3346C">
        <w:rPr>
          <w:sz w:val="22"/>
          <w:szCs w:val="22"/>
        </w:rPr>
        <w:t xml:space="preserve"> secondary production</w:t>
      </w:r>
    </w:p>
    <w:p w14:paraId="30D86FAD" w14:textId="77777777" w:rsidR="00ED4297" w:rsidRDefault="00ED4297" w:rsidP="00ED4297">
      <w:pPr>
        <w:rPr>
          <w:b/>
          <w:u w:val="single"/>
        </w:rPr>
      </w:pPr>
    </w:p>
    <w:p w14:paraId="7A410CCC" w14:textId="77777777" w:rsidR="00ED4297" w:rsidRPr="0090488D" w:rsidRDefault="002F47E4" w:rsidP="00ED4297">
      <w:r>
        <w:t>Figure 8</w:t>
      </w:r>
      <w:r w:rsidR="00ED4297" w:rsidRPr="0090488D">
        <w:t xml:space="preserve">: Vertebrate biomass </w:t>
      </w:r>
      <w:r w:rsidR="00ED4297">
        <w:t xml:space="preserve">estimates </w:t>
      </w:r>
      <w:r w:rsidR="00ED4297" w:rsidRPr="0090488D">
        <w:t>at two paired reaches</w:t>
      </w:r>
    </w:p>
    <w:p w14:paraId="2C94DCDB" w14:textId="77777777" w:rsidR="00ED4297" w:rsidRDefault="00ED4297" w:rsidP="00ED4297">
      <w:r>
        <w:rPr>
          <w:b/>
          <w:noProof/>
          <w:u w:val="single"/>
        </w:rPr>
        <w:drawing>
          <wp:inline distT="0" distB="0" distL="0" distR="0" wp14:anchorId="1BFF59CB" wp14:editId="2E2487A1">
            <wp:extent cx="5943600" cy="251714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7140"/>
                    </a:xfrm>
                    <a:prstGeom prst="rect">
                      <a:avLst/>
                    </a:prstGeom>
                    <a:noFill/>
                    <a:ln>
                      <a:noFill/>
                    </a:ln>
                  </pic:spPr>
                </pic:pic>
              </a:graphicData>
            </a:graphic>
          </wp:inline>
        </w:drawing>
      </w:r>
    </w:p>
    <w:p w14:paraId="65E98304" w14:textId="77777777" w:rsidR="00ED4297" w:rsidRDefault="00ED4297" w:rsidP="00ED4297"/>
    <w:p w14:paraId="4A5418E7" w14:textId="77777777" w:rsidR="00560E98" w:rsidRDefault="00560E98" w:rsidP="00ED4297"/>
    <w:p w14:paraId="174C37B4" w14:textId="77777777" w:rsidR="00560E98" w:rsidRDefault="00560E98" w:rsidP="00ED4297"/>
    <w:p w14:paraId="6201A970" w14:textId="77777777" w:rsidR="00ED4297" w:rsidRPr="0090488D" w:rsidRDefault="002F47E4" w:rsidP="00ED4297">
      <w:r>
        <w:t>Figure 9</w:t>
      </w:r>
      <w:r w:rsidR="00ED4297" w:rsidRPr="0090488D">
        <w:t>: Vertebrate population estimates at two paired reaches</w:t>
      </w:r>
    </w:p>
    <w:p w14:paraId="74CE1E9A" w14:textId="77777777" w:rsidR="00ED4297" w:rsidRDefault="00ED4297" w:rsidP="00ED4297">
      <w:r>
        <w:rPr>
          <w:b/>
          <w:noProof/>
          <w:u w:val="single"/>
        </w:rPr>
        <w:drawing>
          <wp:inline distT="0" distB="0" distL="0" distR="0" wp14:anchorId="4A73FEE2" wp14:editId="5F06044F">
            <wp:extent cx="4597400" cy="27686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400" cy="2768600"/>
                    </a:xfrm>
                    <a:prstGeom prst="rect">
                      <a:avLst/>
                    </a:prstGeom>
                    <a:noFill/>
                    <a:ln>
                      <a:noFill/>
                    </a:ln>
                  </pic:spPr>
                </pic:pic>
              </a:graphicData>
            </a:graphic>
          </wp:inline>
        </w:drawing>
      </w:r>
    </w:p>
    <w:p w14:paraId="2278EFE2" w14:textId="77777777" w:rsidR="00DB6D47" w:rsidRDefault="00DB6D47" w:rsidP="00ED4297"/>
    <w:p w14:paraId="14978759" w14:textId="77777777" w:rsidR="00DB6D47" w:rsidRDefault="00DB6D47" w:rsidP="00ED4297">
      <w:r>
        <w:t xml:space="preserve">Table 1: Average sizes of Cutthroat and Salamanders in paired reaches. </w:t>
      </w:r>
    </w:p>
    <w:tbl>
      <w:tblPr>
        <w:tblStyle w:val="TableGrid"/>
        <w:tblW w:w="0" w:type="auto"/>
        <w:tblLook w:val="04A0" w:firstRow="1" w:lastRow="0" w:firstColumn="1" w:lastColumn="0" w:noHBand="0" w:noVBand="1"/>
      </w:tblPr>
      <w:tblGrid>
        <w:gridCol w:w="2358"/>
        <w:gridCol w:w="1980"/>
        <w:gridCol w:w="1926"/>
        <w:gridCol w:w="2088"/>
        <w:gridCol w:w="2088"/>
      </w:tblGrid>
      <w:tr w:rsidR="00ED4297" w:rsidRPr="0090488D" w14:paraId="76D4625D" w14:textId="77777777" w:rsidTr="00ED4297">
        <w:tc>
          <w:tcPr>
            <w:tcW w:w="2358" w:type="dxa"/>
          </w:tcPr>
          <w:p w14:paraId="1430176F" w14:textId="77777777" w:rsidR="00ED4297" w:rsidRPr="0090488D" w:rsidRDefault="00ED4297" w:rsidP="00ED4297">
            <w:r w:rsidRPr="0090488D">
              <w:t>Average Biomass (g)</w:t>
            </w:r>
          </w:p>
        </w:tc>
        <w:tc>
          <w:tcPr>
            <w:tcW w:w="1980" w:type="dxa"/>
          </w:tcPr>
          <w:p w14:paraId="13FFB659" w14:textId="77777777" w:rsidR="00ED4297" w:rsidRPr="0090488D" w:rsidRDefault="00ED4297" w:rsidP="00ED4297">
            <w:r w:rsidRPr="0090488D">
              <w:t xml:space="preserve">McRae </w:t>
            </w:r>
            <w:proofErr w:type="spellStart"/>
            <w:r w:rsidRPr="0090488D">
              <w:t>Trib</w:t>
            </w:r>
            <w:proofErr w:type="spellEnd"/>
            <w:r w:rsidRPr="0090488D">
              <w:t xml:space="preserve"> 2</w:t>
            </w:r>
            <w:r w:rsidRPr="0090488D">
              <w:rPr>
                <w:vertAlign w:val="superscript"/>
              </w:rPr>
              <w:t>nd</w:t>
            </w:r>
            <w:r w:rsidRPr="0090488D">
              <w:t xml:space="preserve"> G</w:t>
            </w:r>
          </w:p>
        </w:tc>
        <w:tc>
          <w:tcPr>
            <w:tcW w:w="1926" w:type="dxa"/>
          </w:tcPr>
          <w:p w14:paraId="54033093" w14:textId="77777777" w:rsidR="00ED4297" w:rsidRPr="0090488D" w:rsidRDefault="00ED4297" w:rsidP="00ED4297">
            <w:r w:rsidRPr="0090488D">
              <w:t xml:space="preserve">McRae </w:t>
            </w:r>
            <w:proofErr w:type="spellStart"/>
            <w:r w:rsidRPr="0090488D">
              <w:t>Trib</w:t>
            </w:r>
            <w:proofErr w:type="spellEnd"/>
            <w:r w:rsidRPr="0090488D">
              <w:t xml:space="preserve"> OG</w:t>
            </w:r>
          </w:p>
        </w:tc>
        <w:tc>
          <w:tcPr>
            <w:tcW w:w="2088" w:type="dxa"/>
          </w:tcPr>
          <w:p w14:paraId="196B52BE" w14:textId="77777777" w:rsidR="00ED4297" w:rsidRPr="0090488D" w:rsidRDefault="00ED4297" w:rsidP="00ED4297">
            <w:r w:rsidRPr="0090488D">
              <w:t>STREON 2</w:t>
            </w:r>
            <w:r w:rsidRPr="0090488D">
              <w:rPr>
                <w:vertAlign w:val="superscript"/>
              </w:rPr>
              <w:t>nd</w:t>
            </w:r>
            <w:r w:rsidRPr="0090488D">
              <w:t xml:space="preserve"> G</w:t>
            </w:r>
          </w:p>
        </w:tc>
        <w:tc>
          <w:tcPr>
            <w:tcW w:w="2088" w:type="dxa"/>
          </w:tcPr>
          <w:p w14:paraId="4552069C" w14:textId="77777777" w:rsidR="00ED4297" w:rsidRPr="0090488D" w:rsidRDefault="00ED4297" w:rsidP="00ED4297">
            <w:r w:rsidRPr="0090488D">
              <w:t>STREON OG</w:t>
            </w:r>
          </w:p>
        </w:tc>
      </w:tr>
      <w:tr w:rsidR="00ED4297" w:rsidRPr="0090488D" w14:paraId="1EE52060" w14:textId="77777777" w:rsidTr="00ED4297">
        <w:tc>
          <w:tcPr>
            <w:tcW w:w="2358" w:type="dxa"/>
          </w:tcPr>
          <w:p w14:paraId="4CCE85DE" w14:textId="77777777" w:rsidR="00ED4297" w:rsidRPr="0090488D" w:rsidRDefault="00ED4297" w:rsidP="00ED4297">
            <w:r w:rsidRPr="0090488D">
              <w:t>Cutthroat Total</w:t>
            </w:r>
          </w:p>
        </w:tc>
        <w:tc>
          <w:tcPr>
            <w:tcW w:w="1980" w:type="dxa"/>
          </w:tcPr>
          <w:p w14:paraId="29F267B2" w14:textId="77777777" w:rsidR="00ED4297" w:rsidRPr="0090488D" w:rsidRDefault="00ED4297" w:rsidP="00ED4297">
            <w:r w:rsidRPr="0090488D">
              <w:t>8.74</w:t>
            </w:r>
          </w:p>
        </w:tc>
        <w:tc>
          <w:tcPr>
            <w:tcW w:w="1926" w:type="dxa"/>
          </w:tcPr>
          <w:p w14:paraId="5380ED88" w14:textId="77777777" w:rsidR="00ED4297" w:rsidRPr="0090488D" w:rsidRDefault="00ED4297" w:rsidP="00ED4297">
            <w:r w:rsidRPr="0090488D">
              <w:t>8.30</w:t>
            </w:r>
          </w:p>
        </w:tc>
        <w:tc>
          <w:tcPr>
            <w:tcW w:w="2088" w:type="dxa"/>
          </w:tcPr>
          <w:p w14:paraId="14255A64" w14:textId="77777777" w:rsidR="00ED4297" w:rsidRPr="0090488D" w:rsidRDefault="00ED4297" w:rsidP="00ED4297">
            <w:r w:rsidRPr="0090488D">
              <w:t>8.77</w:t>
            </w:r>
          </w:p>
        </w:tc>
        <w:tc>
          <w:tcPr>
            <w:tcW w:w="2088" w:type="dxa"/>
          </w:tcPr>
          <w:p w14:paraId="78097BF3" w14:textId="77777777" w:rsidR="00ED4297" w:rsidRPr="0090488D" w:rsidRDefault="00ED4297" w:rsidP="00ED4297">
            <w:r w:rsidRPr="0090488D">
              <w:t>12.25</w:t>
            </w:r>
          </w:p>
        </w:tc>
      </w:tr>
      <w:tr w:rsidR="00ED4297" w:rsidRPr="0090488D" w14:paraId="19A8C660" w14:textId="77777777" w:rsidTr="00ED4297">
        <w:tc>
          <w:tcPr>
            <w:tcW w:w="2358" w:type="dxa"/>
          </w:tcPr>
          <w:p w14:paraId="5717C988" w14:textId="77777777" w:rsidR="00ED4297" w:rsidRPr="0090488D" w:rsidRDefault="00ED4297" w:rsidP="00ED4297">
            <w:r w:rsidRPr="0090488D">
              <w:t>Cutthroat &gt;50 cm</w:t>
            </w:r>
          </w:p>
        </w:tc>
        <w:tc>
          <w:tcPr>
            <w:tcW w:w="1980" w:type="dxa"/>
          </w:tcPr>
          <w:p w14:paraId="469B4B42" w14:textId="77777777" w:rsidR="00ED4297" w:rsidRPr="0090488D" w:rsidRDefault="00ED4297" w:rsidP="00ED4297">
            <w:r w:rsidRPr="0090488D">
              <w:t>10.51</w:t>
            </w:r>
          </w:p>
        </w:tc>
        <w:tc>
          <w:tcPr>
            <w:tcW w:w="1926" w:type="dxa"/>
          </w:tcPr>
          <w:p w14:paraId="4EA30F8C" w14:textId="77777777" w:rsidR="00ED4297" w:rsidRPr="0090488D" w:rsidRDefault="00ED4297" w:rsidP="00ED4297">
            <w:r w:rsidRPr="0090488D">
              <w:t>10.76</w:t>
            </w:r>
          </w:p>
        </w:tc>
        <w:tc>
          <w:tcPr>
            <w:tcW w:w="2088" w:type="dxa"/>
          </w:tcPr>
          <w:p w14:paraId="60984F44" w14:textId="77777777" w:rsidR="00ED4297" w:rsidRPr="0090488D" w:rsidRDefault="00ED4297" w:rsidP="00ED4297">
            <w:r w:rsidRPr="0090488D">
              <w:t>17.08</w:t>
            </w:r>
          </w:p>
        </w:tc>
        <w:tc>
          <w:tcPr>
            <w:tcW w:w="2088" w:type="dxa"/>
          </w:tcPr>
          <w:p w14:paraId="4E25C2A3" w14:textId="77777777" w:rsidR="00ED4297" w:rsidRPr="0090488D" w:rsidRDefault="00ED4297" w:rsidP="00ED4297">
            <w:r w:rsidRPr="0090488D">
              <w:t>18.29</w:t>
            </w:r>
          </w:p>
        </w:tc>
      </w:tr>
      <w:tr w:rsidR="00ED4297" w:rsidRPr="0090488D" w14:paraId="4F76F778" w14:textId="77777777" w:rsidTr="00ED4297">
        <w:tc>
          <w:tcPr>
            <w:tcW w:w="2358" w:type="dxa"/>
          </w:tcPr>
          <w:p w14:paraId="7ACF1E93" w14:textId="77777777" w:rsidR="00ED4297" w:rsidRPr="0090488D" w:rsidRDefault="00ED4297" w:rsidP="00ED4297">
            <w:r w:rsidRPr="0090488D">
              <w:t>Cutthroat &lt;50 cm</w:t>
            </w:r>
          </w:p>
        </w:tc>
        <w:tc>
          <w:tcPr>
            <w:tcW w:w="1980" w:type="dxa"/>
          </w:tcPr>
          <w:p w14:paraId="76D4D51A" w14:textId="77777777" w:rsidR="00ED4297" w:rsidRPr="0090488D" w:rsidRDefault="00ED4297" w:rsidP="00ED4297">
            <w:r w:rsidRPr="0090488D">
              <w:t>.255</w:t>
            </w:r>
          </w:p>
        </w:tc>
        <w:tc>
          <w:tcPr>
            <w:tcW w:w="1926" w:type="dxa"/>
          </w:tcPr>
          <w:p w14:paraId="5E002F45" w14:textId="77777777" w:rsidR="00ED4297" w:rsidRPr="0090488D" w:rsidRDefault="00ED4297" w:rsidP="00ED4297">
            <w:r w:rsidRPr="0090488D">
              <w:t>.33</w:t>
            </w:r>
          </w:p>
        </w:tc>
        <w:tc>
          <w:tcPr>
            <w:tcW w:w="2088" w:type="dxa"/>
          </w:tcPr>
          <w:p w14:paraId="48224867" w14:textId="77777777" w:rsidR="00ED4297" w:rsidRPr="0090488D" w:rsidRDefault="00ED4297" w:rsidP="00ED4297">
            <w:r w:rsidRPr="0090488D">
              <w:t>.15</w:t>
            </w:r>
          </w:p>
        </w:tc>
        <w:tc>
          <w:tcPr>
            <w:tcW w:w="2088" w:type="dxa"/>
          </w:tcPr>
          <w:p w14:paraId="66406531" w14:textId="77777777" w:rsidR="00ED4297" w:rsidRPr="0090488D" w:rsidRDefault="00ED4297" w:rsidP="00ED4297">
            <w:r w:rsidRPr="0090488D">
              <w:t>.17</w:t>
            </w:r>
          </w:p>
        </w:tc>
      </w:tr>
      <w:tr w:rsidR="00ED4297" w:rsidRPr="0090488D" w14:paraId="1E511534" w14:textId="77777777" w:rsidTr="00ED4297">
        <w:tc>
          <w:tcPr>
            <w:tcW w:w="2358" w:type="dxa"/>
          </w:tcPr>
          <w:p w14:paraId="22009B4D" w14:textId="77777777" w:rsidR="00ED4297" w:rsidRPr="0090488D" w:rsidRDefault="00ED4297" w:rsidP="00ED4297">
            <w:r w:rsidRPr="0090488D">
              <w:t>Salamanders</w:t>
            </w:r>
          </w:p>
        </w:tc>
        <w:tc>
          <w:tcPr>
            <w:tcW w:w="1980" w:type="dxa"/>
          </w:tcPr>
          <w:p w14:paraId="0C52913F" w14:textId="77777777" w:rsidR="00ED4297" w:rsidRPr="0090488D" w:rsidRDefault="00ED4297" w:rsidP="00ED4297">
            <w:r w:rsidRPr="0090488D">
              <w:t>7.65</w:t>
            </w:r>
          </w:p>
        </w:tc>
        <w:tc>
          <w:tcPr>
            <w:tcW w:w="1926" w:type="dxa"/>
          </w:tcPr>
          <w:p w14:paraId="569AE12C" w14:textId="77777777" w:rsidR="00ED4297" w:rsidRPr="0090488D" w:rsidRDefault="00ED4297" w:rsidP="00ED4297">
            <w:r w:rsidRPr="0090488D">
              <w:t>7.25</w:t>
            </w:r>
          </w:p>
        </w:tc>
        <w:tc>
          <w:tcPr>
            <w:tcW w:w="2088" w:type="dxa"/>
          </w:tcPr>
          <w:p w14:paraId="0EBD332C" w14:textId="77777777" w:rsidR="00ED4297" w:rsidRPr="0090488D" w:rsidRDefault="00ED4297" w:rsidP="00ED4297">
            <w:r w:rsidRPr="0090488D">
              <w:t>19.86</w:t>
            </w:r>
          </w:p>
        </w:tc>
        <w:tc>
          <w:tcPr>
            <w:tcW w:w="2088" w:type="dxa"/>
          </w:tcPr>
          <w:p w14:paraId="0B60DED4" w14:textId="77777777" w:rsidR="00ED4297" w:rsidRPr="0090488D" w:rsidRDefault="00ED4297" w:rsidP="00ED4297">
            <w:r w:rsidRPr="0090488D">
              <w:t>21.39</w:t>
            </w:r>
          </w:p>
        </w:tc>
      </w:tr>
    </w:tbl>
    <w:p w14:paraId="27A7297C" w14:textId="77777777" w:rsidR="00ED4297" w:rsidRDefault="00ED4297" w:rsidP="00ED4297"/>
    <w:p w14:paraId="52EF395C" w14:textId="77777777" w:rsidR="00ED4297" w:rsidRDefault="00ED4297" w:rsidP="00ED4297">
      <w:pPr>
        <w:rPr>
          <w:b/>
          <w:u w:val="single"/>
        </w:rPr>
      </w:pPr>
      <w:r>
        <w:t>One of the issues here is that these streams also have differences in habitat, which have been shown to affect the abundance and biomass of fish.  So – we are also looking at fish growth and at the isotopic signature of young of year (fry) fish from these streams.</w:t>
      </w:r>
    </w:p>
    <w:p w14:paraId="3E786AEB" w14:textId="77777777" w:rsidR="00ED4297" w:rsidRDefault="00ED4297" w:rsidP="00ED4297">
      <w:pPr>
        <w:rPr>
          <w:b/>
          <w:u w:val="single"/>
        </w:rPr>
      </w:pPr>
    </w:p>
    <w:p w14:paraId="2CAA93D0" w14:textId="77777777" w:rsidR="00ED4297" w:rsidRDefault="00ED4297" w:rsidP="00ED4297">
      <w:pPr>
        <w:rPr>
          <w:b/>
          <w:u w:val="single"/>
        </w:rPr>
      </w:pPr>
      <w:r>
        <w:rPr>
          <w:b/>
          <w:u w:val="single"/>
        </w:rPr>
        <w:t>Fish Growth</w:t>
      </w:r>
    </w:p>
    <w:p w14:paraId="26F54F42" w14:textId="77777777" w:rsidR="00ED4297" w:rsidRDefault="00ED4297" w:rsidP="00ED4297">
      <w:pPr>
        <w:rPr>
          <w:b/>
          <w:u w:val="single"/>
        </w:rPr>
      </w:pPr>
    </w:p>
    <w:p w14:paraId="2BEE4F66" w14:textId="77777777" w:rsidR="00ED4297" w:rsidRDefault="00ED4297" w:rsidP="00ED4297">
      <w:r>
        <w:t>Fish are implanted with PIT tags allowing us to individually mark fish and measure growth over the summer. Will cutthroat growth rates be higher in old-growth reaches vs. second-growth reaches</w:t>
      </w:r>
      <w:proofErr w:type="gramStart"/>
      <w:r>
        <w:t>?...</w:t>
      </w:r>
      <w:proofErr w:type="gramEnd"/>
      <w:r>
        <w:t>Ask me in a few weeks.</w:t>
      </w:r>
    </w:p>
    <w:p w14:paraId="7068CD46" w14:textId="77777777" w:rsidR="00ED4297" w:rsidRDefault="00ED4297" w:rsidP="00ED4297"/>
    <w:p w14:paraId="7F97F2BB" w14:textId="77777777" w:rsidR="00ED4297" w:rsidRDefault="00ED4297" w:rsidP="00ED4297">
      <w:pPr>
        <w:rPr>
          <w:b/>
          <w:u w:val="single"/>
        </w:rPr>
      </w:pPr>
      <w:r>
        <w:rPr>
          <w:b/>
          <w:u w:val="single"/>
        </w:rPr>
        <w:t xml:space="preserve">Stable </w:t>
      </w:r>
      <w:r w:rsidRPr="00A3346C">
        <w:rPr>
          <w:b/>
          <w:u w:val="single"/>
        </w:rPr>
        <w:t>Isotopes</w:t>
      </w:r>
      <w:r>
        <w:rPr>
          <w:b/>
          <w:u w:val="single"/>
        </w:rPr>
        <w:t xml:space="preserve"> Signatures</w:t>
      </w:r>
    </w:p>
    <w:p w14:paraId="0347FD54" w14:textId="77777777" w:rsidR="00ED4297" w:rsidRPr="00A3346C" w:rsidRDefault="00ED4297" w:rsidP="00ED4297">
      <w:pPr>
        <w:rPr>
          <w:b/>
          <w:u w:val="single"/>
        </w:rPr>
      </w:pPr>
    </w:p>
    <w:p w14:paraId="7BCE29B2" w14:textId="73C1E21D" w:rsidR="00ED4297" w:rsidRDefault="00ED4297" w:rsidP="00ED4297">
      <w:r>
        <w:t xml:space="preserve">Carbon fixed in the terrestrial environment has a different </w:t>
      </w:r>
      <w:r w:rsidRPr="00A3346C">
        <w:rPr>
          <w:vertAlign w:val="superscript"/>
        </w:rPr>
        <w:t>13</w:t>
      </w:r>
      <w:r>
        <w:t>C</w:t>
      </w:r>
      <w:proofErr w:type="gramStart"/>
      <w:r>
        <w:t>:</w:t>
      </w:r>
      <w:r w:rsidRPr="00A3346C">
        <w:rPr>
          <w:vertAlign w:val="superscript"/>
        </w:rPr>
        <w:t>12</w:t>
      </w:r>
      <w:r>
        <w:t>C</w:t>
      </w:r>
      <w:proofErr w:type="gramEnd"/>
      <w:r>
        <w:t xml:space="preserve"> ratio than carbon fixed in aquatic environments.  If the base of the stream food-web is truly different in streams with different forest types, we should be able to see that in the </w:t>
      </w:r>
      <w:r w:rsidRPr="00AD7B9D">
        <w:rPr>
          <w:vertAlign w:val="superscript"/>
        </w:rPr>
        <w:t>13</w:t>
      </w:r>
      <w:r>
        <w:t>C</w:t>
      </w:r>
      <w:proofErr w:type="gramStart"/>
      <w:r>
        <w:t>:</w:t>
      </w:r>
      <w:r w:rsidRPr="00AD7B9D">
        <w:rPr>
          <w:vertAlign w:val="superscript"/>
        </w:rPr>
        <w:t>12</w:t>
      </w:r>
      <w:r>
        <w:t>C</w:t>
      </w:r>
      <w:proofErr w:type="gramEnd"/>
      <w:r>
        <w:t xml:space="preserve"> signature of young of year fish.  Why are we focusing on YOY </w:t>
      </w:r>
      <w:bookmarkStart w:id="0" w:name="_GoBack"/>
      <w:bookmarkEnd w:id="0"/>
      <w:r>
        <w:t xml:space="preserve">fish?  </w:t>
      </w:r>
      <w:proofErr w:type="gramStart"/>
      <w:r>
        <w:t>Because fish move in winter in these systems.</w:t>
      </w:r>
      <w:proofErr w:type="gramEnd"/>
      <w:r>
        <w:t xml:space="preserve"> </w:t>
      </w:r>
      <w:r w:rsidR="00D70EE2">
        <w:t xml:space="preserve"> The isotope signature in muscle</w:t>
      </w:r>
      <w:r>
        <w:t xml:space="preserve"> tissue integrates food resources and we therefore don't know how much of the signal </w:t>
      </w:r>
      <w:r w:rsidR="00D70EE2">
        <w:t xml:space="preserve">is </w:t>
      </w:r>
      <w:r>
        <w:t xml:space="preserve">a product of where we caught the fish.  In these systems, however, we are expecting limited YOY movement through the summer.  When looking at these fish in the fall, we can therefore assume that most of their current signature is a product of the food resources that they had available over the summer where we caught them (old-growth versus second-growth reaches).  Will we see a result suggesting greater influences of in-stream production on fish from with </w:t>
      </w:r>
      <w:proofErr w:type="gramStart"/>
      <w:r>
        <w:t>old-growth</w:t>
      </w:r>
      <w:proofErr w:type="gramEnd"/>
      <w:r>
        <w:t xml:space="preserve"> versus second-growth riparian forest reaches? Ask me in a few </w:t>
      </w:r>
      <w:proofErr w:type="gramStart"/>
      <w:r>
        <w:t>months.</w:t>
      </w:r>
      <w:proofErr w:type="gramEnd"/>
      <w:r>
        <w:t xml:space="preserve"> . .</w:t>
      </w:r>
    </w:p>
    <w:p w14:paraId="2F229BFC" w14:textId="77777777" w:rsidR="00ED4297" w:rsidRDefault="00ED4297" w:rsidP="00ED4297"/>
    <w:sectPr w:rsidR="00ED4297" w:rsidSect="00975C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07443"/>
    <w:multiLevelType w:val="hybridMultilevel"/>
    <w:tmpl w:val="DAAC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C86"/>
    <w:rsid w:val="000A635E"/>
    <w:rsid w:val="00180B76"/>
    <w:rsid w:val="002729D5"/>
    <w:rsid w:val="002F2E0B"/>
    <w:rsid w:val="002F47E4"/>
    <w:rsid w:val="003D2121"/>
    <w:rsid w:val="004F76EC"/>
    <w:rsid w:val="00560E98"/>
    <w:rsid w:val="005931EE"/>
    <w:rsid w:val="00791489"/>
    <w:rsid w:val="00975C86"/>
    <w:rsid w:val="00B55263"/>
    <w:rsid w:val="00D02542"/>
    <w:rsid w:val="00D069F1"/>
    <w:rsid w:val="00D70EE2"/>
    <w:rsid w:val="00DB6D47"/>
    <w:rsid w:val="00E1702D"/>
    <w:rsid w:val="00ED4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40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C86"/>
    <w:pPr>
      <w:ind w:left="720"/>
      <w:contextualSpacing/>
    </w:pPr>
  </w:style>
  <w:style w:type="paragraph" w:styleId="BalloonText">
    <w:name w:val="Balloon Text"/>
    <w:basedOn w:val="Normal"/>
    <w:link w:val="BalloonTextChar"/>
    <w:uiPriority w:val="99"/>
    <w:semiHidden/>
    <w:unhideWhenUsed/>
    <w:rsid w:val="00975C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C86"/>
    <w:rPr>
      <w:rFonts w:ascii="Lucida Grande" w:hAnsi="Lucida Grande" w:cs="Lucida Grande"/>
      <w:sz w:val="18"/>
      <w:szCs w:val="18"/>
    </w:rPr>
  </w:style>
  <w:style w:type="table" w:styleId="TableGrid">
    <w:name w:val="Table Grid"/>
    <w:basedOn w:val="TableNormal"/>
    <w:uiPriority w:val="59"/>
    <w:rsid w:val="00ED42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C86"/>
    <w:pPr>
      <w:ind w:left="720"/>
      <w:contextualSpacing/>
    </w:pPr>
  </w:style>
  <w:style w:type="paragraph" w:styleId="BalloonText">
    <w:name w:val="Balloon Text"/>
    <w:basedOn w:val="Normal"/>
    <w:link w:val="BalloonTextChar"/>
    <w:uiPriority w:val="99"/>
    <w:semiHidden/>
    <w:unhideWhenUsed/>
    <w:rsid w:val="00975C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5C86"/>
    <w:rPr>
      <w:rFonts w:ascii="Lucida Grande" w:hAnsi="Lucida Grande" w:cs="Lucida Grande"/>
      <w:sz w:val="18"/>
      <w:szCs w:val="18"/>
    </w:rPr>
  </w:style>
  <w:style w:type="table" w:styleId="TableGrid">
    <w:name w:val="Table Grid"/>
    <w:basedOn w:val="TableNormal"/>
    <w:uiPriority w:val="59"/>
    <w:rsid w:val="00ED42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49EFC-0756-054F-9BC1-94522E80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998</Words>
  <Characters>5691</Characters>
  <Application>Microsoft Macintosh Word</Application>
  <DocSecurity>0</DocSecurity>
  <Lines>47</Lines>
  <Paragraphs>13</Paragraphs>
  <ScaleCrop>false</ScaleCrop>
  <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Kaylor</dc:creator>
  <cp:keywords/>
  <dc:description/>
  <cp:lastModifiedBy>Matthew Kaylor</cp:lastModifiedBy>
  <cp:revision>4</cp:revision>
  <dcterms:created xsi:type="dcterms:W3CDTF">2013-09-18T15:30:00Z</dcterms:created>
  <dcterms:modified xsi:type="dcterms:W3CDTF">2013-09-19T14:55:00Z</dcterms:modified>
</cp:coreProperties>
</file>