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E529C" w14:textId="77777777" w:rsidR="004F76EC" w:rsidRPr="002C7CD1" w:rsidRDefault="00801ECB">
      <w:pPr>
        <w:rPr>
          <w:b/>
        </w:rPr>
      </w:pPr>
      <w:r w:rsidRPr="002C7CD1">
        <w:rPr>
          <w:b/>
          <w:u w:val="single"/>
        </w:rPr>
        <w:t>Project overview</w:t>
      </w:r>
      <w:r w:rsidRPr="002C7CD1">
        <w:rPr>
          <w:b/>
        </w:rPr>
        <w:t>:</w:t>
      </w:r>
    </w:p>
    <w:p w14:paraId="7493E0B1" w14:textId="77777777" w:rsidR="00801ECB" w:rsidRDefault="00801ECB"/>
    <w:p w14:paraId="681FE514" w14:textId="77777777" w:rsidR="00801ECB" w:rsidRDefault="00801ECB">
      <w:r>
        <w:t>Investigating how riparian forest structure (second-growth vs. old-growth) influence light and bottom up drivers in first-third order streams.</w:t>
      </w:r>
    </w:p>
    <w:p w14:paraId="2AA416FE" w14:textId="77777777" w:rsidR="00801ECB" w:rsidRDefault="00801ECB"/>
    <w:p w14:paraId="7412E93C" w14:textId="77777777" w:rsidR="00801ECB" w:rsidRDefault="00801ECB">
      <w:r>
        <w:t>Hypothesis: Old-growth riparian forests allow more light to reach the stream benthos than second-growth riparian forest resulting in increased primary production leading to increased secondary production and predator (Cutthroat trout) biomass and growth rates.</w:t>
      </w:r>
    </w:p>
    <w:p w14:paraId="148A9045" w14:textId="77777777" w:rsidR="00801ECB" w:rsidRDefault="00801ECB"/>
    <w:p w14:paraId="22CD6915" w14:textId="77777777" w:rsidR="00801ECB" w:rsidRPr="002C7CD1" w:rsidRDefault="00801ECB">
      <w:pPr>
        <w:rPr>
          <w:b/>
        </w:rPr>
      </w:pPr>
      <w:r w:rsidRPr="002C7CD1">
        <w:rPr>
          <w:b/>
          <w:u w:val="single"/>
        </w:rPr>
        <w:t>Premise for study</w:t>
      </w:r>
      <w:r w:rsidRPr="002C7CD1">
        <w:rPr>
          <w:b/>
        </w:rPr>
        <w:t xml:space="preserve">: </w:t>
      </w:r>
    </w:p>
    <w:p w14:paraId="3D44FF14" w14:textId="77777777" w:rsidR="00801ECB" w:rsidRDefault="00801ECB"/>
    <w:p w14:paraId="1AFA81CD" w14:textId="77777777" w:rsidR="0009244A" w:rsidRDefault="00801ECB">
      <w:r>
        <w:t>Studies have shown riparian clear-cuts can result in</w:t>
      </w:r>
      <w:r w:rsidR="002C100A">
        <w:t xml:space="preserve"> an obvious increase in solar radiation and</w:t>
      </w:r>
      <w:r w:rsidR="0009244A">
        <w:t xml:space="preserve"> short-term</w:t>
      </w:r>
      <w:r>
        <w:t xml:space="preserve"> increased</w:t>
      </w:r>
      <w:r w:rsidR="0009244A">
        <w:t xml:space="preserve"> primary production and</w:t>
      </w:r>
      <w:r>
        <w:t xml:space="preserve"> </w:t>
      </w:r>
      <w:r w:rsidR="0009244A">
        <w:t xml:space="preserve">predator </w:t>
      </w:r>
      <w:proofErr w:type="gramStart"/>
      <w:r w:rsidR="0009244A">
        <w:t>biomass…..but</w:t>
      </w:r>
      <w:proofErr w:type="gramEnd"/>
      <w:r w:rsidR="0009244A">
        <w:t xml:space="preserve"> </w:t>
      </w:r>
      <w:r w:rsidR="002C100A">
        <w:t>negative impacts include</w:t>
      </w:r>
    </w:p>
    <w:p w14:paraId="17525FA8" w14:textId="6280F468" w:rsidR="0009244A" w:rsidRDefault="00D82425" w:rsidP="0009244A">
      <w:pPr>
        <w:pStyle w:val="ListParagraph"/>
        <w:numPr>
          <w:ilvl w:val="0"/>
          <w:numId w:val="1"/>
        </w:numPr>
      </w:pPr>
      <w:r>
        <w:t>Increased stream temperature, impacting down stream sites in addition</w:t>
      </w:r>
    </w:p>
    <w:p w14:paraId="4E2C5CC3" w14:textId="77777777" w:rsidR="0009244A" w:rsidRDefault="0009244A" w:rsidP="0009244A">
      <w:pPr>
        <w:pStyle w:val="ListParagraph"/>
        <w:numPr>
          <w:ilvl w:val="0"/>
          <w:numId w:val="1"/>
        </w:numPr>
      </w:pPr>
      <w:r>
        <w:t>Reduced Large Woody Debris (LWD)</w:t>
      </w:r>
    </w:p>
    <w:p w14:paraId="16EF8F8A" w14:textId="5AB897AC" w:rsidR="0009244A" w:rsidRDefault="002C100A" w:rsidP="0009244A">
      <w:pPr>
        <w:pStyle w:val="ListParagraph"/>
        <w:numPr>
          <w:ilvl w:val="0"/>
          <w:numId w:val="1"/>
        </w:numPr>
      </w:pPr>
      <w:r>
        <w:t>Reduction of in-stream</w:t>
      </w:r>
      <w:r w:rsidR="002D4630">
        <w:t xml:space="preserve"> habitat</w:t>
      </w:r>
      <w:r>
        <w:t xml:space="preserve"> and spawning habitat for </w:t>
      </w:r>
      <w:proofErr w:type="spellStart"/>
      <w:r>
        <w:t>salmonids</w:t>
      </w:r>
      <w:proofErr w:type="spellEnd"/>
      <w:r>
        <w:t xml:space="preserve"> </w:t>
      </w:r>
    </w:p>
    <w:p w14:paraId="7F626DC8" w14:textId="164B4EC4" w:rsidR="002C100A" w:rsidRDefault="002D4630" w:rsidP="0009244A">
      <w:pPr>
        <w:pStyle w:val="ListParagraph"/>
        <w:numPr>
          <w:ilvl w:val="0"/>
          <w:numId w:val="1"/>
        </w:numPr>
      </w:pPr>
      <w:r>
        <w:t>Quickly</w:t>
      </w:r>
      <w:r w:rsidR="002C100A">
        <w:t xml:space="preserve"> leading to second growth forests (</w:t>
      </w:r>
      <w:r>
        <w:t xml:space="preserve">Closed canopies with </w:t>
      </w:r>
      <w:r w:rsidR="002C100A">
        <w:t xml:space="preserve">less light </w:t>
      </w:r>
      <w:r>
        <w:t>&amp; primary production)</w:t>
      </w:r>
    </w:p>
    <w:p w14:paraId="7E1A8AE3" w14:textId="77777777" w:rsidR="002C100A" w:rsidRDefault="002C100A" w:rsidP="0009244A">
      <w:pPr>
        <w:pStyle w:val="ListParagraph"/>
        <w:numPr>
          <w:ilvl w:val="0"/>
          <w:numId w:val="1"/>
        </w:numPr>
      </w:pPr>
      <w:r>
        <w:t>Increased sedimentation and turbidity</w:t>
      </w:r>
    </w:p>
    <w:p w14:paraId="6219600F" w14:textId="07FD7564" w:rsidR="002D4630" w:rsidRDefault="002D4630" w:rsidP="0009244A">
      <w:pPr>
        <w:pStyle w:val="ListParagraph"/>
        <w:numPr>
          <w:ilvl w:val="0"/>
          <w:numId w:val="1"/>
        </w:numPr>
      </w:pPr>
      <w:r>
        <w:t>Overall negative impacts outweigh the short-term increased primary and secondary production</w:t>
      </w:r>
    </w:p>
    <w:p w14:paraId="5B4F22C5" w14:textId="77777777" w:rsidR="002C100A" w:rsidRDefault="002C100A" w:rsidP="002C100A"/>
    <w:p w14:paraId="05F5C699" w14:textId="1F48377E" w:rsidR="002C100A" w:rsidRDefault="002C100A" w:rsidP="002C100A">
      <w:r>
        <w:t xml:space="preserve">Old-Growth Forests typically have better habitat for </w:t>
      </w:r>
      <w:proofErr w:type="spellStart"/>
      <w:r>
        <w:t>salmonids</w:t>
      </w:r>
      <w:proofErr w:type="spellEnd"/>
      <w:r>
        <w:t xml:space="preserve"> due to Large Woody Debris. Many researchers tend to focus on the </w:t>
      </w:r>
      <w:proofErr w:type="spellStart"/>
      <w:r>
        <w:t>instream</w:t>
      </w:r>
      <w:proofErr w:type="spellEnd"/>
      <w:r>
        <w:t xml:space="preserve"> habitat and wood but do not consider the importance of the canopy gaps created when that wood fell into stream. </w:t>
      </w:r>
      <w:r w:rsidR="006539F7">
        <w:t>We believe these canopy ga</w:t>
      </w:r>
      <w:r w:rsidR="002D4630">
        <w:t>ps create productivity hotspots similar to small-scale clear-cuts. B</w:t>
      </w:r>
      <w:r w:rsidR="006539F7">
        <w:t xml:space="preserve">ut </w:t>
      </w:r>
      <w:r w:rsidR="002D4630">
        <w:t xml:space="preserve">are these gaps big enough to have an effect, and </w:t>
      </w:r>
      <w:r w:rsidR="006539F7">
        <w:t>do these “hotspots” lead to greater whole stream production?</w:t>
      </w:r>
    </w:p>
    <w:p w14:paraId="40D085B1" w14:textId="77777777" w:rsidR="002C100A" w:rsidRDefault="002C100A" w:rsidP="002C100A"/>
    <w:p w14:paraId="1AA5B44A" w14:textId="77777777" w:rsidR="002C100A" w:rsidRPr="002C7CD1" w:rsidRDefault="002C100A" w:rsidP="002C100A">
      <w:pPr>
        <w:rPr>
          <w:b/>
          <w:u w:val="single"/>
        </w:rPr>
      </w:pPr>
      <w:r w:rsidRPr="002C7CD1">
        <w:rPr>
          <w:b/>
          <w:u w:val="single"/>
        </w:rPr>
        <w:t>Increased Light</w:t>
      </w:r>
    </w:p>
    <w:p w14:paraId="62023E51" w14:textId="77777777" w:rsidR="002C100A" w:rsidRDefault="002C100A" w:rsidP="002C100A"/>
    <w:p w14:paraId="0B1D958D" w14:textId="77777777" w:rsidR="006539F7" w:rsidRDefault="00166B14" w:rsidP="002C100A">
      <w:r>
        <w:t xml:space="preserve">Figure 1: </w:t>
      </w:r>
      <w:r w:rsidR="006539F7">
        <w:t>Site 1 Fluorescein Vial data</w:t>
      </w:r>
    </w:p>
    <w:p w14:paraId="08FEF9D3" w14:textId="77777777" w:rsidR="006539F7" w:rsidRDefault="002C7CD1" w:rsidP="006539F7">
      <w:r>
        <w:rPr>
          <w:noProof/>
        </w:rPr>
        <w:drawing>
          <wp:inline distT="0" distB="0" distL="0" distR="0" wp14:anchorId="22B3DDD9" wp14:editId="69528547">
            <wp:extent cx="6492240" cy="1739117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73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A275" w14:textId="77777777" w:rsidR="002D4630" w:rsidRDefault="002D4630" w:rsidP="006539F7"/>
    <w:p w14:paraId="11B63980" w14:textId="77777777" w:rsidR="002D4630" w:rsidRDefault="002D4630" w:rsidP="006539F7"/>
    <w:p w14:paraId="16C8928F" w14:textId="77777777" w:rsidR="002D4630" w:rsidRDefault="002D4630" w:rsidP="006539F7"/>
    <w:p w14:paraId="27AB2E20" w14:textId="77777777" w:rsidR="002D4630" w:rsidRDefault="002D4630" w:rsidP="006539F7"/>
    <w:p w14:paraId="6D15419D" w14:textId="77777777" w:rsidR="002D4630" w:rsidRDefault="002D4630" w:rsidP="006539F7"/>
    <w:p w14:paraId="63830285" w14:textId="77777777" w:rsidR="002D4630" w:rsidRDefault="002D4630" w:rsidP="006539F7"/>
    <w:p w14:paraId="3404841B" w14:textId="77777777" w:rsidR="002D4630" w:rsidRDefault="002D4630" w:rsidP="006539F7"/>
    <w:p w14:paraId="2C4CC6D8" w14:textId="77777777" w:rsidR="002D4630" w:rsidRDefault="002D4630" w:rsidP="006539F7"/>
    <w:p w14:paraId="18750771" w14:textId="77777777" w:rsidR="002D4630" w:rsidRDefault="002D4630" w:rsidP="006539F7"/>
    <w:p w14:paraId="38C2BE96" w14:textId="77777777" w:rsidR="006539F7" w:rsidRDefault="00166B14" w:rsidP="006539F7">
      <w:r>
        <w:lastRenderedPageBreak/>
        <w:t xml:space="preserve">Figure 2: </w:t>
      </w:r>
      <w:r w:rsidR="006539F7">
        <w:t>Site 2 Fluorescein Vial Data</w:t>
      </w:r>
    </w:p>
    <w:p w14:paraId="22165D68" w14:textId="77777777" w:rsidR="006539F7" w:rsidRDefault="002C7CD1" w:rsidP="006539F7">
      <w:r>
        <w:rPr>
          <w:noProof/>
        </w:rPr>
        <w:drawing>
          <wp:inline distT="0" distB="0" distL="0" distR="0" wp14:anchorId="1DCFDE85" wp14:editId="4A98531B">
            <wp:extent cx="6492240" cy="1673675"/>
            <wp:effectExtent l="0" t="0" r="1016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1B3F" w14:textId="77777777" w:rsidR="002C7CD1" w:rsidRDefault="002C7CD1" w:rsidP="006539F7"/>
    <w:p w14:paraId="51C43021" w14:textId="77777777" w:rsidR="002C7CD1" w:rsidRDefault="002C7CD1" w:rsidP="006539F7"/>
    <w:p w14:paraId="6E773F92" w14:textId="77777777" w:rsidR="002C7CD1" w:rsidRDefault="002C7CD1" w:rsidP="006539F7">
      <w:pPr>
        <w:rPr>
          <w:b/>
          <w:u w:val="single"/>
        </w:rPr>
      </w:pPr>
      <w:r w:rsidRPr="002C7CD1">
        <w:rPr>
          <w:b/>
          <w:u w:val="single"/>
        </w:rPr>
        <w:t>Increased light resulting in increased Chlorophyll a and Ash Free Dry Mass</w:t>
      </w:r>
    </w:p>
    <w:p w14:paraId="6FCEBF38" w14:textId="77777777" w:rsidR="002C7CD1" w:rsidRPr="00166B14" w:rsidRDefault="00166B14" w:rsidP="006539F7">
      <w:r>
        <w:t xml:space="preserve">Figure 3: Δ Fluorescence of fluorescein vials. Box indicates where </w:t>
      </w:r>
      <w:proofErr w:type="spellStart"/>
      <w:r>
        <w:t>periphyton</w:t>
      </w:r>
      <w:proofErr w:type="spellEnd"/>
      <w:r>
        <w:t xml:space="preserve"> samples were collected.</w:t>
      </w:r>
    </w:p>
    <w:p w14:paraId="698AB8DC" w14:textId="77777777" w:rsidR="006539F7" w:rsidRDefault="00166B14" w:rsidP="006539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914E4" wp14:editId="67633FC0">
                <wp:simplePos x="0" y="0"/>
                <wp:positionH relativeFrom="column">
                  <wp:posOffset>1371600</wp:posOffset>
                </wp:positionH>
                <wp:positionV relativeFrom="paragraph">
                  <wp:posOffset>949960</wp:posOffset>
                </wp:positionV>
                <wp:extent cx="0" cy="1828800"/>
                <wp:effectExtent l="127000" t="25400" r="1016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8pt;margin-top:74.8pt;width:0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C7CD1">
        <w:rPr>
          <w:noProof/>
        </w:rPr>
        <w:drawing>
          <wp:inline distT="0" distB="0" distL="0" distR="0" wp14:anchorId="6591892E" wp14:editId="1B48A126">
            <wp:extent cx="6492240" cy="1688928"/>
            <wp:effectExtent l="0" t="0" r="1016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6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B0F5" w14:textId="77777777" w:rsidR="00166B14" w:rsidRDefault="00166B14" w:rsidP="006539F7"/>
    <w:p w14:paraId="58AB6318" w14:textId="77777777" w:rsidR="00166B14" w:rsidRDefault="00166B14" w:rsidP="006539F7">
      <w:r>
        <w:rPr>
          <w:noProof/>
        </w:rPr>
        <w:drawing>
          <wp:inline distT="0" distB="0" distL="0" distR="0" wp14:anchorId="4C5AF6CF" wp14:editId="58BB5264">
            <wp:extent cx="6490970" cy="3266440"/>
            <wp:effectExtent l="0" t="0" r="11430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837C" w14:textId="77777777" w:rsidR="002F05F8" w:rsidRDefault="002F05F8" w:rsidP="006539F7"/>
    <w:p w14:paraId="5CAB2BA7" w14:textId="77777777" w:rsidR="002D4630" w:rsidRDefault="002D4630" w:rsidP="006539F7">
      <w:pPr>
        <w:rPr>
          <w:b/>
          <w:u w:val="single"/>
        </w:rPr>
      </w:pPr>
    </w:p>
    <w:p w14:paraId="2DB688F3" w14:textId="77777777" w:rsidR="002D4630" w:rsidRDefault="002D4630" w:rsidP="006539F7">
      <w:pPr>
        <w:rPr>
          <w:b/>
          <w:u w:val="single"/>
        </w:rPr>
      </w:pPr>
    </w:p>
    <w:p w14:paraId="4EB09F9A" w14:textId="77777777" w:rsidR="002D4630" w:rsidRDefault="002D4630" w:rsidP="006539F7">
      <w:pPr>
        <w:rPr>
          <w:b/>
          <w:u w:val="single"/>
        </w:rPr>
      </w:pPr>
    </w:p>
    <w:p w14:paraId="68E7C22A" w14:textId="77777777" w:rsidR="002D4630" w:rsidRDefault="002D4630" w:rsidP="006539F7">
      <w:pPr>
        <w:rPr>
          <w:b/>
          <w:u w:val="single"/>
        </w:rPr>
      </w:pPr>
    </w:p>
    <w:p w14:paraId="6891F7DF" w14:textId="77777777" w:rsidR="002F05F8" w:rsidRDefault="002F05F8" w:rsidP="006539F7">
      <w:pPr>
        <w:rPr>
          <w:b/>
          <w:u w:val="single"/>
        </w:rPr>
      </w:pPr>
      <w:r>
        <w:rPr>
          <w:b/>
          <w:u w:val="single"/>
        </w:rPr>
        <w:t>Increased Vertebrate Predators?</w:t>
      </w:r>
    </w:p>
    <w:p w14:paraId="42DF1F52" w14:textId="77777777" w:rsidR="002F05F8" w:rsidRDefault="002F05F8" w:rsidP="006539F7">
      <w:pPr>
        <w:rPr>
          <w:b/>
          <w:u w:val="single"/>
        </w:rPr>
      </w:pPr>
    </w:p>
    <w:p w14:paraId="04C1698E" w14:textId="77777777" w:rsidR="002F05F8" w:rsidRDefault="002F05F8" w:rsidP="006539F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554B573" wp14:editId="3DC1BE91">
            <wp:extent cx="5943600" cy="251714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1B1F" w14:textId="77777777" w:rsidR="001E19F8" w:rsidRDefault="001E19F8" w:rsidP="006539F7">
      <w:pPr>
        <w:rPr>
          <w:b/>
          <w:u w:val="single"/>
        </w:rPr>
      </w:pPr>
    </w:p>
    <w:p w14:paraId="1E10C2B1" w14:textId="77777777" w:rsidR="002D4630" w:rsidRDefault="002D4630" w:rsidP="006539F7">
      <w:pPr>
        <w:rPr>
          <w:b/>
          <w:u w:val="single"/>
        </w:rPr>
      </w:pPr>
      <w:bookmarkStart w:id="0" w:name="_GoBack"/>
      <w:bookmarkEnd w:id="0"/>
    </w:p>
    <w:p w14:paraId="5E4C2005" w14:textId="77777777" w:rsidR="001E19F8" w:rsidRDefault="000E3D25" w:rsidP="006539F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CB88695" wp14:editId="5E0FEE06">
            <wp:extent cx="4597400" cy="27686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3CA7" w14:textId="77777777" w:rsidR="000E3D25" w:rsidRDefault="000E3D25" w:rsidP="006539F7">
      <w:pPr>
        <w:rPr>
          <w:b/>
          <w:u w:val="single"/>
        </w:rPr>
      </w:pPr>
    </w:p>
    <w:tbl>
      <w:tblPr>
        <w:tblStyle w:val="TableGrid"/>
        <w:tblpPr w:leftFromText="180" w:rightFromText="180" w:vertAnchor="page" w:horzAnchor="page" w:tblpX="1117" w:tblpY="5905"/>
        <w:tblW w:w="0" w:type="auto"/>
        <w:tblLook w:val="04A0" w:firstRow="1" w:lastRow="0" w:firstColumn="1" w:lastColumn="0" w:noHBand="0" w:noVBand="1"/>
      </w:tblPr>
      <w:tblGrid>
        <w:gridCol w:w="2358"/>
        <w:gridCol w:w="1980"/>
        <w:gridCol w:w="1926"/>
        <w:gridCol w:w="2088"/>
        <w:gridCol w:w="2088"/>
      </w:tblGrid>
      <w:tr w:rsidR="000E3D25" w14:paraId="06A42FFC" w14:textId="77777777" w:rsidTr="000E3D25">
        <w:tc>
          <w:tcPr>
            <w:tcW w:w="2358" w:type="dxa"/>
          </w:tcPr>
          <w:p w14:paraId="11A4AE89" w14:textId="77777777" w:rsidR="000E3D25" w:rsidRPr="0027453C" w:rsidRDefault="000E3D25" w:rsidP="000E3D25">
            <w:r w:rsidRPr="0027453C">
              <w:t>Average Biomass (g)</w:t>
            </w:r>
          </w:p>
        </w:tc>
        <w:tc>
          <w:tcPr>
            <w:tcW w:w="1980" w:type="dxa"/>
          </w:tcPr>
          <w:p w14:paraId="75C86567" w14:textId="77777777" w:rsidR="000E3D25" w:rsidRPr="0027453C" w:rsidRDefault="000E3D25" w:rsidP="000E3D25">
            <w:r>
              <w:t xml:space="preserve">McRae </w:t>
            </w:r>
            <w:proofErr w:type="spellStart"/>
            <w:r>
              <w:t>Trib</w:t>
            </w:r>
            <w:proofErr w:type="spellEnd"/>
            <w:r>
              <w:t xml:space="preserve"> 2</w:t>
            </w:r>
            <w:r w:rsidRPr="0027453C">
              <w:rPr>
                <w:vertAlign w:val="superscript"/>
              </w:rPr>
              <w:t>nd</w:t>
            </w:r>
            <w:r>
              <w:t xml:space="preserve"> G</w:t>
            </w:r>
          </w:p>
        </w:tc>
        <w:tc>
          <w:tcPr>
            <w:tcW w:w="1926" w:type="dxa"/>
          </w:tcPr>
          <w:p w14:paraId="23E723FE" w14:textId="77777777" w:rsidR="000E3D25" w:rsidRPr="0027453C" w:rsidRDefault="000E3D25" w:rsidP="000E3D25">
            <w:r>
              <w:t xml:space="preserve">McRae </w:t>
            </w:r>
            <w:proofErr w:type="spellStart"/>
            <w:r>
              <w:t>Trib</w:t>
            </w:r>
            <w:proofErr w:type="spellEnd"/>
            <w:r>
              <w:t xml:space="preserve"> OG</w:t>
            </w:r>
          </w:p>
        </w:tc>
        <w:tc>
          <w:tcPr>
            <w:tcW w:w="2088" w:type="dxa"/>
          </w:tcPr>
          <w:p w14:paraId="755C9F9C" w14:textId="77777777" w:rsidR="000E3D25" w:rsidRPr="0027453C" w:rsidRDefault="000E3D25" w:rsidP="000E3D25">
            <w:r>
              <w:t>STREON 2</w:t>
            </w:r>
            <w:r w:rsidRPr="0027453C">
              <w:rPr>
                <w:vertAlign w:val="superscript"/>
              </w:rPr>
              <w:t>nd</w:t>
            </w:r>
            <w:r>
              <w:t xml:space="preserve"> G</w:t>
            </w:r>
          </w:p>
        </w:tc>
        <w:tc>
          <w:tcPr>
            <w:tcW w:w="2088" w:type="dxa"/>
          </w:tcPr>
          <w:p w14:paraId="7D6429CA" w14:textId="77777777" w:rsidR="000E3D25" w:rsidRPr="0027453C" w:rsidRDefault="000E3D25" w:rsidP="000E3D25">
            <w:r>
              <w:t>STREON OG</w:t>
            </w:r>
          </w:p>
        </w:tc>
      </w:tr>
      <w:tr w:rsidR="000E3D25" w14:paraId="30E5C8D0" w14:textId="77777777" w:rsidTr="000E3D25">
        <w:tc>
          <w:tcPr>
            <w:tcW w:w="2358" w:type="dxa"/>
          </w:tcPr>
          <w:p w14:paraId="63D184ED" w14:textId="77777777" w:rsidR="000E3D25" w:rsidRPr="0027453C" w:rsidRDefault="000E3D25" w:rsidP="000E3D25">
            <w:r>
              <w:t>Cutthroat total</w:t>
            </w:r>
          </w:p>
        </w:tc>
        <w:tc>
          <w:tcPr>
            <w:tcW w:w="1980" w:type="dxa"/>
          </w:tcPr>
          <w:p w14:paraId="77E562A5" w14:textId="77777777" w:rsidR="000E3D25" w:rsidRPr="004444B8" w:rsidRDefault="000E3D25" w:rsidP="000E3D25">
            <w:pPr>
              <w:jc w:val="center"/>
            </w:pPr>
            <w:r w:rsidRPr="004444B8">
              <w:t>8.74</w:t>
            </w:r>
          </w:p>
        </w:tc>
        <w:tc>
          <w:tcPr>
            <w:tcW w:w="1926" w:type="dxa"/>
          </w:tcPr>
          <w:p w14:paraId="36063905" w14:textId="77777777" w:rsidR="000E3D25" w:rsidRPr="004444B8" w:rsidRDefault="000E3D25" w:rsidP="000E3D25">
            <w:pPr>
              <w:jc w:val="center"/>
            </w:pPr>
            <w:r w:rsidRPr="004444B8">
              <w:t>8.30</w:t>
            </w:r>
          </w:p>
        </w:tc>
        <w:tc>
          <w:tcPr>
            <w:tcW w:w="2088" w:type="dxa"/>
          </w:tcPr>
          <w:p w14:paraId="27C65002" w14:textId="77777777" w:rsidR="000E3D25" w:rsidRPr="004444B8" w:rsidRDefault="000E3D25" w:rsidP="000E3D25">
            <w:pPr>
              <w:jc w:val="center"/>
            </w:pPr>
            <w:r w:rsidRPr="004444B8">
              <w:t>8.77</w:t>
            </w:r>
          </w:p>
        </w:tc>
        <w:tc>
          <w:tcPr>
            <w:tcW w:w="2088" w:type="dxa"/>
          </w:tcPr>
          <w:p w14:paraId="7DF8125F" w14:textId="77777777" w:rsidR="000E3D25" w:rsidRPr="004444B8" w:rsidRDefault="000E3D25" w:rsidP="000E3D25">
            <w:pPr>
              <w:jc w:val="center"/>
            </w:pPr>
            <w:r w:rsidRPr="004444B8">
              <w:t>12.25</w:t>
            </w:r>
          </w:p>
        </w:tc>
      </w:tr>
      <w:tr w:rsidR="000E3D25" w14:paraId="7A14C77E" w14:textId="77777777" w:rsidTr="000E3D25">
        <w:tc>
          <w:tcPr>
            <w:tcW w:w="2358" w:type="dxa"/>
          </w:tcPr>
          <w:p w14:paraId="7A55A89A" w14:textId="77777777" w:rsidR="000E3D25" w:rsidRPr="0027453C" w:rsidRDefault="000E3D25" w:rsidP="000E3D25">
            <w:r>
              <w:t>Cutthroat &gt;50mm</w:t>
            </w:r>
          </w:p>
        </w:tc>
        <w:tc>
          <w:tcPr>
            <w:tcW w:w="1980" w:type="dxa"/>
          </w:tcPr>
          <w:p w14:paraId="4332225E" w14:textId="77777777" w:rsidR="000E3D25" w:rsidRPr="004444B8" w:rsidRDefault="000E3D25" w:rsidP="000E3D25">
            <w:pPr>
              <w:jc w:val="center"/>
            </w:pPr>
            <w:r w:rsidRPr="004444B8">
              <w:t>10.51</w:t>
            </w:r>
          </w:p>
        </w:tc>
        <w:tc>
          <w:tcPr>
            <w:tcW w:w="1926" w:type="dxa"/>
          </w:tcPr>
          <w:p w14:paraId="755D44E4" w14:textId="77777777" w:rsidR="000E3D25" w:rsidRPr="004444B8" w:rsidRDefault="000E3D25" w:rsidP="000E3D25">
            <w:pPr>
              <w:jc w:val="center"/>
            </w:pPr>
            <w:r w:rsidRPr="004444B8">
              <w:t>10.76</w:t>
            </w:r>
          </w:p>
        </w:tc>
        <w:tc>
          <w:tcPr>
            <w:tcW w:w="2088" w:type="dxa"/>
          </w:tcPr>
          <w:p w14:paraId="1628C961" w14:textId="77777777" w:rsidR="000E3D25" w:rsidRPr="004444B8" w:rsidRDefault="000E3D25" w:rsidP="000E3D25">
            <w:pPr>
              <w:jc w:val="center"/>
            </w:pPr>
            <w:r w:rsidRPr="004444B8">
              <w:t>17.08</w:t>
            </w:r>
          </w:p>
        </w:tc>
        <w:tc>
          <w:tcPr>
            <w:tcW w:w="2088" w:type="dxa"/>
          </w:tcPr>
          <w:p w14:paraId="35C24D1B" w14:textId="77777777" w:rsidR="000E3D25" w:rsidRPr="004444B8" w:rsidRDefault="000E3D25" w:rsidP="000E3D25">
            <w:pPr>
              <w:jc w:val="center"/>
            </w:pPr>
            <w:r w:rsidRPr="004444B8">
              <w:t>18.29</w:t>
            </w:r>
          </w:p>
        </w:tc>
      </w:tr>
      <w:tr w:rsidR="000E3D25" w14:paraId="77968E18" w14:textId="77777777" w:rsidTr="000E3D25">
        <w:tc>
          <w:tcPr>
            <w:tcW w:w="2358" w:type="dxa"/>
          </w:tcPr>
          <w:p w14:paraId="0A361FF1" w14:textId="77777777" w:rsidR="000E3D25" w:rsidRPr="004444B8" w:rsidRDefault="000E3D25" w:rsidP="000E3D25">
            <w:r w:rsidRPr="004444B8">
              <w:t>Cutthroat &lt;50mm</w:t>
            </w:r>
          </w:p>
        </w:tc>
        <w:tc>
          <w:tcPr>
            <w:tcW w:w="1980" w:type="dxa"/>
          </w:tcPr>
          <w:p w14:paraId="59741B12" w14:textId="77777777" w:rsidR="000E3D25" w:rsidRPr="004444B8" w:rsidRDefault="000E3D25" w:rsidP="000E3D25">
            <w:pPr>
              <w:jc w:val="center"/>
            </w:pPr>
            <w:r w:rsidRPr="004444B8">
              <w:t>.255</w:t>
            </w:r>
          </w:p>
        </w:tc>
        <w:tc>
          <w:tcPr>
            <w:tcW w:w="1926" w:type="dxa"/>
          </w:tcPr>
          <w:p w14:paraId="563F560F" w14:textId="77777777" w:rsidR="000E3D25" w:rsidRPr="004444B8" w:rsidRDefault="000E3D25" w:rsidP="000E3D25">
            <w:pPr>
              <w:jc w:val="center"/>
            </w:pPr>
            <w:r w:rsidRPr="004444B8">
              <w:t>.33</w:t>
            </w:r>
          </w:p>
        </w:tc>
        <w:tc>
          <w:tcPr>
            <w:tcW w:w="2088" w:type="dxa"/>
          </w:tcPr>
          <w:p w14:paraId="56D55317" w14:textId="77777777" w:rsidR="000E3D25" w:rsidRPr="004444B8" w:rsidRDefault="000E3D25" w:rsidP="000E3D25">
            <w:pPr>
              <w:jc w:val="center"/>
            </w:pPr>
            <w:r w:rsidRPr="004444B8">
              <w:t>.15</w:t>
            </w:r>
          </w:p>
        </w:tc>
        <w:tc>
          <w:tcPr>
            <w:tcW w:w="2088" w:type="dxa"/>
          </w:tcPr>
          <w:p w14:paraId="50E18ACC" w14:textId="77777777" w:rsidR="000E3D25" w:rsidRPr="004444B8" w:rsidRDefault="000E3D25" w:rsidP="000E3D25">
            <w:pPr>
              <w:jc w:val="center"/>
            </w:pPr>
            <w:r w:rsidRPr="004444B8">
              <w:t>.17</w:t>
            </w:r>
          </w:p>
        </w:tc>
      </w:tr>
      <w:tr w:rsidR="000E3D25" w14:paraId="0644D54A" w14:textId="77777777" w:rsidTr="000E3D25">
        <w:tc>
          <w:tcPr>
            <w:tcW w:w="2358" w:type="dxa"/>
          </w:tcPr>
          <w:p w14:paraId="65D634B0" w14:textId="77777777" w:rsidR="000E3D25" w:rsidRPr="004444B8" w:rsidRDefault="000E3D25" w:rsidP="000E3D25">
            <w:r w:rsidRPr="004444B8">
              <w:t>Salamanders</w:t>
            </w:r>
          </w:p>
        </w:tc>
        <w:tc>
          <w:tcPr>
            <w:tcW w:w="1980" w:type="dxa"/>
          </w:tcPr>
          <w:p w14:paraId="65B03B72" w14:textId="77777777" w:rsidR="000E3D25" w:rsidRPr="004444B8" w:rsidRDefault="000E3D25" w:rsidP="000E3D25">
            <w:pPr>
              <w:jc w:val="center"/>
            </w:pPr>
            <w:r w:rsidRPr="004444B8">
              <w:t>7.65</w:t>
            </w:r>
          </w:p>
        </w:tc>
        <w:tc>
          <w:tcPr>
            <w:tcW w:w="1926" w:type="dxa"/>
          </w:tcPr>
          <w:p w14:paraId="34E579C1" w14:textId="77777777" w:rsidR="000E3D25" w:rsidRPr="004444B8" w:rsidRDefault="000E3D25" w:rsidP="000E3D25">
            <w:pPr>
              <w:jc w:val="center"/>
            </w:pPr>
            <w:r w:rsidRPr="004444B8">
              <w:t>7.25</w:t>
            </w:r>
          </w:p>
        </w:tc>
        <w:tc>
          <w:tcPr>
            <w:tcW w:w="2088" w:type="dxa"/>
          </w:tcPr>
          <w:p w14:paraId="627CA5D2" w14:textId="77777777" w:rsidR="000E3D25" w:rsidRPr="004444B8" w:rsidRDefault="000E3D25" w:rsidP="000E3D25">
            <w:pPr>
              <w:jc w:val="center"/>
            </w:pPr>
            <w:r w:rsidRPr="004444B8">
              <w:t>19.86</w:t>
            </w:r>
          </w:p>
        </w:tc>
        <w:tc>
          <w:tcPr>
            <w:tcW w:w="2088" w:type="dxa"/>
          </w:tcPr>
          <w:p w14:paraId="62F258C8" w14:textId="77777777" w:rsidR="000E3D25" w:rsidRPr="004444B8" w:rsidRDefault="000E3D25" w:rsidP="000E3D25">
            <w:pPr>
              <w:jc w:val="center"/>
            </w:pPr>
            <w:r w:rsidRPr="004444B8">
              <w:t>21.39</w:t>
            </w:r>
          </w:p>
        </w:tc>
      </w:tr>
    </w:tbl>
    <w:p w14:paraId="4902B8AA" w14:textId="77777777" w:rsidR="00D82425" w:rsidRDefault="00D82425" w:rsidP="006539F7">
      <w:pPr>
        <w:rPr>
          <w:b/>
          <w:u w:val="single"/>
        </w:rPr>
      </w:pPr>
    </w:p>
    <w:p w14:paraId="08732CA6" w14:textId="0CEC25A0" w:rsidR="00D82425" w:rsidRDefault="00D82425" w:rsidP="006539F7">
      <w:pPr>
        <w:rPr>
          <w:b/>
          <w:u w:val="single"/>
        </w:rPr>
      </w:pPr>
      <w:r>
        <w:rPr>
          <w:b/>
          <w:u w:val="single"/>
        </w:rPr>
        <w:t>Fish Growth</w:t>
      </w:r>
    </w:p>
    <w:p w14:paraId="4995A51D" w14:textId="77777777" w:rsidR="00D82425" w:rsidRDefault="00D82425" w:rsidP="006539F7">
      <w:pPr>
        <w:rPr>
          <w:b/>
          <w:u w:val="single"/>
        </w:rPr>
      </w:pPr>
    </w:p>
    <w:p w14:paraId="5A6C27AA" w14:textId="12320D26" w:rsidR="00D82425" w:rsidRPr="00D82425" w:rsidRDefault="00D82425" w:rsidP="006539F7">
      <w:r>
        <w:t xml:space="preserve">Fish are implanted with PIT </w:t>
      </w:r>
      <w:proofErr w:type="gramStart"/>
      <w:r>
        <w:t>tags which</w:t>
      </w:r>
      <w:proofErr w:type="gramEnd"/>
      <w:r>
        <w:t xml:space="preserve"> allow us to individually mark fish and measure growth over summer. Will cutthroat growth rates be higher in old-growth reaches vs. second-growth reaches</w:t>
      </w:r>
      <w:proofErr w:type="gramStart"/>
      <w:r>
        <w:t>?...</w:t>
      </w:r>
      <w:proofErr w:type="gramEnd"/>
      <w:r>
        <w:t xml:space="preserve">Ask me in a few weeks. </w:t>
      </w:r>
    </w:p>
    <w:sectPr w:rsidR="00D82425" w:rsidRPr="00D82425" w:rsidSect="006539F7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07443"/>
    <w:multiLevelType w:val="hybridMultilevel"/>
    <w:tmpl w:val="DAAC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CB"/>
    <w:rsid w:val="0009244A"/>
    <w:rsid w:val="000E3D25"/>
    <w:rsid w:val="00166B14"/>
    <w:rsid w:val="001E19F8"/>
    <w:rsid w:val="002C100A"/>
    <w:rsid w:val="002C7CD1"/>
    <w:rsid w:val="002D4630"/>
    <w:rsid w:val="002F05F8"/>
    <w:rsid w:val="004F76EC"/>
    <w:rsid w:val="006539F7"/>
    <w:rsid w:val="00801ECB"/>
    <w:rsid w:val="00D8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00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E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9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F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E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FC6872-2ED0-CD4F-93CB-808E8339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340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Kaylor</dc:creator>
  <cp:keywords/>
  <dc:description/>
  <cp:lastModifiedBy>Matthew Kaylor</cp:lastModifiedBy>
  <cp:revision>3</cp:revision>
  <dcterms:created xsi:type="dcterms:W3CDTF">2013-09-16T21:48:00Z</dcterms:created>
  <dcterms:modified xsi:type="dcterms:W3CDTF">2013-09-17T01:38:00Z</dcterms:modified>
</cp:coreProperties>
</file>