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600F8" w14:textId="21E8109C" w:rsidR="001C4F91" w:rsidRDefault="009D2345" w:rsidP="009D2345">
      <w:pPr>
        <w:ind w:firstLine="720"/>
        <w:jc w:val="center"/>
        <w:rPr>
          <w:rFonts w:ascii="Times New Roman" w:hAnsi="Times New Roman" w:cs="Times New Roman"/>
          <w:b/>
        </w:rPr>
      </w:pPr>
      <w:r w:rsidRPr="009D2345">
        <w:rPr>
          <w:rFonts w:ascii="Times New Roman" w:hAnsi="Times New Roman" w:cs="Times New Roman"/>
          <w:b/>
        </w:rPr>
        <w:t>Stream invertebrate</w:t>
      </w:r>
      <w:r>
        <w:rPr>
          <w:rFonts w:ascii="Times New Roman" w:hAnsi="Times New Roman" w:cs="Times New Roman"/>
          <w:b/>
        </w:rPr>
        <w:t xml:space="preserve"> and fish feeding </w:t>
      </w:r>
      <w:r w:rsidRPr="009D2345">
        <w:rPr>
          <w:rFonts w:ascii="Times New Roman" w:hAnsi="Times New Roman" w:cs="Times New Roman"/>
          <w:b/>
        </w:rPr>
        <w:t>response to increases in light availability</w:t>
      </w:r>
      <w:r>
        <w:rPr>
          <w:rFonts w:ascii="Times New Roman" w:hAnsi="Times New Roman" w:cs="Times New Roman"/>
          <w:b/>
        </w:rPr>
        <w:t xml:space="preserve"> in the forested headwaters of the Cascades</w:t>
      </w:r>
    </w:p>
    <w:p w14:paraId="52D97136" w14:textId="3593CDD4" w:rsidR="007C2D26" w:rsidRDefault="007C2D26" w:rsidP="005145CF">
      <w:pPr>
        <w:ind w:firstLine="36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Community Analysis</w:t>
      </w:r>
      <w:r w:rsidR="00513C74">
        <w:rPr>
          <w:rFonts w:ascii="Times New Roman" w:hAnsi="Times New Roman" w:cs="Times New Roman"/>
          <w:sz w:val="20"/>
          <w:szCs w:val="20"/>
        </w:rPr>
        <w:t xml:space="preserve"> </w:t>
      </w:r>
      <w:r w:rsidR="00513C74" w:rsidRPr="003A3BF9">
        <w:rPr>
          <w:rFonts w:ascii="Times New Roman" w:hAnsi="Times New Roman" w:cs="Times New Roman"/>
          <w:sz w:val="20"/>
          <w:szCs w:val="20"/>
        </w:rPr>
        <w:t>16(</w:t>
      </w:r>
      <w:r w:rsidR="003A3BF9">
        <w:rPr>
          <w:rFonts w:ascii="Times New Roman" w:hAnsi="Times New Roman" w:cs="Times New Roman"/>
          <w:sz w:val="20"/>
          <w:szCs w:val="20"/>
        </w:rPr>
        <w:t>10</w:t>
      </w:r>
      <w:r w:rsidRPr="003A3BF9">
        <w:rPr>
          <w:rFonts w:ascii="Times New Roman" w:hAnsi="Times New Roman" w:cs="Times New Roman"/>
          <w:sz w:val="20"/>
          <w:szCs w:val="20"/>
        </w:rPr>
        <w:t>)</w:t>
      </w:r>
      <w:r w:rsidR="006668E6">
        <w:rPr>
          <w:rFonts w:ascii="Times New Roman" w:hAnsi="Times New Roman" w:cs="Times New Roman"/>
          <w:sz w:val="20"/>
          <w:szCs w:val="20"/>
        </w:rPr>
        <w:t>:</w:t>
      </w:r>
      <w:r w:rsidR="00EF28B8">
        <w:rPr>
          <w:rFonts w:ascii="Times New Roman" w:hAnsi="Times New Roman" w:cs="Times New Roman"/>
          <w:sz w:val="20"/>
          <w:szCs w:val="20"/>
        </w:rPr>
        <w:t>1-</w:t>
      </w:r>
      <w:r w:rsidR="003A3BF9">
        <w:rPr>
          <w:rFonts w:ascii="Times New Roman" w:hAnsi="Times New Roman" w:cs="Times New Roman"/>
          <w:sz w:val="20"/>
          <w:szCs w:val="20"/>
        </w:rPr>
        <w:t>5</w:t>
      </w:r>
    </w:p>
    <w:p w14:paraId="614E6418" w14:textId="550D456F" w:rsidR="00513C74" w:rsidRDefault="00513C74" w:rsidP="005145CF">
      <w:pPr>
        <w:ind w:firstLine="360"/>
        <w:jc w:val="right"/>
        <w:rPr>
          <w:rFonts w:ascii="Times New Roman" w:hAnsi="Times New Roman" w:cs="Times New Roman"/>
          <w:sz w:val="20"/>
          <w:szCs w:val="20"/>
        </w:rPr>
      </w:pPr>
      <w:r w:rsidRPr="00513C74">
        <w:rPr>
          <w:rFonts w:ascii="Times New Roman" w:hAnsi="Times New Roman" w:cs="Times New Roman"/>
          <w:sz w:val="20"/>
          <w:szCs w:val="20"/>
        </w:rPr>
        <w:t>©</w:t>
      </w:r>
      <w:r>
        <w:rPr>
          <w:rFonts w:ascii="Times New Roman" w:hAnsi="Times New Roman" w:cs="Times New Roman"/>
          <w:sz w:val="20"/>
          <w:szCs w:val="20"/>
        </w:rPr>
        <w:t xml:space="preserve"> 2019 Cedar Mackaness</w:t>
      </w:r>
    </w:p>
    <w:p w14:paraId="79F55D68" w14:textId="62B2DFC2" w:rsidR="00513C74" w:rsidRDefault="00513C74" w:rsidP="005145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Cedar Mackaness</w:t>
      </w:r>
    </w:p>
    <w:p w14:paraId="792D8777" w14:textId="6A8FE220" w:rsidR="00513C74" w:rsidRDefault="00513C74" w:rsidP="005145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College of Earth, Ocean &amp; </w:t>
      </w:r>
      <w:r w:rsidR="00B451B3">
        <w:rPr>
          <w:rFonts w:ascii="Times New Roman" w:hAnsi="Times New Roman" w:cs="Times New Roman"/>
          <w:sz w:val="20"/>
          <w:szCs w:val="20"/>
        </w:rPr>
        <w:t>Atmospheric</w:t>
      </w:r>
      <w:r>
        <w:rPr>
          <w:rFonts w:ascii="Times New Roman" w:hAnsi="Times New Roman" w:cs="Times New Roman"/>
          <w:sz w:val="20"/>
          <w:szCs w:val="20"/>
        </w:rPr>
        <w:t xml:space="preserve"> Sciences</w:t>
      </w:r>
      <w:r w:rsidR="00B451B3">
        <w:rPr>
          <w:rFonts w:ascii="Times New Roman" w:hAnsi="Times New Roman" w:cs="Times New Roman"/>
          <w:sz w:val="20"/>
          <w:szCs w:val="20"/>
        </w:rPr>
        <w:t>, Oregon State University</w:t>
      </w:r>
    </w:p>
    <w:p w14:paraId="2CE2E335" w14:textId="000184B5" w:rsidR="00B451B3" w:rsidRDefault="00AE722E" w:rsidP="005145CF">
      <w:pPr>
        <w:rPr>
          <w:rFonts w:ascii="Times New Roman" w:hAnsi="Times New Roman" w:cs="Times New Roman"/>
          <w:sz w:val="20"/>
          <w:szCs w:val="20"/>
        </w:rPr>
      </w:pPr>
      <w:hyperlink r:id="rId6" w:history="1">
        <w:r w:rsidR="005145CF" w:rsidRPr="00D17F76">
          <w:rPr>
            <w:rStyle w:val="Hyperlink"/>
            <w:rFonts w:ascii="Times New Roman" w:hAnsi="Times New Roman" w:cs="Times New Roman"/>
            <w:sz w:val="20"/>
            <w:szCs w:val="20"/>
          </w:rPr>
          <w:t>mackanec@oregonstate.edu</w:t>
        </w:r>
      </w:hyperlink>
    </w:p>
    <w:p w14:paraId="269BDA56" w14:textId="77777777" w:rsidR="005145CF" w:rsidRPr="007C2D26" w:rsidRDefault="005145CF" w:rsidP="005145CF">
      <w:pPr>
        <w:rPr>
          <w:rFonts w:ascii="Times New Roman" w:hAnsi="Times New Roman" w:cs="Times New Roman"/>
          <w:sz w:val="20"/>
          <w:szCs w:val="20"/>
        </w:rPr>
      </w:pPr>
    </w:p>
    <w:p w14:paraId="40DFF71F" w14:textId="6B182F9C" w:rsidR="001C4F91" w:rsidRPr="00591A61" w:rsidRDefault="001C4F91" w:rsidP="005145CF">
      <w:pPr>
        <w:outlineLvl w:val="0"/>
        <w:rPr>
          <w:rFonts w:ascii="Times New Roman" w:hAnsi="Times New Roman" w:cs="Times New Roman"/>
          <w:b/>
        </w:rPr>
      </w:pPr>
      <w:r w:rsidRPr="00591A61">
        <w:rPr>
          <w:rFonts w:ascii="Times New Roman" w:hAnsi="Times New Roman" w:cs="Times New Roman"/>
          <w:b/>
        </w:rPr>
        <w:t>Introduction</w:t>
      </w:r>
    </w:p>
    <w:p w14:paraId="516591F1" w14:textId="7D9C486F" w:rsidR="00586F82" w:rsidRPr="00605CF9" w:rsidRDefault="00586F82" w:rsidP="005145CF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05CF9">
        <w:rPr>
          <w:rFonts w:ascii="Times New Roman" w:hAnsi="Times New Roman" w:cs="Times New Roman"/>
          <w:sz w:val="20"/>
          <w:szCs w:val="20"/>
        </w:rPr>
        <w:t xml:space="preserve">Streams and their biota </w:t>
      </w:r>
      <w:r w:rsidR="000B012A" w:rsidRPr="00605CF9">
        <w:rPr>
          <w:rFonts w:ascii="Times New Roman" w:hAnsi="Times New Roman" w:cs="Times New Roman"/>
          <w:sz w:val="20"/>
          <w:szCs w:val="20"/>
        </w:rPr>
        <w:t xml:space="preserve">are inherently linked to </w:t>
      </w:r>
      <w:r w:rsidRPr="00605CF9">
        <w:rPr>
          <w:rFonts w:ascii="Times New Roman" w:hAnsi="Times New Roman" w:cs="Times New Roman"/>
          <w:sz w:val="20"/>
          <w:szCs w:val="20"/>
        </w:rPr>
        <w:t>ri</w:t>
      </w:r>
      <w:r w:rsidR="000B012A" w:rsidRPr="00605CF9">
        <w:rPr>
          <w:rFonts w:ascii="Times New Roman" w:hAnsi="Times New Roman" w:cs="Times New Roman"/>
          <w:sz w:val="20"/>
          <w:szCs w:val="20"/>
        </w:rPr>
        <w:t>parian vegetation</w:t>
      </w:r>
      <w:r w:rsidR="00CF149B" w:rsidRPr="00605CF9">
        <w:rPr>
          <w:rFonts w:ascii="Times New Roman" w:hAnsi="Times New Roman" w:cs="Times New Roman"/>
          <w:sz w:val="20"/>
          <w:szCs w:val="20"/>
        </w:rPr>
        <w:t xml:space="preserve"> in forested systems</w:t>
      </w:r>
      <w:r w:rsidR="00405D2E" w:rsidRPr="00605CF9">
        <w:rPr>
          <w:rFonts w:ascii="Times New Roman" w:hAnsi="Times New Roman" w:cs="Times New Roman"/>
          <w:sz w:val="20"/>
          <w:szCs w:val="20"/>
        </w:rPr>
        <w:t>: when we alter streamside vegetation we are altering streams</w:t>
      </w:r>
      <w:r w:rsidRPr="00605CF9">
        <w:rPr>
          <w:rFonts w:ascii="Times New Roman" w:hAnsi="Times New Roman" w:cs="Times New Roman"/>
          <w:sz w:val="20"/>
          <w:szCs w:val="20"/>
        </w:rPr>
        <w:t>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4303BD" w:rsidRPr="00605CF9">
        <w:rPr>
          <w:rFonts w:ascii="Times New Roman" w:hAnsi="Times New Roman" w:cs="Times New Roman"/>
          <w:sz w:val="20"/>
          <w:szCs w:val="20"/>
        </w:rPr>
        <w:t xml:space="preserve">In the Pacific Northwest </w:t>
      </w:r>
      <w:r w:rsidR="00AF1FB3" w:rsidRPr="00605CF9">
        <w:rPr>
          <w:rFonts w:ascii="Times New Roman" w:hAnsi="Times New Roman" w:cs="Times New Roman"/>
          <w:sz w:val="20"/>
          <w:szCs w:val="20"/>
        </w:rPr>
        <w:t>(PNW)</w:t>
      </w:r>
      <w:r w:rsidR="005B72C2" w:rsidRPr="00605CF9">
        <w:rPr>
          <w:rFonts w:ascii="Times New Roman" w:hAnsi="Times New Roman" w:cs="Times New Roman"/>
          <w:sz w:val="20"/>
          <w:szCs w:val="20"/>
        </w:rPr>
        <w:t xml:space="preserve"> region</w:t>
      </w:r>
      <w:r w:rsidR="00AF1FB3" w:rsidRPr="00605CF9">
        <w:rPr>
          <w:rFonts w:ascii="Times New Roman" w:hAnsi="Times New Roman" w:cs="Times New Roman"/>
          <w:sz w:val="20"/>
          <w:szCs w:val="20"/>
        </w:rPr>
        <w:t xml:space="preserve"> </w:t>
      </w:r>
      <w:r w:rsidR="004303BD" w:rsidRPr="00605CF9">
        <w:rPr>
          <w:rFonts w:ascii="Times New Roman" w:hAnsi="Times New Roman" w:cs="Times New Roman"/>
          <w:sz w:val="20"/>
          <w:szCs w:val="20"/>
        </w:rPr>
        <w:t xml:space="preserve">of </w:t>
      </w:r>
      <w:r w:rsidR="005B72C2" w:rsidRPr="00605CF9">
        <w:rPr>
          <w:rFonts w:ascii="Times New Roman" w:hAnsi="Times New Roman" w:cs="Times New Roman"/>
          <w:sz w:val="20"/>
          <w:szCs w:val="20"/>
        </w:rPr>
        <w:t>North America</w:t>
      </w:r>
      <w:r w:rsidR="004303BD" w:rsidRPr="00605CF9">
        <w:rPr>
          <w:rFonts w:ascii="Times New Roman" w:hAnsi="Times New Roman" w:cs="Times New Roman"/>
          <w:sz w:val="20"/>
          <w:szCs w:val="20"/>
        </w:rPr>
        <w:t xml:space="preserve">, riparian forests have </w:t>
      </w:r>
      <w:r w:rsidR="00C041FD" w:rsidRPr="00605CF9">
        <w:rPr>
          <w:rFonts w:ascii="Times New Roman" w:hAnsi="Times New Roman" w:cs="Times New Roman"/>
          <w:sz w:val="20"/>
          <w:szCs w:val="20"/>
        </w:rPr>
        <w:t>undergone a drastic shift in the past half century</w:t>
      </w:r>
      <w:r w:rsidR="00710FA0">
        <w:rPr>
          <w:rFonts w:ascii="Times New Roman" w:hAnsi="Times New Roman" w:cs="Times New Roman"/>
          <w:sz w:val="20"/>
          <w:szCs w:val="20"/>
        </w:rPr>
        <w:t>,</w:t>
      </w:r>
      <w:r w:rsidR="005B72C2" w:rsidRPr="00605CF9">
        <w:rPr>
          <w:rFonts w:ascii="Times New Roman" w:hAnsi="Times New Roman" w:cs="Times New Roman"/>
          <w:sz w:val="20"/>
          <w:szCs w:val="20"/>
        </w:rPr>
        <w:t xml:space="preserve"> with d</w:t>
      </w:r>
      <w:r w:rsidR="00C041FD" w:rsidRPr="00605CF9">
        <w:rPr>
          <w:rFonts w:ascii="Times New Roman" w:hAnsi="Times New Roman" w:cs="Times New Roman"/>
          <w:sz w:val="20"/>
          <w:szCs w:val="20"/>
        </w:rPr>
        <w:t>ecades</w:t>
      </w:r>
      <w:r w:rsidR="004303BD" w:rsidRPr="00605CF9">
        <w:rPr>
          <w:rFonts w:ascii="Times New Roman" w:hAnsi="Times New Roman" w:cs="Times New Roman"/>
          <w:sz w:val="20"/>
          <w:szCs w:val="20"/>
        </w:rPr>
        <w:t xml:space="preserve"> of heavy harvesting </w:t>
      </w:r>
      <w:r w:rsidR="005B72C2" w:rsidRPr="00605CF9">
        <w:rPr>
          <w:rFonts w:ascii="Times New Roman" w:hAnsi="Times New Roman" w:cs="Times New Roman"/>
          <w:sz w:val="20"/>
          <w:szCs w:val="20"/>
        </w:rPr>
        <w:t>resulting in</w:t>
      </w:r>
      <w:r w:rsidR="009422B5" w:rsidRPr="00605CF9">
        <w:rPr>
          <w:rFonts w:ascii="Times New Roman" w:hAnsi="Times New Roman" w:cs="Times New Roman"/>
          <w:sz w:val="20"/>
          <w:szCs w:val="20"/>
        </w:rPr>
        <w:t xml:space="preserve"> </w:t>
      </w:r>
      <w:r w:rsidR="005B72C2" w:rsidRPr="00605CF9">
        <w:rPr>
          <w:rFonts w:ascii="Times New Roman" w:hAnsi="Times New Roman" w:cs="Times New Roman"/>
          <w:sz w:val="20"/>
          <w:szCs w:val="20"/>
        </w:rPr>
        <w:t>a landscape</w:t>
      </w:r>
      <w:r w:rsidR="004303BD" w:rsidRPr="00605CF9">
        <w:rPr>
          <w:rFonts w:ascii="Times New Roman" w:hAnsi="Times New Roman" w:cs="Times New Roman"/>
          <w:sz w:val="20"/>
          <w:szCs w:val="20"/>
        </w:rPr>
        <w:t xml:space="preserve"> </w:t>
      </w:r>
      <w:r w:rsidR="005B72C2" w:rsidRPr="00605CF9">
        <w:rPr>
          <w:rFonts w:ascii="Times New Roman" w:hAnsi="Times New Roman" w:cs="Times New Roman"/>
          <w:sz w:val="20"/>
          <w:szCs w:val="20"/>
        </w:rPr>
        <w:t xml:space="preserve">dominated by </w:t>
      </w:r>
      <w:r w:rsidR="004303BD" w:rsidRPr="00605CF9">
        <w:rPr>
          <w:rFonts w:ascii="Times New Roman" w:hAnsi="Times New Roman" w:cs="Times New Roman"/>
          <w:sz w:val="20"/>
          <w:szCs w:val="20"/>
        </w:rPr>
        <w:t xml:space="preserve">dense second-growth vegetation. </w:t>
      </w:r>
      <w:r w:rsidR="005B72C2" w:rsidRPr="00605CF9">
        <w:rPr>
          <w:rFonts w:ascii="Times New Roman" w:hAnsi="Times New Roman" w:cs="Times New Roman"/>
          <w:sz w:val="20"/>
          <w:szCs w:val="20"/>
        </w:rPr>
        <w:t xml:space="preserve">For streams that run thought these forests, </w:t>
      </w:r>
      <w:r w:rsidR="004303BD" w:rsidRPr="00605CF9">
        <w:rPr>
          <w:rFonts w:ascii="Times New Roman" w:hAnsi="Times New Roman" w:cs="Times New Roman"/>
          <w:sz w:val="20"/>
          <w:szCs w:val="20"/>
        </w:rPr>
        <w:t xml:space="preserve">dense vegetation </w:t>
      </w:r>
      <w:r w:rsidR="007F446F" w:rsidRPr="00605CF9">
        <w:rPr>
          <w:rFonts w:ascii="Times New Roman" w:hAnsi="Times New Roman" w:cs="Times New Roman"/>
          <w:sz w:val="20"/>
          <w:szCs w:val="20"/>
        </w:rPr>
        <w:t>decreases</w:t>
      </w:r>
      <w:r w:rsidR="004303BD" w:rsidRPr="00605CF9">
        <w:rPr>
          <w:rFonts w:ascii="Times New Roman" w:hAnsi="Times New Roman" w:cs="Times New Roman"/>
          <w:sz w:val="20"/>
          <w:szCs w:val="20"/>
        </w:rPr>
        <w:t xml:space="preserve"> light availability </w:t>
      </w:r>
      <w:r w:rsidR="005B72C2" w:rsidRPr="00605CF9">
        <w:rPr>
          <w:rFonts w:ascii="Times New Roman" w:hAnsi="Times New Roman" w:cs="Times New Roman"/>
          <w:sz w:val="20"/>
          <w:szCs w:val="20"/>
        </w:rPr>
        <w:t xml:space="preserve">and </w:t>
      </w:r>
      <w:r w:rsidR="003F3B29" w:rsidRPr="00605CF9">
        <w:rPr>
          <w:rFonts w:ascii="Times New Roman" w:hAnsi="Times New Roman" w:cs="Times New Roman"/>
          <w:sz w:val="20"/>
          <w:szCs w:val="20"/>
        </w:rPr>
        <w:t xml:space="preserve">subsequent </w:t>
      </w:r>
      <w:r w:rsidR="0044081B" w:rsidRPr="00605CF9">
        <w:rPr>
          <w:rFonts w:ascii="Times New Roman" w:hAnsi="Times New Roman" w:cs="Times New Roman"/>
          <w:sz w:val="20"/>
          <w:szCs w:val="20"/>
        </w:rPr>
        <w:t xml:space="preserve">light limitation </w:t>
      </w:r>
      <w:r w:rsidR="007F446F" w:rsidRPr="00605CF9">
        <w:rPr>
          <w:rFonts w:ascii="Times New Roman" w:hAnsi="Times New Roman" w:cs="Times New Roman"/>
          <w:sz w:val="20"/>
          <w:szCs w:val="20"/>
        </w:rPr>
        <w:t xml:space="preserve">reduces </w:t>
      </w:r>
      <w:r w:rsidR="003F3B29" w:rsidRPr="00605CF9">
        <w:rPr>
          <w:rFonts w:ascii="Times New Roman" w:hAnsi="Times New Roman" w:cs="Times New Roman"/>
          <w:sz w:val="20"/>
          <w:szCs w:val="20"/>
        </w:rPr>
        <w:t xml:space="preserve">benthic </w:t>
      </w:r>
      <w:r w:rsidR="0044081B" w:rsidRPr="00605CF9">
        <w:rPr>
          <w:rFonts w:ascii="Times New Roman" w:hAnsi="Times New Roman" w:cs="Times New Roman"/>
          <w:sz w:val="20"/>
          <w:szCs w:val="20"/>
        </w:rPr>
        <w:t>primary production</w:t>
      </w:r>
      <w:r w:rsidR="00C041FD" w:rsidRPr="00605CF9">
        <w:rPr>
          <w:rFonts w:ascii="Times New Roman" w:hAnsi="Times New Roman" w:cs="Times New Roman"/>
          <w:sz w:val="20"/>
          <w:szCs w:val="20"/>
        </w:rPr>
        <w:t>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5045E3" w:rsidRPr="00605CF9">
        <w:rPr>
          <w:rFonts w:ascii="Times New Roman" w:hAnsi="Times New Roman" w:cs="Times New Roman"/>
          <w:sz w:val="20"/>
          <w:szCs w:val="20"/>
        </w:rPr>
        <w:t xml:space="preserve">In many systems, </w:t>
      </w:r>
      <w:r w:rsidR="0044081B" w:rsidRPr="00605CF9">
        <w:rPr>
          <w:rFonts w:ascii="Times New Roman" w:hAnsi="Times New Roman" w:cs="Times New Roman"/>
          <w:sz w:val="20"/>
          <w:szCs w:val="20"/>
        </w:rPr>
        <w:t xml:space="preserve">higher trophic levels </w:t>
      </w:r>
      <w:r w:rsidR="005B72C2" w:rsidRPr="00605CF9">
        <w:rPr>
          <w:rFonts w:ascii="Times New Roman" w:hAnsi="Times New Roman" w:cs="Times New Roman"/>
          <w:sz w:val="20"/>
          <w:szCs w:val="20"/>
        </w:rPr>
        <w:t xml:space="preserve">can be </w:t>
      </w:r>
      <w:r w:rsidR="0044081B" w:rsidRPr="00605CF9">
        <w:rPr>
          <w:rFonts w:ascii="Times New Roman" w:hAnsi="Times New Roman" w:cs="Times New Roman"/>
          <w:sz w:val="20"/>
          <w:szCs w:val="20"/>
        </w:rPr>
        <w:t xml:space="preserve">disproportionately supported by algae, </w:t>
      </w:r>
      <w:r w:rsidR="005045E3" w:rsidRPr="00605CF9">
        <w:rPr>
          <w:rFonts w:ascii="Times New Roman" w:hAnsi="Times New Roman" w:cs="Times New Roman"/>
          <w:sz w:val="20"/>
          <w:szCs w:val="20"/>
        </w:rPr>
        <w:t xml:space="preserve">and </w:t>
      </w:r>
      <w:r w:rsidR="0044081B" w:rsidRPr="00605CF9">
        <w:rPr>
          <w:rFonts w:ascii="Times New Roman" w:hAnsi="Times New Roman" w:cs="Times New Roman"/>
          <w:sz w:val="20"/>
          <w:szCs w:val="20"/>
        </w:rPr>
        <w:t>a shift i</w:t>
      </w:r>
      <w:r w:rsidR="007F446F" w:rsidRPr="00605CF9">
        <w:rPr>
          <w:rFonts w:ascii="Times New Roman" w:hAnsi="Times New Roman" w:cs="Times New Roman"/>
          <w:sz w:val="20"/>
          <w:szCs w:val="20"/>
        </w:rPr>
        <w:t>n this basal resource can have</w:t>
      </w:r>
      <w:r w:rsidR="0044081B" w:rsidRPr="00605CF9">
        <w:rPr>
          <w:rFonts w:ascii="Times New Roman" w:hAnsi="Times New Roman" w:cs="Times New Roman"/>
          <w:sz w:val="20"/>
          <w:szCs w:val="20"/>
        </w:rPr>
        <w:t xml:space="preserve"> substantial effect</w:t>
      </w:r>
      <w:r w:rsidR="005045E3" w:rsidRPr="00605CF9">
        <w:rPr>
          <w:rFonts w:ascii="Times New Roman" w:hAnsi="Times New Roman" w:cs="Times New Roman"/>
          <w:sz w:val="20"/>
          <w:szCs w:val="20"/>
        </w:rPr>
        <w:t>s on</w:t>
      </w:r>
      <w:r w:rsidR="0044081B" w:rsidRPr="00605CF9">
        <w:rPr>
          <w:rFonts w:ascii="Times New Roman" w:hAnsi="Times New Roman" w:cs="Times New Roman"/>
          <w:sz w:val="20"/>
          <w:szCs w:val="20"/>
        </w:rPr>
        <w:t xml:space="preserve"> </w:t>
      </w:r>
      <w:r w:rsidR="005045E3" w:rsidRPr="00605CF9">
        <w:rPr>
          <w:rFonts w:ascii="Times New Roman" w:hAnsi="Times New Roman" w:cs="Times New Roman"/>
          <w:sz w:val="20"/>
          <w:szCs w:val="20"/>
        </w:rPr>
        <w:t xml:space="preserve">stream </w:t>
      </w:r>
      <w:r w:rsidR="0044081B" w:rsidRPr="00605CF9">
        <w:rPr>
          <w:rFonts w:ascii="Times New Roman" w:hAnsi="Times New Roman" w:cs="Times New Roman"/>
          <w:sz w:val="20"/>
          <w:szCs w:val="20"/>
        </w:rPr>
        <w:t xml:space="preserve">biota. </w:t>
      </w:r>
      <w:r w:rsidR="003275F5" w:rsidRPr="00605CF9">
        <w:rPr>
          <w:rFonts w:ascii="Times New Roman" w:hAnsi="Times New Roman" w:cs="Times New Roman"/>
          <w:sz w:val="20"/>
          <w:szCs w:val="20"/>
        </w:rPr>
        <w:t xml:space="preserve">Earlier research has shown that relieving light limitation by </w:t>
      </w:r>
      <w:r w:rsidR="00F80001" w:rsidRPr="00605CF9">
        <w:rPr>
          <w:rFonts w:ascii="Times New Roman" w:hAnsi="Times New Roman" w:cs="Times New Roman"/>
          <w:sz w:val="20"/>
          <w:szCs w:val="20"/>
        </w:rPr>
        <w:t>clear-cutting</w:t>
      </w:r>
      <w:r w:rsidR="003275F5" w:rsidRPr="00605CF9">
        <w:rPr>
          <w:rFonts w:ascii="Times New Roman" w:hAnsi="Times New Roman" w:cs="Times New Roman"/>
          <w:sz w:val="20"/>
          <w:szCs w:val="20"/>
        </w:rPr>
        <w:t xml:space="preserve"> riparian forest</w:t>
      </w:r>
      <w:r w:rsidR="00FD6152" w:rsidRPr="00605CF9">
        <w:rPr>
          <w:rFonts w:ascii="Times New Roman" w:hAnsi="Times New Roman" w:cs="Times New Roman"/>
          <w:sz w:val="20"/>
          <w:szCs w:val="20"/>
        </w:rPr>
        <w:t>s</w:t>
      </w:r>
      <w:r w:rsidR="003275F5" w:rsidRPr="00605CF9">
        <w:rPr>
          <w:rFonts w:ascii="Times New Roman" w:hAnsi="Times New Roman" w:cs="Times New Roman"/>
          <w:sz w:val="20"/>
          <w:szCs w:val="20"/>
        </w:rPr>
        <w:t xml:space="preserve"> can result in an increase in stream primary</w:t>
      </w:r>
      <w:r w:rsidR="00F80001" w:rsidRPr="00605CF9">
        <w:rPr>
          <w:rFonts w:ascii="Times New Roman" w:hAnsi="Times New Roman" w:cs="Times New Roman"/>
          <w:sz w:val="20"/>
          <w:szCs w:val="20"/>
        </w:rPr>
        <w:t xml:space="preserve"> and secondary</w:t>
      </w:r>
      <w:r w:rsidR="003275F5" w:rsidRPr="00605CF9">
        <w:rPr>
          <w:rFonts w:ascii="Times New Roman" w:hAnsi="Times New Roman" w:cs="Times New Roman"/>
          <w:sz w:val="20"/>
          <w:szCs w:val="20"/>
        </w:rPr>
        <w:t xml:space="preserve"> productivity</w:t>
      </w:r>
      <w:r w:rsidR="00B05051">
        <w:rPr>
          <w:rFonts w:ascii="Times New Roman" w:hAnsi="Times New Roman" w:cs="Times New Roman"/>
          <w:sz w:val="20"/>
          <w:szCs w:val="20"/>
        </w:rPr>
        <w:t xml:space="preserve"> </w:t>
      </w:r>
      <w:r w:rsidR="0056411D">
        <w:rPr>
          <w:rFonts w:ascii="Times New Roman" w:hAnsi="Times New Roman" w:cs="Times New Roman"/>
          <w:sz w:val="20"/>
          <w:szCs w:val="20"/>
        </w:rPr>
        <w:t>(</w:t>
      </w:r>
      <w:r w:rsidR="00711A08">
        <w:rPr>
          <w:rFonts w:ascii="Times New Roman" w:hAnsi="Times New Roman" w:cs="Times New Roman"/>
          <w:sz w:val="20"/>
          <w:szCs w:val="20"/>
        </w:rPr>
        <w:t>Bilby and Bisson, 1992)</w:t>
      </w:r>
      <w:r w:rsidR="003275F5" w:rsidRPr="00605CF9">
        <w:rPr>
          <w:rFonts w:ascii="Times New Roman" w:hAnsi="Times New Roman" w:cs="Times New Roman"/>
          <w:sz w:val="20"/>
          <w:szCs w:val="20"/>
        </w:rPr>
        <w:t xml:space="preserve">, but clear cutting along streams is no longer a </w:t>
      </w:r>
      <w:r w:rsidR="00CF149B" w:rsidRPr="00605CF9">
        <w:rPr>
          <w:rFonts w:ascii="Times New Roman" w:hAnsi="Times New Roman" w:cs="Times New Roman"/>
          <w:sz w:val="20"/>
          <w:szCs w:val="20"/>
        </w:rPr>
        <w:t>common practice</w:t>
      </w:r>
      <w:r w:rsidR="00F564BE" w:rsidRPr="00605CF9">
        <w:rPr>
          <w:rFonts w:ascii="Times New Roman" w:hAnsi="Times New Roman" w:cs="Times New Roman"/>
          <w:sz w:val="20"/>
          <w:szCs w:val="20"/>
        </w:rPr>
        <w:t xml:space="preserve"> in the Pacific Northwest.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5045E3" w:rsidRPr="00605CF9">
        <w:rPr>
          <w:rFonts w:ascii="Times New Roman" w:hAnsi="Times New Roman" w:cs="Times New Roman"/>
          <w:sz w:val="20"/>
          <w:szCs w:val="20"/>
        </w:rPr>
        <w:t>Even in managed landscapes riparian buffers are left.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7F446F" w:rsidRPr="00605CF9">
        <w:rPr>
          <w:rFonts w:ascii="Times New Roman" w:hAnsi="Times New Roman" w:cs="Times New Roman"/>
          <w:sz w:val="20"/>
          <w:szCs w:val="20"/>
        </w:rPr>
        <w:t>U</w:t>
      </w:r>
      <w:r w:rsidR="005045E3" w:rsidRPr="00605CF9">
        <w:rPr>
          <w:rFonts w:ascii="Times New Roman" w:hAnsi="Times New Roman" w:cs="Times New Roman"/>
          <w:sz w:val="20"/>
          <w:szCs w:val="20"/>
        </w:rPr>
        <w:t xml:space="preserve">nmanaged forests and these </w:t>
      </w:r>
      <w:r w:rsidR="007F446F" w:rsidRPr="00605CF9">
        <w:rPr>
          <w:rFonts w:ascii="Times New Roman" w:hAnsi="Times New Roman" w:cs="Times New Roman"/>
          <w:sz w:val="20"/>
          <w:szCs w:val="20"/>
        </w:rPr>
        <w:t>riparian forest buffers</w:t>
      </w:r>
      <w:r w:rsidR="005E6517" w:rsidRPr="00605CF9">
        <w:rPr>
          <w:rFonts w:ascii="Times New Roman" w:hAnsi="Times New Roman" w:cs="Times New Roman"/>
          <w:sz w:val="20"/>
          <w:szCs w:val="20"/>
        </w:rPr>
        <w:t xml:space="preserve"> are in the early stages of stand regeneration with dense homogenous canopy cover</w:t>
      </w:r>
      <w:r w:rsidR="007B6A5A" w:rsidRPr="00605CF9">
        <w:rPr>
          <w:rFonts w:ascii="Times New Roman" w:hAnsi="Times New Roman" w:cs="Times New Roman"/>
          <w:sz w:val="20"/>
          <w:szCs w:val="20"/>
        </w:rPr>
        <w:t xml:space="preserve"> and low stream light</w:t>
      </w:r>
      <w:r w:rsidR="005E6517" w:rsidRPr="00605CF9">
        <w:rPr>
          <w:rFonts w:ascii="Times New Roman" w:hAnsi="Times New Roman" w:cs="Times New Roman"/>
          <w:sz w:val="20"/>
          <w:szCs w:val="20"/>
        </w:rPr>
        <w:t>.</w:t>
      </w:r>
      <w:r w:rsidR="00CF149B" w:rsidRPr="00605CF9">
        <w:rPr>
          <w:rFonts w:ascii="Times New Roman" w:hAnsi="Times New Roman" w:cs="Times New Roman"/>
          <w:sz w:val="20"/>
          <w:szCs w:val="20"/>
        </w:rPr>
        <w:t xml:space="preserve"> </w:t>
      </w:r>
      <w:r w:rsidR="005E6517" w:rsidRPr="00605CF9">
        <w:rPr>
          <w:rFonts w:ascii="Times New Roman" w:hAnsi="Times New Roman" w:cs="Times New Roman"/>
          <w:sz w:val="20"/>
          <w:szCs w:val="20"/>
        </w:rPr>
        <w:t>As forest succession continues</w:t>
      </w:r>
      <w:r w:rsidR="003D7171">
        <w:rPr>
          <w:rFonts w:ascii="Times New Roman" w:hAnsi="Times New Roman" w:cs="Times New Roman"/>
          <w:sz w:val="20"/>
          <w:szCs w:val="20"/>
        </w:rPr>
        <w:t>,</w:t>
      </w:r>
      <w:r w:rsidR="005E6517" w:rsidRPr="00605CF9">
        <w:rPr>
          <w:rFonts w:ascii="Times New Roman" w:hAnsi="Times New Roman" w:cs="Times New Roman"/>
          <w:sz w:val="20"/>
          <w:szCs w:val="20"/>
        </w:rPr>
        <w:t xml:space="preserve"> natural disturbances and tree mortality will increase canopy heterogeneity through the introduction of gaps.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5045E3" w:rsidRPr="00605CF9">
        <w:rPr>
          <w:rFonts w:ascii="Times New Roman" w:hAnsi="Times New Roman" w:cs="Times New Roman"/>
          <w:sz w:val="20"/>
          <w:szCs w:val="20"/>
        </w:rPr>
        <w:t xml:space="preserve">While studies on forest </w:t>
      </w:r>
      <w:r w:rsidR="007F446F" w:rsidRPr="00605CF9">
        <w:rPr>
          <w:rFonts w:ascii="Times New Roman" w:hAnsi="Times New Roman" w:cs="Times New Roman"/>
          <w:sz w:val="20"/>
          <w:szCs w:val="20"/>
        </w:rPr>
        <w:t>clearing</w:t>
      </w:r>
      <w:r w:rsidR="005045E3" w:rsidRPr="00605CF9">
        <w:rPr>
          <w:rFonts w:ascii="Times New Roman" w:hAnsi="Times New Roman" w:cs="Times New Roman"/>
          <w:sz w:val="20"/>
          <w:szCs w:val="20"/>
        </w:rPr>
        <w:t xml:space="preserve"> demonstrate a clear response in benthic primary producers, invertebrates</w:t>
      </w:r>
      <w:r w:rsidR="00710FA0">
        <w:rPr>
          <w:rFonts w:ascii="Times New Roman" w:hAnsi="Times New Roman" w:cs="Times New Roman"/>
          <w:sz w:val="20"/>
          <w:szCs w:val="20"/>
        </w:rPr>
        <w:t>,</w:t>
      </w:r>
      <w:r w:rsidR="005045E3" w:rsidRPr="00605CF9">
        <w:rPr>
          <w:rFonts w:ascii="Times New Roman" w:hAnsi="Times New Roman" w:cs="Times New Roman"/>
          <w:sz w:val="20"/>
          <w:szCs w:val="20"/>
        </w:rPr>
        <w:t xml:space="preserve"> and fish </w:t>
      </w:r>
      <w:r w:rsidR="00C67F9B">
        <w:rPr>
          <w:rFonts w:ascii="Times New Roman" w:hAnsi="Times New Roman" w:cs="Times New Roman"/>
          <w:sz w:val="20"/>
          <w:szCs w:val="20"/>
        </w:rPr>
        <w:t>when a whole reach is relieved of light limitation</w:t>
      </w:r>
      <w:r w:rsidR="00710FA0">
        <w:rPr>
          <w:rFonts w:ascii="Times New Roman" w:hAnsi="Times New Roman" w:cs="Times New Roman"/>
          <w:sz w:val="20"/>
          <w:szCs w:val="20"/>
        </w:rPr>
        <w:t xml:space="preserve"> </w:t>
      </w:r>
      <w:r w:rsidR="00710FA0">
        <w:rPr>
          <w:rFonts w:ascii="Times New Roman" w:hAnsi="Times New Roman" w:cs="Times New Roman"/>
          <w:sz w:val="20"/>
          <w:szCs w:val="20"/>
        </w:rPr>
        <w:t>(Wootton, 2012)</w:t>
      </w:r>
      <w:r w:rsidR="007B6A5A" w:rsidRPr="00605CF9">
        <w:rPr>
          <w:rFonts w:ascii="Times New Roman" w:hAnsi="Times New Roman" w:cs="Times New Roman"/>
          <w:sz w:val="20"/>
          <w:szCs w:val="20"/>
        </w:rPr>
        <w:t>, the effects of localized light patches – that reflect a more realistic picture of future stream conditions in forest</w:t>
      </w:r>
      <w:r w:rsidR="00185EDF" w:rsidRPr="00605CF9">
        <w:rPr>
          <w:rFonts w:ascii="Times New Roman" w:hAnsi="Times New Roman" w:cs="Times New Roman"/>
          <w:sz w:val="20"/>
          <w:szCs w:val="20"/>
        </w:rPr>
        <w:t>ed</w:t>
      </w:r>
      <w:r w:rsidR="007B6A5A" w:rsidRPr="00605CF9">
        <w:rPr>
          <w:rFonts w:ascii="Times New Roman" w:hAnsi="Times New Roman" w:cs="Times New Roman"/>
          <w:sz w:val="20"/>
          <w:szCs w:val="20"/>
        </w:rPr>
        <w:t xml:space="preserve"> landscapes – have not been evaluated. </w:t>
      </w:r>
      <w:r w:rsidR="00F63FAB" w:rsidRPr="00605CF9">
        <w:rPr>
          <w:rFonts w:ascii="Times New Roman" w:hAnsi="Times New Roman" w:cs="Times New Roman"/>
          <w:sz w:val="20"/>
          <w:szCs w:val="20"/>
        </w:rPr>
        <w:t>To understa</w:t>
      </w:r>
      <w:r w:rsidR="007B2C92" w:rsidRPr="00605CF9">
        <w:rPr>
          <w:rFonts w:ascii="Times New Roman" w:hAnsi="Times New Roman" w:cs="Times New Roman"/>
          <w:sz w:val="20"/>
          <w:szCs w:val="20"/>
        </w:rPr>
        <w:t xml:space="preserve">nd how aquatic food webs </w:t>
      </w:r>
      <w:r w:rsidR="00F63FAB" w:rsidRPr="00605CF9">
        <w:rPr>
          <w:rFonts w:ascii="Times New Roman" w:hAnsi="Times New Roman" w:cs="Times New Roman"/>
          <w:sz w:val="20"/>
          <w:szCs w:val="20"/>
        </w:rPr>
        <w:t xml:space="preserve">respond to an increase in light associated with canopy gaps, </w:t>
      </w:r>
      <w:r w:rsidR="00C02876">
        <w:rPr>
          <w:rFonts w:ascii="Times New Roman" w:hAnsi="Times New Roman" w:cs="Times New Roman"/>
          <w:sz w:val="20"/>
          <w:szCs w:val="20"/>
        </w:rPr>
        <w:t>I</w:t>
      </w:r>
      <w:r w:rsidR="007B2C92" w:rsidRPr="00605CF9">
        <w:rPr>
          <w:rFonts w:ascii="Times New Roman" w:hAnsi="Times New Roman" w:cs="Times New Roman"/>
          <w:sz w:val="20"/>
          <w:szCs w:val="20"/>
        </w:rPr>
        <w:t xml:space="preserve"> </w:t>
      </w:r>
      <w:r w:rsidR="007761CA" w:rsidRPr="00605CF9">
        <w:rPr>
          <w:rFonts w:ascii="Times New Roman" w:hAnsi="Times New Roman" w:cs="Times New Roman"/>
          <w:sz w:val="20"/>
          <w:szCs w:val="20"/>
        </w:rPr>
        <w:t>investigate</w:t>
      </w:r>
      <w:r w:rsidR="00E325C3" w:rsidRPr="00605CF9">
        <w:rPr>
          <w:rFonts w:ascii="Times New Roman" w:hAnsi="Times New Roman" w:cs="Times New Roman"/>
          <w:sz w:val="20"/>
          <w:szCs w:val="20"/>
        </w:rPr>
        <w:t xml:space="preserve"> the response of macroinvertebrates and </w:t>
      </w:r>
      <w:r w:rsidR="00296AEE" w:rsidRPr="00605CF9">
        <w:rPr>
          <w:rFonts w:ascii="Times New Roman" w:hAnsi="Times New Roman" w:cs="Times New Roman"/>
          <w:sz w:val="20"/>
          <w:szCs w:val="20"/>
        </w:rPr>
        <w:t>fish feeding</w:t>
      </w:r>
      <w:r w:rsidR="00F63FAB" w:rsidRPr="00605CF9">
        <w:rPr>
          <w:rFonts w:ascii="Times New Roman" w:hAnsi="Times New Roman" w:cs="Times New Roman"/>
          <w:sz w:val="20"/>
          <w:szCs w:val="20"/>
        </w:rPr>
        <w:t xml:space="preserve"> to canopy</w:t>
      </w:r>
      <w:r w:rsidR="00296AEE" w:rsidRPr="00605CF9">
        <w:rPr>
          <w:rFonts w:ascii="Times New Roman" w:hAnsi="Times New Roman" w:cs="Times New Roman"/>
          <w:sz w:val="20"/>
          <w:szCs w:val="20"/>
        </w:rPr>
        <w:t>-opening</w:t>
      </w:r>
      <w:r w:rsidR="00F63FAB" w:rsidRPr="00605CF9">
        <w:rPr>
          <w:rFonts w:ascii="Times New Roman" w:hAnsi="Times New Roman" w:cs="Times New Roman"/>
          <w:sz w:val="20"/>
          <w:szCs w:val="20"/>
        </w:rPr>
        <w:t xml:space="preserve"> manipulations.</w:t>
      </w:r>
    </w:p>
    <w:p w14:paraId="409C9A33" w14:textId="4A14D334" w:rsidR="00586F82" w:rsidRPr="00605CF9" w:rsidRDefault="006B3D5A" w:rsidP="005145CF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Stream food webs are influenced by light in multiple ways.</w:t>
      </w:r>
      <w:r w:rsidR="005B7159" w:rsidRPr="00501ADD">
        <w:rPr>
          <w:rFonts w:ascii="Times New Roman" w:hAnsi="Times New Roman" w:cs="Times New Roman"/>
          <w:sz w:val="20"/>
          <w:szCs w:val="20"/>
        </w:rPr>
        <w:t xml:space="preserve"> </w:t>
      </w:r>
      <w:r w:rsidR="004D0F51" w:rsidRPr="00501ADD">
        <w:rPr>
          <w:rFonts w:ascii="Times New Roman" w:hAnsi="Times New Roman" w:cs="Times New Roman"/>
          <w:sz w:val="20"/>
          <w:szCs w:val="20"/>
        </w:rPr>
        <w:t>Light can enhance algal growth, acting as a bottom-up driver of secondary production, but it can also increase</w:t>
      </w:r>
      <w:r w:rsidR="004D0F51" w:rsidRPr="00605CF9">
        <w:rPr>
          <w:rFonts w:ascii="Times New Roman" w:hAnsi="Times New Roman" w:cs="Times New Roman"/>
          <w:sz w:val="20"/>
          <w:szCs w:val="20"/>
        </w:rPr>
        <w:t xml:space="preserve"> foraging efficiency of fish</w:t>
      </w:r>
      <w:r w:rsidR="00AB3ED6">
        <w:rPr>
          <w:rFonts w:ascii="Times New Roman" w:hAnsi="Times New Roman" w:cs="Times New Roman"/>
          <w:sz w:val="20"/>
          <w:szCs w:val="20"/>
        </w:rPr>
        <w:t xml:space="preserve"> (</w:t>
      </w:r>
      <w:r w:rsidR="00251414">
        <w:rPr>
          <w:rFonts w:ascii="Times New Roman" w:hAnsi="Times New Roman" w:cs="Times New Roman"/>
          <w:sz w:val="20"/>
          <w:szCs w:val="20"/>
        </w:rPr>
        <w:t>Wilzbach et. al, 1986)</w:t>
      </w:r>
      <w:r w:rsidR="004D0F51" w:rsidRPr="00605CF9">
        <w:rPr>
          <w:rFonts w:ascii="Times New Roman" w:hAnsi="Times New Roman" w:cs="Times New Roman"/>
          <w:sz w:val="20"/>
          <w:szCs w:val="20"/>
        </w:rPr>
        <w:t>, imposing a top-down pressure on macroinvertebrates</w:t>
      </w:r>
      <w:r w:rsidR="0069797F">
        <w:rPr>
          <w:rFonts w:ascii="Times New Roman" w:hAnsi="Times New Roman" w:cs="Times New Roman"/>
          <w:sz w:val="20"/>
          <w:szCs w:val="20"/>
        </w:rPr>
        <w:t xml:space="preserve">. </w:t>
      </w:r>
      <w:r w:rsidR="0080097A">
        <w:rPr>
          <w:rFonts w:ascii="Times New Roman" w:hAnsi="Times New Roman" w:cs="Times New Roman"/>
          <w:sz w:val="20"/>
          <w:szCs w:val="20"/>
        </w:rPr>
        <w:t xml:space="preserve">Understanding the predator-prey dynamic between invertebrates and fish </w:t>
      </w:r>
      <w:r>
        <w:rPr>
          <w:rFonts w:ascii="Times New Roman" w:hAnsi="Times New Roman" w:cs="Times New Roman"/>
          <w:sz w:val="20"/>
          <w:szCs w:val="20"/>
        </w:rPr>
        <w:t xml:space="preserve">when a small gap is cut requires fish diet data. However, diet contents can be hard to identify </w:t>
      </w:r>
      <w:r w:rsidR="00E50EA4">
        <w:rPr>
          <w:rFonts w:ascii="Times New Roman" w:hAnsi="Times New Roman" w:cs="Times New Roman"/>
          <w:sz w:val="20"/>
          <w:szCs w:val="20"/>
        </w:rPr>
        <w:t>and, in this study, were only identified</w:t>
      </w:r>
      <w:r w:rsidR="006B0BC5">
        <w:rPr>
          <w:rFonts w:ascii="Times New Roman" w:hAnsi="Times New Roman" w:cs="Times New Roman"/>
          <w:sz w:val="20"/>
          <w:szCs w:val="20"/>
        </w:rPr>
        <w:t xml:space="preserve"> down</w:t>
      </w:r>
      <w:r w:rsidR="00E50EA4">
        <w:rPr>
          <w:rFonts w:ascii="Times New Roman" w:hAnsi="Times New Roman" w:cs="Times New Roman"/>
          <w:sz w:val="20"/>
          <w:szCs w:val="20"/>
        </w:rPr>
        <w:t xml:space="preserve"> to the family level. In order to ensure that family level identif</w:t>
      </w:r>
      <w:r w:rsidR="006B1637">
        <w:rPr>
          <w:rFonts w:ascii="Times New Roman" w:hAnsi="Times New Roman" w:cs="Times New Roman"/>
          <w:sz w:val="20"/>
          <w:szCs w:val="20"/>
        </w:rPr>
        <w:t>ication was still represent</w:t>
      </w:r>
      <w:r w:rsidR="00863B79">
        <w:rPr>
          <w:rFonts w:ascii="Times New Roman" w:hAnsi="Times New Roman" w:cs="Times New Roman"/>
          <w:sz w:val="20"/>
          <w:szCs w:val="20"/>
        </w:rPr>
        <w:t>ative of</w:t>
      </w:r>
      <w:r w:rsidR="006B1637">
        <w:rPr>
          <w:rFonts w:ascii="Times New Roman" w:hAnsi="Times New Roman" w:cs="Times New Roman"/>
          <w:sz w:val="20"/>
          <w:szCs w:val="20"/>
        </w:rPr>
        <w:t xml:space="preserve"> </w:t>
      </w:r>
      <w:r w:rsidR="00E50EA4">
        <w:rPr>
          <w:rFonts w:ascii="Times New Roman" w:hAnsi="Times New Roman" w:cs="Times New Roman"/>
          <w:sz w:val="20"/>
          <w:szCs w:val="20"/>
        </w:rPr>
        <w:t>comm</w:t>
      </w:r>
      <w:r w:rsidR="002310B5">
        <w:rPr>
          <w:rFonts w:ascii="Times New Roman" w:hAnsi="Times New Roman" w:cs="Times New Roman"/>
          <w:sz w:val="20"/>
          <w:szCs w:val="20"/>
        </w:rPr>
        <w:t>unity shifts in benthic taxa</w:t>
      </w:r>
      <w:r w:rsidR="00324A6A">
        <w:rPr>
          <w:rFonts w:ascii="Times New Roman" w:hAnsi="Times New Roman" w:cs="Times New Roman"/>
          <w:sz w:val="20"/>
          <w:szCs w:val="20"/>
        </w:rPr>
        <w:t>,</w:t>
      </w:r>
      <w:r w:rsidR="002310B5">
        <w:rPr>
          <w:rFonts w:ascii="Times New Roman" w:hAnsi="Times New Roman" w:cs="Times New Roman"/>
          <w:sz w:val="20"/>
          <w:szCs w:val="20"/>
        </w:rPr>
        <w:t xml:space="preserve"> I</w:t>
      </w:r>
      <w:r w:rsidR="00E50EA4">
        <w:rPr>
          <w:rFonts w:ascii="Times New Roman" w:hAnsi="Times New Roman" w:cs="Times New Roman"/>
          <w:sz w:val="20"/>
          <w:szCs w:val="20"/>
        </w:rPr>
        <w:t xml:space="preserve"> will compare benthic analyses performed at </w:t>
      </w:r>
      <w:r w:rsidR="00F427A0">
        <w:rPr>
          <w:rFonts w:ascii="Times New Roman" w:hAnsi="Times New Roman" w:cs="Times New Roman"/>
          <w:sz w:val="20"/>
          <w:szCs w:val="20"/>
        </w:rPr>
        <w:t>both the family level and</w:t>
      </w:r>
      <w:r w:rsidR="00324A6A">
        <w:rPr>
          <w:rFonts w:ascii="Times New Roman" w:hAnsi="Times New Roman" w:cs="Times New Roman"/>
          <w:sz w:val="20"/>
          <w:szCs w:val="20"/>
        </w:rPr>
        <w:t xml:space="preserve"> the lowest taxonomic resolution </w:t>
      </w:r>
      <w:r w:rsidR="00863B79">
        <w:rPr>
          <w:rFonts w:ascii="Times New Roman" w:hAnsi="Times New Roman" w:cs="Times New Roman"/>
          <w:sz w:val="20"/>
          <w:szCs w:val="20"/>
        </w:rPr>
        <w:t xml:space="preserve">of the data </w:t>
      </w:r>
      <w:r w:rsidR="00324A6A">
        <w:rPr>
          <w:rFonts w:ascii="Times New Roman" w:hAnsi="Times New Roman" w:cs="Times New Roman"/>
          <w:sz w:val="20"/>
          <w:szCs w:val="20"/>
        </w:rPr>
        <w:t>to ensure that family level analysis results in similar conclusions</w:t>
      </w:r>
      <w:r w:rsidR="00863B79">
        <w:rPr>
          <w:rFonts w:ascii="Times New Roman" w:hAnsi="Times New Roman" w:cs="Times New Roman"/>
          <w:sz w:val="20"/>
          <w:szCs w:val="20"/>
        </w:rPr>
        <w:t xml:space="preserve"> </w:t>
      </w:r>
      <w:r w:rsidR="00F427A0">
        <w:rPr>
          <w:rFonts w:ascii="Times New Roman" w:hAnsi="Times New Roman" w:cs="Times New Roman"/>
          <w:sz w:val="20"/>
          <w:szCs w:val="20"/>
        </w:rPr>
        <w:t xml:space="preserve">as </w:t>
      </w:r>
      <w:r w:rsidR="00924ADB">
        <w:rPr>
          <w:rFonts w:ascii="Times New Roman" w:hAnsi="Times New Roman" w:cs="Times New Roman"/>
          <w:sz w:val="20"/>
          <w:szCs w:val="20"/>
        </w:rPr>
        <w:t xml:space="preserve">those </w:t>
      </w:r>
      <w:r w:rsidR="00863B79">
        <w:rPr>
          <w:rFonts w:ascii="Times New Roman" w:hAnsi="Times New Roman" w:cs="Times New Roman"/>
          <w:sz w:val="20"/>
          <w:szCs w:val="20"/>
        </w:rPr>
        <w:t>drawn from lower levels of identification</w:t>
      </w:r>
      <w:r w:rsidR="00E50EA4">
        <w:rPr>
          <w:rFonts w:ascii="Times New Roman" w:hAnsi="Times New Roman" w:cs="Times New Roman"/>
          <w:sz w:val="20"/>
          <w:szCs w:val="20"/>
        </w:rPr>
        <w:t>.</w:t>
      </w:r>
    </w:p>
    <w:p w14:paraId="0E3A95E2" w14:textId="77777777" w:rsidR="003C34B5" w:rsidRPr="00605CF9" w:rsidRDefault="003C34B5" w:rsidP="005145CF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6F2A8C89" w14:textId="7CF6541F" w:rsidR="00FE694D" w:rsidRPr="00591A61" w:rsidRDefault="00023E97" w:rsidP="005145CF">
      <w:pPr>
        <w:outlineLvl w:val="0"/>
        <w:rPr>
          <w:rFonts w:ascii="Times New Roman" w:hAnsi="Times New Roman" w:cs="Times New Roman"/>
          <w:b/>
        </w:rPr>
      </w:pPr>
      <w:r w:rsidRPr="00591A61">
        <w:rPr>
          <w:rFonts w:ascii="Times New Roman" w:hAnsi="Times New Roman" w:cs="Times New Roman"/>
          <w:b/>
        </w:rPr>
        <w:t>Methods</w:t>
      </w:r>
    </w:p>
    <w:p w14:paraId="589F93CF" w14:textId="4F025885" w:rsidR="00023E97" w:rsidRPr="00605CF9" w:rsidRDefault="00A115BA" w:rsidP="005145CF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05CF9">
        <w:rPr>
          <w:rFonts w:ascii="Times New Roman" w:hAnsi="Times New Roman" w:cs="Times New Roman"/>
          <w:i/>
          <w:sz w:val="20"/>
          <w:szCs w:val="20"/>
        </w:rPr>
        <w:t xml:space="preserve">Study </w:t>
      </w:r>
      <w:r w:rsidR="00231AB1" w:rsidRPr="00605CF9">
        <w:rPr>
          <w:rFonts w:ascii="Times New Roman" w:hAnsi="Times New Roman" w:cs="Times New Roman"/>
          <w:i/>
          <w:sz w:val="20"/>
          <w:szCs w:val="20"/>
        </w:rPr>
        <w:t>location</w:t>
      </w:r>
    </w:p>
    <w:p w14:paraId="4630794B" w14:textId="490A1FB0" w:rsidR="00F638A3" w:rsidRPr="00605CF9" w:rsidRDefault="006A437B" w:rsidP="005145CF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05CF9">
        <w:rPr>
          <w:rFonts w:ascii="Times New Roman" w:hAnsi="Times New Roman" w:cs="Times New Roman"/>
          <w:sz w:val="20"/>
          <w:szCs w:val="20"/>
        </w:rPr>
        <w:t>The study consists</w:t>
      </w:r>
      <w:r w:rsidR="00924ADB">
        <w:rPr>
          <w:rFonts w:ascii="Times New Roman" w:hAnsi="Times New Roman" w:cs="Times New Roman"/>
          <w:sz w:val="20"/>
          <w:szCs w:val="20"/>
        </w:rPr>
        <w:t xml:space="preserve"> of five</w:t>
      </w:r>
      <w:r w:rsidR="007366DD" w:rsidRPr="00605CF9">
        <w:rPr>
          <w:rFonts w:ascii="Times New Roman" w:hAnsi="Times New Roman" w:cs="Times New Roman"/>
          <w:sz w:val="20"/>
          <w:szCs w:val="20"/>
        </w:rPr>
        <w:t xml:space="preserve"> reach pairs on five separate streams in the western Cascade Mountains of Oregon.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5F4B9F">
        <w:rPr>
          <w:rFonts w:ascii="Times New Roman" w:hAnsi="Times New Roman" w:cs="Times New Roman"/>
          <w:sz w:val="20"/>
          <w:szCs w:val="20"/>
        </w:rPr>
        <w:t xml:space="preserve">Each reach pair consisted of one treatment reach and one control reach. </w:t>
      </w:r>
      <w:r w:rsidR="004674C4" w:rsidRPr="00605CF9">
        <w:rPr>
          <w:rFonts w:ascii="Times New Roman" w:hAnsi="Times New Roman" w:cs="Times New Roman"/>
          <w:sz w:val="20"/>
          <w:szCs w:val="20"/>
        </w:rPr>
        <w:t xml:space="preserve">Two of the reach pairs (W-100, W-113) </w:t>
      </w:r>
      <w:r w:rsidRPr="00605CF9">
        <w:rPr>
          <w:rFonts w:ascii="Times New Roman" w:hAnsi="Times New Roman" w:cs="Times New Roman"/>
          <w:sz w:val="20"/>
          <w:szCs w:val="20"/>
        </w:rPr>
        <w:t>are</w:t>
      </w:r>
      <w:r w:rsidR="004674C4" w:rsidRPr="00605CF9">
        <w:rPr>
          <w:rFonts w:ascii="Times New Roman" w:hAnsi="Times New Roman" w:cs="Times New Roman"/>
          <w:sz w:val="20"/>
          <w:szCs w:val="20"/>
        </w:rPr>
        <w:t xml:space="preserve"> located on private Weyerhaeuser Co. land, and </w:t>
      </w:r>
      <w:r w:rsidR="004674C4" w:rsidRPr="00BE719C">
        <w:rPr>
          <w:rFonts w:ascii="Times New Roman" w:hAnsi="Times New Roman" w:cs="Times New Roman"/>
          <w:sz w:val="20"/>
          <w:szCs w:val="20"/>
        </w:rPr>
        <w:t>three</w:t>
      </w:r>
      <w:r w:rsidR="004674C4" w:rsidRPr="00605CF9">
        <w:rPr>
          <w:rFonts w:ascii="Times New Roman" w:hAnsi="Times New Roman" w:cs="Times New Roman"/>
          <w:sz w:val="20"/>
          <w:szCs w:val="20"/>
        </w:rPr>
        <w:t xml:space="preserve"> (LOON, CHUCK, MCTE) </w:t>
      </w:r>
      <w:r w:rsidRPr="00605CF9">
        <w:rPr>
          <w:rFonts w:ascii="Times New Roman" w:hAnsi="Times New Roman" w:cs="Times New Roman"/>
          <w:sz w:val="20"/>
          <w:szCs w:val="20"/>
        </w:rPr>
        <w:t xml:space="preserve">are </w:t>
      </w:r>
      <w:r w:rsidR="004674C4" w:rsidRPr="00605CF9">
        <w:rPr>
          <w:rFonts w:ascii="Times New Roman" w:hAnsi="Times New Roman" w:cs="Times New Roman"/>
          <w:sz w:val="20"/>
          <w:szCs w:val="20"/>
        </w:rPr>
        <w:t>located on U.S. Forest Service land, one of which (MCTE)</w:t>
      </w:r>
      <w:r w:rsidRPr="00605CF9">
        <w:rPr>
          <w:rFonts w:ascii="Times New Roman" w:hAnsi="Times New Roman" w:cs="Times New Roman"/>
          <w:sz w:val="20"/>
          <w:szCs w:val="20"/>
        </w:rPr>
        <w:t xml:space="preserve"> is</w:t>
      </w:r>
      <w:r w:rsidR="004674C4" w:rsidRPr="00605CF9">
        <w:rPr>
          <w:rFonts w:ascii="Times New Roman" w:hAnsi="Times New Roman" w:cs="Times New Roman"/>
          <w:sz w:val="20"/>
          <w:szCs w:val="20"/>
        </w:rPr>
        <w:t xml:space="preserve"> situated in the HJ Andrews Experimental Forest.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F638A3" w:rsidRPr="00605CF9">
        <w:rPr>
          <w:rFonts w:ascii="Times New Roman" w:hAnsi="Times New Roman" w:cs="Times New Roman"/>
          <w:sz w:val="20"/>
          <w:szCs w:val="20"/>
        </w:rPr>
        <w:t xml:space="preserve">Stream reaches were 90 meters in length and treatment gaps were </w:t>
      </w:r>
      <w:r w:rsidR="00016A6B">
        <w:rPr>
          <w:rFonts w:ascii="Times New Roman" w:hAnsi="Times New Roman" w:cs="Times New Roman"/>
          <w:sz w:val="20"/>
          <w:szCs w:val="20"/>
        </w:rPr>
        <w:t xml:space="preserve">30 to 40 </w:t>
      </w:r>
      <w:r w:rsidR="00F638A3" w:rsidRPr="00605CF9">
        <w:rPr>
          <w:rFonts w:ascii="Times New Roman" w:hAnsi="Times New Roman" w:cs="Times New Roman"/>
          <w:sz w:val="20"/>
          <w:szCs w:val="20"/>
        </w:rPr>
        <w:t>meters in diameter</w:t>
      </w:r>
      <w:r w:rsidR="00126E41">
        <w:rPr>
          <w:rFonts w:ascii="Times New Roman" w:hAnsi="Times New Roman" w:cs="Times New Roman"/>
          <w:sz w:val="20"/>
          <w:szCs w:val="20"/>
        </w:rPr>
        <w:t xml:space="preserve"> and</w:t>
      </w:r>
      <w:r w:rsidR="00F638A3" w:rsidRPr="00605CF9">
        <w:rPr>
          <w:rFonts w:ascii="Times New Roman" w:hAnsi="Times New Roman" w:cs="Times New Roman"/>
          <w:sz w:val="20"/>
          <w:szCs w:val="20"/>
        </w:rPr>
        <w:t xml:space="preserve"> situated approximately in the middle of treatment reaches.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4C413C" w:rsidRPr="00605CF9">
        <w:rPr>
          <w:rFonts w:ascii="Times New Roman" w:hAnsi="Times New Roman" w:cs="Times New Roman"/>
          <w:sz w:val="20"/>
          <w:szCs w:val="20"/>
        </w:rPr>
        <w:t xml:space="preserve">Reach pairs </w:t>
      </w:r>
      <w:r w:rsidR="004C413C" w:rsidRPr="00501ADD">
        <w:rPr>
          <w:rFonts w:ascii="Times New Roman" w:hAnsi="Times New Roman" w:cs="Times New Roman"/>
          <w:sz w:val="20"/>
          <w:szCs w:val="20"/>
        </w:rPr>
        <w:t xml:space="preserve">were </w:t>
      </w:r>
      <w:r w:rsidR="00016A6B" w:rsidRPr="00501ADD">
        <w:rPr>
          <w:rFonts w:ascii="Times New Roman" w:hAnsi="Times New Roman" w:cs="Times New Roman"/>
          <w:sz w:val="20"/>
          <w:szCs w:val="20"/>
        </w:rPr>
        <w:t xml:space="preserve">spaced at least </w:t>
      </w:r>
      <w:r w:rsidR="00501ADD" w:rsidRPr="00501ADD">
        <w:rPr>
          <w:rFonts w:ascii="Times New Roman" w:hAnsi="Times New Roman" w:cs="Times New Roman"/>
          <w:sz w:val="20"/>
          <w:szCs w:val="20"/>
        </w:rPr>
        <w:t>30</w:t>
      </w:r>
      <w:r w:rsidR="00136E21" w:rsidRPr="00501ADD">
        <w:rPr>
          <w:rFonts w:ascii="Times New Roman" w:hAnsi="Times New Roman" w:cs="Times New Roman"/>
          <w:sz w:val="20"/>
          <w:szCs w:val="20"/>
        </w:rPr>
        <w:t xml:space="preserve"> meters apart</w:t>
      </w:r>
      <w:r w:rsidR="00136E21" w:rsidRPr="00605CF9">
        <w:rPr>
          <w:rFonts w:ascii="Times New Roman" w:hAnsi="Times New Roman" w:cs="Times New Roman"/>
          <w:sz w:val="20"/>
          <w:szCs w:val="20"/>
        </w:rPr>
        <w:t xml:space="preserve"> to </w:t>
      </w:r>
      <w:r w:rsidR="00501ADD">
        <w:rPr>
          <w:rFonts w:ascii="Times New Roman" w:hAnsi="Times New Roman" w:cs="Times New Roman"/>
          <w:sz w:val="20"/>
          <w:szCs w:val="20"/>
        </w:rPr>
        <w:t>limit</w:t>
      </w:r>
      <w:r w:rsidR="00136E21" w:rsidRPr="00605CF9">
        <w:rPr>
          <w:rFonts w:ascii="Times New Roman" w:hAnsi="Times New Roman" w:cs="Times New Roman"/>
          <w:sz w:val="20"/>
          <w:szCs w:val="20"/>
        </w:rPr>
        <w:t xml:space="preserve"> any effects of the upstream reach on downstream conditions</w:t>
      </w:r>
      <w:r w:rsidR="002F5D3B" w:rsidRPr="00605CF9">
        <w:rPr>
          <w:rFonts w:ascii="Times New Roman" w:hAnsi="Times New Roman" w:cs="Times New Roman"/>
          <w:sz w:val="20"/>
          <w:szCs w:val="20"/>
        </w:rPr>
        <w:t>.</w:t>
      </w:r>
    </w:p>
    <w:p w14:paraId="55A1D284" w14:textId="4BF796A2" w:rsidR="00265986" w:rsidRDefault="006A437B" w:rsidP="005145CF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05CF9">
        <w:rPr>
          <w:rFonts w:ascii="Times New Roman" w:hAnsi="Times New Roman" w:cs="Times New Roman"/>
          <w:sz w:val="20"/>
          <w:szCs w:val="20"/>
        </w:rPr>
        <w:t>All of the streams are</w:t>
      </w:r>
      <w:r w:rsidR="004674C4" w:rsidRPr="00605CF9">
        <w:rPr>
          <w:rFonts w:ascii="Times New Roman" w:hAnsi="Times New Roman" w:cs="Times New Roman"/>
          <w:sz w:val="20"/>
          <w:szCs w:val="20"/>
        </w:rPr>
        <w:t xml:space="preserve"> wadeable, fish-bearing streams with bankfull widths of 1-8 meters.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E236CC" w:rsidRPr="00605CF9">
        <w:rPr>
          <w:rFonts w:ascii="Times New Roman" w:hAnsi="Times New Roman" w:cs="Times New Roman"/>
          <w:sz w:val="20"/>
          <w:szCs w:val="20"/>
        </w:rPr>
        <w:t xml:space="preserve">Fish-bearing streams were purposefully selected to provide management-relevant results for </w:t>
      </w:r>
      <w:r w:rsidR="00567735">
        <w:rPr>
          <w:rFonts w:ascii="Times New Roman" w:hAnsi="Times New Roman" w:cs="Times New Roman"/>
          <w:sz w:val="20"/>
          <w:szCs w:val="20"/>
        </w:rPr>
        <w:t>key species such as salmonids</w:t>
      </w:r>
      <w:r w:rsidR="00E236CC" w:rsidRPr="00605CF9">
        <w:rPr>
          <w:rFonts w:ascii="Times New Roman" w:hAnsi="Times New Roman" w:cs="Times New Roman"/>
          <w:sz w:val="20"/>
          <w:szCs w:val="20"/>
        </w:rPr>
        <w:t>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7076DF" w:rsidRPr="00605CF9">
        <w:rPr>
          <w:rFonts w:ascii="Times New Roman" w:hAnsi="Times New Roman" w:cs="Times New Roman"/>
          <w:sz w:val="20"/>
          <w:szCs w:val="20"/>
        </w:rPr>
        <w:t>The streams run through 40-60-year-old forests that had previously been harvested without leaving a riparian buffer.</w:t>
      </w:r>
      <w:r w:rsidR="007076DF">
        <w:rPr>
          <w:rFonts w:ascii="Times New Roman" w:hAnsi="Times New Roman" w:cs="Times New Roman"/>
          <w:sz w:val="20"/>
          <w:szCs w:val="20"/>
        </w:rPr>
        <w:t xml:space="preserve"> These forests have a</w:t>
      </w:r>
      <w:r w:rsidR="007076DF" w:rsidRPr="00605CF9">
        <w:rPr>
          <w:rFonts w:ascii="Times New Roman" w:hAnsi="Times New Roman" w:cs="Times New Roman"/>
          <w:sz w:val="20"/>
          <w:szCs w:val="20"/>
        </w:rPr>
        <w:t xml:space="preserve"> homogenous canopy structure</w:t>
      </w:r>
      <w:r w:rsidR="007076DF">
        <w:rPr>
          <w:rFonts w:ascii="Times New Roman" w:hAnsi="Times New Roman" w:cs="Times New Roman"/>
          <w:sz w:val="20"/>
          <w:szCs w:val="20"/>
        </w:rPr>
        <w:t xml:space="preserve"> with heavy understory shading</w:t>
      </w:r>
      <w:r w:rsidR="007076DF" w:rsidRPr="00605CF9">
        <w:rPr>
          <w:rFonts w:ascii="Times New Roman" w:hAnsi="Times New Roman" w:cs="Times New Roman"/>
          <w:sz w:val="20"/>
          <w:szCs w:val="20"/>
        </w:rPr>
        <w:t xml:space="preserve">, as defined </w:t>
      </w:r>
      <w:r w:rsidR="007076DF">
        <w:rPr>
          <w:rFonts w:ascii="Times New Roman" w:hAnsi="Times New Roman" w:cs="Times New Roman"/>
          <w:sz w:val="20"/>
          <w:szCs w:val="20"/>
        </w:rPr>
        <w:t>by their</w:t>
      </w:r>
      <w:r w:rsidR="007076DF" w:rsidRPr="00605CF9">
        <w:rPr>
          <w:rFonts w:ascii="Times New Roman" w:hAnsi="Times New Roman" w:cs="Times New Roman"/>
          <w:sz w:val="20"/>
          <w:szCs w:val="20"/>
        </w:rPr>
        <w:t xml:space="preserve"> early seral stage. </w:t>
      </w:r>
      <w:r w:rsidR="00E236CC" w:rsidRPr="00605CF9">
        <w:rPr>
          <w:rFonts w:ascii="Times New Roman" w:hAnsi="Times New Roman" w:cs="Times New Roman"/>
          <w:sz w:val="20"/>
          <w:szCs w:val="20"/>
        </w:rPr>
        <w:t>Small streams were chosen for ease of sampling and to maximize the effect of a canopy ope</w:t>
      </w:r>
      <w:r w:rsidR="007076DF">
        <w:rPr>
          <w:rFonts w:ascii="Times New Roman" w:hAnsi="Times New Roman" w:cs="Times New Roman"/>
          <w:sz w:val="20"/>
          <w:szCs w:val="20"/>
        </w:rPr>
        <w:t xml:space="preserve">ning manipulation since small </w:t>
      </w:r>
      <w:r w:rsidR="00E236CC" w:rsidRPr="00605CF9">
        <w:rPr>
          <w:rFonts w:ascii="Times New Roman" w:hAnsi="Times New Roman" w:cs="Times New Roman"/>
          <w:sz w:val="20"/>
          <w:szCs w:val="20"/>
        </w:rPr>
        <w:t xml:space="preserve">streams can be </w:t>
      </w:r>
      <w:r w:rsidR="00567735">
        <w:rPr>
          <w:rFonts w:ascii="Times New Roman" w:hAnsi="Times New Roman" w:cs="Times New Roman"/>
          <w:sz w:val="20"/>
          <w:szCs w:val="20"/>
        </w:rPr>
        <w:t>completely</w:t>
      </w:r>
      <w:r w:rsidR="00E236CC" w:rsidRPr="00605CF9">
        <w:rPr>
          <w:rFonts w:ascii="Times New Roman" w:hAnsi="Times New Roman" w:cs="Times New Roman"/>
          <w:sz w:val="20"/>
          <w:szCs w:val="20"/>
        </w:rPr>
        <w:t xml:space="preserve"> shaded</w:t>
      </w:r>
      <w:r w:rsidR="00567735">
        <w:rPr>
          <w:rFonts w:ascii="Times New Roman" w:hAnsi="Times New Roman" w:cs="Times New Roman"/>
          <w:sz w:val="20"/>
          <w:szCs w:val="20"/>
        </w:rPr>
        <w:t xml:space="preserve"> by overhead vegetation</w:t>
      </w:r>
      <w:r w:rsidR="00E236CC" w:rsidRPr="00605CF9">
        <w:rPr>
          <w:rFonts w:ascii="Times New Roman" w:hAnsi="Times New Roman" w:cs="Times New Roman"/>
          <w:sz w:val="20"/>
          <w:szCs w:val="20"/>
        </w:rPr>
        <w:t>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DA3073" w14:textId="77777777" w:rsidR="009B44C2" w:rsidRPr="00605CF9" w:rsidRDefault="009B44C2" w:rsidP="009B44C2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05CF9">
        <w:rPr>
          <w:rFonts w:ascii="Times New Roman" w:hAnsi="Times New Roman" w:cs="Times New Roman"/>
          <w:sz w:val="20"/>
          <w:szCs w:val="20"/>
        </w:rPr>
        <w:t>Sampling lasted two years with pre-treatment data gathered during summer 2017 and post-treatment data gathered during summer 2018.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05CF9">
        <w:rPr>
          <w:rFonts w:ascii="Times New Roman" w:hAnsi="Times New Roman" w:cs="Times New Roman"/>
          <w:sz w:val="20"/>
          <w:szCs w:val="20"/>
        </w:rPr>
        <w:t>Canopy gaps were cut in the treatment reach during the winter of 2017-18 to permit adequate time for response to the canopy manipulation.</w:t>
      </w:r>
      <w:r>
        <w:rPr>
          <w:rFonts w:ascii="Times New Roman" w:hAnsi="Times New Roman" w:cs="Times New Roman"/>
          <w:sz w:val="20"/>
          <w:szCs w:val="20"/>
        </w:rPr>
        <w:t xml:space="preserve"> The reach-</w:t>
      </w:r>
      <w:r w:rsidRPr="00605CF9">
        <w:rPr>
          <w:rFonts w:ascii="Times New Roman" w:hAnsi="Times New Roman" w:cs="Times New Roman"/>
          <w:sz w:val="20"/>
          <w:szCs w:val="20"/>
        </w:rPr>
        <w:t>pair design with pre and post treatment years is intended to account for inherent environmental variation among streams and between years.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B8DBEF" w14:textId="77777777" w:rsidR="009B44C2" w:rsidRDefault="009B44C2" w:rsidP="005145CF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17E97715" w14:textId="77777777" w:rsidR="00105585" w:rsidRPr="00605CF9" w:rsidRDefault="00105585" w:rsidP="00863B79">
      <w:pPr>
        <w:rPr>
          <w:rFonts w:ascii="Times New Roman" w:hAnsi="Times New Roman" w:cs="Times New Roman"/>
          <w:sz w:val="20"/>
          <w:szCs w:val="20"/>
        </w:rPr>
      </w:pPr>
    </w:p>
    <w:p w14:paraId="4D28B5BE" w14:textId="79AEBB84" w:rsidR="00265986" w:rsidRPr="00605CF9" w:rsidRDefault="00265986" w:rsidP="005145CF">
      <w:pPr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605CF9">
        <w:rPr>
          <w:rFonts w:ascii="Times New Roman" w:hAnsi="Times New Roman" w:cs="Times New Roman"/>
          <w:i/>
          <w:sz w:val="20"/>
          <w:szCs w:val="20"/>
        </w:rPr>
        <w:t>Data Collection</w:t>
      </w:r>
    </w:p>
    <w:p w14:paraId="63A4A5A1" w14:textId="2AB5EE47" w:rsidR="00FE09BB" w:rsidRPr="00831C9A" w:rsidRDefault="00C2777D" w:rsidP="00FE09BB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05CF9">
        <w:rPr>
          <w:rFonts w:ascii="Times New Roman" w:hAnsi="Times New Roman" w:cs="Times New Roman"/>
          <w:sz w:val="20"/>
          <w:szCs w:val="20"/>
        </w:rPr>
        <w:t>Three benthic invertebrate samples were taken at each stream reach at meters 15, 45, and 75, or the closest area with non-boulder substrate.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Pr="00605CF9">
        <w:rPr>
          <w:rFonts w:ascii="Times New Roman" w:hAnsi="Times New Roman" w:cs="Times New Roman"/>
          <w:sz w:val="20"/>
          <w:szCs w:val="20"/>
        </w:rPr>
        <w:t>Samples were collected once per yea</w:t>
      </w:r>
      <w:r w:rsidR="005D5516" w:rsidRPr="00605CF9">
        <w:rPr>
          <w:rFonts w:ascii="Times New Roman" w:hAnsi="Times New Roman" w:cs="Times New Roman"/>
          <w:sz w:val="20"/>
          <w:szCs w:val="20"/>
        </w:rPr>
        <w:t xml:space="preserve">r over the course of one week </w:t>
      </w:r>
      <w:r w:rsidR="00F4053F">
        <w:rPr>
          <w:rFonts w:ascii="Times New Roman" w:hAnsi="Times New Roman" w:cs="Times New Roman"/>
          <w:sz w:val="20"/>
          <w:szCs w:val="20"/>
        </w:rPr>
        <w:t>using a Surber sampler with a .09</w:t>
      </w:r>
      <w:r w:rsidR="00F119B9">
        <w:rPr>
          <w:rFonts w:ascii="Times New Roman" w:hAnsi="Times New Roman" w:cs="Times New Roman"/>
          <w:sz w:val="20"/>
          <w:szCs w:val="20"/>
        </w:rPr>
        <w:t xml:space="preserve"> m</w:t>
      </w:r>
      <w:r w:rsidR="00756D3D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F638A3" w:rsidRPr="00605CF9">
        <w:rPr>
          <w:rFonts w:ascii="Times New Roman" w:hAnsi="Times New Roman" w:cs="Times New Roman"/>
          <w:sz w:val="20"/>
          <w:szCs w:val="20"/>
        </w:rPr>
        <w:t xml:space="preserve"> sampling area.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F638A3" w:rsidRPr="00605CF9">
        <w:rPr>
          <w:rFonts w:ascii="Times New Roman" w:hAnsi="Times New Roman" w:cs="Times New Roman"/>
          <w:sz w:val="20"/>
          <w:szCs w:val="20"/>
        </w:rPr>
        <w:t xml:space="preserve">Substrate was disturbed to a depth of approximately 4 inches for one minute. </w:t>
      </w:r>
      <w:r w:rsidR="00F4053F">
        <w:rPr>
          <w:rFonts w:ascii="Times New Roman" w:hAnsi="Times New Roman" w:cs="Times New Roman"/>
          <w:sz w:val="20"/>
          <w:szCs w:val="20"/>
        </w:rPr>
        <w:t xml:space="preserve">The </w:t>
      </w:r>
      <w:r w:rsidR="003C34B5" w:rsidRPr="00605CF9">
        <w:rPr>
          <w:rFonts w:ascii="Times New Roman" w:hAnsi="Times New Roman" w:cs="Times New Roman"/>
          <w:sz w:val="20"/>
          <w:szCs w:val="20"/>
        </w:rPr>
        <w:t>sample was then preserved in 95% ethanol for identification and enumeration in the lab.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3C34B5" w:rsidRPr="00605CF9">
        <w:rPr>
          <w:rFonts w:ascii="Times New Roman" w:hAnsi="Times New Roman" w:cs="Times New Roman"/>
          <w:sz w:val="20"/>
          <w:szCs w:val="20"/>
        </w:rPr>
        <w:t>Fish diets were collected during three-pass depletion of fish standing stock and were only taken from a subset of fish greater t</w:t>
      </w:r>
      <w:r w:rsidR="00C8155C">
        <w:rPr>
          <w:rFonts w:ascii="Times New Roman" w:hAnsi="Times New Roman" w:cs="Times New Roman"/>
          <w:sz w:val="20"/>
          <w:szCs w:val="20"/>
        </w:rPr>
        <w:t>han 100 mm in length.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C8155C">
        <w:rPr>
          <w:rFonts w:ascii="Times New Roman" w:hAnsi="Times New Roman" w:cs="Times New Roman"/>
          <w:sz w:val="20"/>
          <w:szCs w:val="20"/>
        </w:rPr>
        <w:t>Fish were</w:t>
      </w:r>
      <w:r w:rsidR="003C34B5" w:rsidRPr="00605CF9">
        <w:rPr>
          <w:rFonts w:ascii="Times New Roman" w:hAnsi="Times New Roman" w:cs="Times New Roman"/>
          <w:sz w:val="20"/>
          <w:szCs w:val="20"/>
        </w:rPr>
        <w:t xml:space="preserve"> gastro</w:t>
      </w:r>
      <w:r w:rsidR="00C8155C">
        <w:rPr>
          <w:rFonts w:ascii="Times New Roman" w:hAnsi="Times New Roman" w:cs="Times New Roman"/>
          <w:sz w:val="20"/>
          <w:szCs w:val="20"/>
        </w:rPr>
        <w:t>-</w:t>
      </w:r>
      <w:r w:rsidR="003C34B5" w:rsidRPr="00605CF9">
        <w:rPr>
          <w:rFonts w:ascii="Times New Roman" w:hAnsi="Times New Roman" w:cs="Times New Roman"/>
          <w:sz w:val="20"/>
          <w:szCs w:val="20"/>
        </w:rPr>
        <w:t>lavaged, and stomach contents were collected in filter paper and preserved in 95% ethanol for lab processing.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831C9A">
        <w:rPr>
          <w:rFonts w:ascii="Times New Roman" w:hAnsi="Times New Roman" w:cs="Times New Roman"/>
          <w:sz w:val="20"/>
          <w:szCs w:val="20"/>
        </w:rPr>
        <w:t xml:space="preserve">In order to measure the response of primary producers to the canopy gap, </w:t>
      </w:r>
      <w:r w:rsidR="00F34F14">
        <w:rPr>
          <w:rFonts w:ascii="Times New Roman" w:hAnsi="Times New Roman" w:cs="Times New Roman"/>
          <w:sz w:val="20"/>
          <w:szCs w:val="20"/>
        </w:rPr>
        <w:t xml:space="preserve">three tiles were set out every </w:t>
      </w:r>
      <w:r w:rsidR="00FE09BB">
        <w:rPr>
          <w:rFonts w:ascii="Times New Roman" w:hAnsi="Times New Roman" w:cs="Times New Roman"/>
          <w:sz w:val="20"/>
          <w:szCs w:val="20"/>
        </w:rPr>
        <w:t xml:space="preserve">ten meters </w:t>
      </w:r>
      <w:r w:rsidR="00F34F14">
        <w:rPr>
          <w:rFonts w:ascii="Times New Roman" w:hAnsi="Times New Roman" w:cs="Times New Roman"/>
          <w:sz w:val="20"/>
          <w:szCs w:val="20"/>
        </w:rPr>
        <w:t xml:space="preserve">for two weeks </w:t>
      </w:r>
      <w:r w:rsidR="00831C9A">
        <w:rPr>
          <w:rFonts w:ascii="Times New Roman" w:hAnsi="Times New Roman" w:cs="Times New Roman"/>
          <w:sz w:val="20"/>
          <w:szCs w:val="20"/>
        </w:rPr>
        <w:t xml:space="preserve">for each stream </w:t>
      </w:r>
      <w:r w:rsidR="00FE09BB">
        <w:rPr>
          <w:rFonts w:ascii="Times New Roman" w:hAnsi="Times New Roman" w:cs="Times New Roman"/>
          <w:sz w:val="20"/>
          <w:szCs w:val="20"/>
        </w:rPr>
        <w:t>and Chlorophyll values were measured using a Bentho Torch</w:t>
      </w:r>
      <w:r w:rsidR="00FE09BB">
        <w:rPr>
          <w:rFonts w:ascii="Times New Roman" w:hAnsi="Times New Roman" w:cs="Times New Roman"/>
          <w:sz w:val="20"/>
          <w:szCs w:val="20"/>
          <w:vertAlign w:val="superscript"/>
        </w:rPr>
        <w:t>™</w:t>
      </w:r>
      <w:r w:rsidR="00831C9A">
        <w:rPr>
          <w:rFonts w:ascii="Times New Roman" w:hAnsi="Times New Roman" w:cs="Times New Roman"/>
          <w:sz w:val="20"/>
          <w:szCs w:val="20"/>
        </w:rPr>
        <w:t>.</w:t>
      </w:r>
    </w:p>
    <w:p w14:paraId="78D0F792" w14:textId="77777777" w:rsidR="00BB44ED" w:rsidRPr="00605CF9" w:rsidRDefault="00BB44ED" w:rsidP="00551B73">
      <w:pPr>
        <w:rPr>
          <w:rFonts w:ascii="Times New Roman" w:hAnsi="Times New Roman" w:cs="Times New Roman"/>
          <w:sz w:val="20"/>
          <w:szCs w:val="20"/>
        </w:rPr>
      </w:pPr>
    </w:p>
    <w:p w14:paraId="323ACDB6" w14:textId="43FA42DF" w:rsidR="00BB44ED" w:rsidRDefault="00265986" w:rsidP="005145CF">
      <w:pPr>
        <w:outlineLvl w:val="0"/>
        <w:rPr>
          <w:rFonts w:ascii="Times New Roman" w:hAnsi="Times New Roman" w:cs="Times New Roman"/>
          <w:sz w:val="20"/>
          <w:szCs w:val="20"/>
        </w:rPr>
      </w:pPr>
      <w:r w:rsidRPr="00605CF9">
        <w:rPr>
          <w:rFonts w:ascii="Times New Roman" w:hAnsi="Times New Roman" w:cs="Times New Roman"/>
          <w:i/>
          <w:sz w:val="20"/>
          <w:szCs w:val="20"/>
        </w:rPr>
        <w:t>Data Analysis</w:t>
      </w:r>
    </w:p>
    <w:p w14:paraId="3460CF34" w14:textId="2F703D33" w:rsidR="003D66A9" w:rsidRDefault="009A52B2" w:rsidP="005145CF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lab</w:t>
      </w:r>
      <w:r w:rsidR="00757BE0">
        <w:rPr>
          <w:rFonts w:ascii="Times New Roman" w:hAnsi="Times New Roman" w:cs="Times New Roman"/>
          <w:sz w:val="20"/>
          <w:szCs w:val="20"/>
        </w:rPr>
        <w:t>,</w:t>
      </w:r>
      <w:r w:rsidR="00CE2F6B">
        <w:rPr>
          <w:rFonts w:ascii="Times New Roman" w:hAnsi="Times New Roman" w:cs="Times New Roman"/>
          <w:sz w:val="20"/>
          <w:szCs w:val="20"/>
        </w:rPr>
        <w:t xml:space="preserve"> the three</w:t>
      </w:r>
      <w:r>
        <w:rPr>
          <w:rFonts w:ascii="Times New Roman" w:hAnsi="Times New Roman" w:cs="Times New Roman"/>
          <w:sz w:val="20"/>
          <w:szCs w:val="20"/>
        </w:rPr>
        <w:t xml:space="preserve"> benthic samples per reach</w:t>
      </w:r>
      <w:r w:rsidR="00285751">
        <w:rPr>
          <w:rFonts w:ascii="Times New Roman" w:hAnsi="Times New Roman" w:cs="Times New Roman"/>
          <w:sz w:val="20"/>
          <w:szCs w:val="20"/>
        </w:rPr>
        <w:t xml:space="preserve"> were combined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="00285751">
        <w:rPr>
          <w:rFonts w:ascii="Times New Roman" w:hAnsi="Times New Roman" w:cs="Times New Roman"/>
          <w:sz w:val="20"/>
          <w:szCs w:val="20"/>
        </w:rPr>
        <w:t xml:space="preserve">nd subsampled by randomly sampling </w:t>
      </w:r>
      <w:r w:rsidR="00CB1E18">
        <w:rPr>
          <w:rFonts w:ascii="Times New Roman" w:hAnsi="Times New Roman" w:cs="Times New Roman"/>
          <w:sz w:val="20"/>
          <w:szCs w:val="20"/>
        </w:rPr>
        <w:t xml:space="preserve">whole </w:t>
      </w:r>
      <w:r w:rsidR="00285751">
        <w:rPr>
          <w:rFonts w:ascii="Times New Roman" w:hAnsi="Times New Roman" w:cs="Times New Roman"/>
          <w:sz w:val="20"/>
          <w:szCs w:val="20"/>
        </w:rPr>
        <w:t xml:space="preserve">squares from a Caton tray until the cutoff of 300 individuals </w:t>
      </w:r>
      <w:r w:rsidR="00CB1E18">
        <w:rPr>
          <w:rFonts w:ascii="Times New Roman" w:hAnsi="Times New Roman" w:cs="Times New Roman"/>
          <w:sz w:val="20"/>
          <w:szCs w:val="20"/>
        </w:rPr>
        <w:t xml:space="preserve">or greater </w:t>
      </w:r>
      <w:r w:rsidR="00285751">
        <w:rPr>
          <w:rFonts w:ascii="Times New Roman" w:hAnsi="Times New Roman" w:cs="Times New Roman"/>
          <w:sz w:val="20"/>
          <w:szCs w:val="20"/>
        </w:rPr>
        <w:t>was reached.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1560B">
        <w:rPr>
          <w:rFonts w:ascii="Times New Roman" w:hAnsi="Times New Roman" w:cs="Times New Roman"/>
          <w:sz w:val="20"/>
          <w:szCs w:val="20"/>
        </w:rPr>
        <w:t xml:space="preserve">Benthic invertebrates were </w:t>
      </w:r>
      <w:r w:rsidR="009E4FDF">
        <w:rPr>
          <w:rFonts w:ascii="Times New Roman" w:hAnsi="Times New Roman" w:cs="Times New Roman"/>
          <w:sz w:val="20"/>
          <w:szCs w:val="20"/>
        </w:rPr>
        <w:t xml:space="preserve">then </w:t>
      </w:r>
      <w:r w:rsidR="0071560B">
        <w:rPr>
          <w:rFonts w:ascii="Times New Roman" w:hAnsi="Times New Roman" w:cs="Times New Roman"/>
          <w:sz w:val="20"/>
          <w:szCs w:val="20"/>
        </w:rPr>
        <w:t>identified down to genus or the lowest taxonomic unit (LTU) for cryptic taxa.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56D3D">
        <w:rPr>
          <w:rFonts w:ascii="Times New Roman" w:hAnsi="Times New Roman" w:cs="Times New Roman"/>
          <w:sz w:val="20"/>
          <w:szCs w:val="20"/>
        </w:rPr>
        <w:t>Counts from</w:t>
      </w:r>
      <w:r w:rsidR="00B80BE5">
        <w:rPr>
          <w:rFonts w:ascii="Times New Roman" w:hAnsi="Times New Roman" w:cs="Times New Roman"/>
          <w:sz w:val="20"/>
          <w:szCs w:val="20"/>
        </w:rPr>
        <w:t xml:space="preserve"> subsamples were then </w:t>
      </w:r>
      <w:r w:rsidR="00756D3D">
        <w:rPr>
          <w:rFonts w:ascii="Times New Roman" w:hAnsi="Times New Roman" w:cs="Times New Roman"/>
          <w:sz w:val="20"/>
          <w:szCs w:val="20"/>
        </w:rPr>
        <w:t>converted to</w:t>
      </w:r>
      <w:r w:rsidR="00B80BE5">
        <w:rPr>
          <w:rFonts w:ascii="Times New Roman" w:hAnsi="Times New Roman" w:cs="Times New Roman"/>
          <w:sz w:val="20"/>
          <w:szCs w:val="20"/>
        </w:rPr>
        <w:t xml:space="preserve"> densities using the formul</w:t>
      </w:r>
      <w:r w:rsidR="00C35378">
        <w:rPr>
          <w:rFonts w:ascii="Times New Roman" w:hAnsi="Times New Roman" w:cs="Times New Roman"/>
          <w:sz w:val="20"/>
          <w:szCs w:val="20"/>
        </w:rPr>
        <w:t xml:space="preserve">a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.09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m.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="00C35378">
        <w:rPr>
          <w:rFonts w:ascii="Times New Roman" w:hAnsi="Times New Roman" w:cs="Times New Roman"/>
          <w:sz w:val="20"/>
          <w:szCs w:val="20"/>
        </w:rPr>
        <w:t xml:space="preserve">where </w:t>
      </w:r>
      <w:r w:rsidR="00C35378">
        <w:rPr>
          <w:rFonts w:ascii="Times New Roman" w:hAnsi="Times New Roman" w:cs="Times New Roman"/>
          <w:i/>
          <w:sz w:val="20"/>
          <w:szCs w:val="20"/>
        </w:rPr>
        <w:t xml:space="preserve">s </w:t>
      </w:r>
      <w:r w:rsidR="00C35378">
        <w:rPr>
          <w:rFonts w:ascii="Times New Roman" w:hAnsi="Times New Roman" w:cs="Times New Roman"/>
          <w:sz w:val="20"/>
          <w:szCs w:val="20"/>
        </w:rPr>
        <w:t xml:space="preserve">is the fraction subsampled. </w:t>
      </w:r>
      <w:r w:rsidR="003D66A9">
        <w:rPr>
          <w:rFonts w:ascii="Times New Roman" w:hAnsi="Times New Roman" w:cs="Times New Roman"/>
          <w:sz w:val="20"/>
          <w:szCs w:val="20"/>
        </w:rPr>
        <w:t>Singleton taxa (</w:t>
      </w:r>
      <w:r w:rsidR="00BB6B5D">
        <w:rPr>
          <w:rFonts w:ascii="Times New Roman" w:hAnsi="Times New Roman" w:cs="Times New Roman"/>
          <w:sz w:val="20"/>
          <w:szCs w:val="20"/>
        </w:rPr>
        <w:t xml:space="preserve">taxa </w:t>
      </w:r>
      <w:r w:rsidR="003D66A9">
        <w:rPr>
          <w:rFonts w:ascii="Times New Roman" w:hAnsi="Times New Roman" w:cs="Times New Roman"/>
          <w:sz w:val="20"/>
          <w:szCs w:val="20"/>
        </w:rPr>
        <w:t xml:space="preserve">occurring in only one SU) were removed from the original matrix and </w:t>
      </w:r>
      <w:r w:rsidR="00757103">
        <w:rPr>
          <w:rFonts w:ascii="Times New Roman" w:hAnsi="Times New Roman" w:cs="Times New Roman"/>
          <w:sz w:val="20"/>
          <w:szCs w:val="20"/>
        </w:rPr>
        <w:t xml:space="preserve">density </w:t>
      </w:r>
      <w:r w:rsidR="003D66A9">
        <w:rPr>
          <w:rFonts w:ascii="Times New Roman" w:hAnsi="Times New Roman" w:cs="Times New Roman"/>
          <w:sz w:val="20"/>
          <w:szCs w:val="20"/>
        </w:rPr>
        <w:t xml:space="preserve">values were square-root transformed to reduce the effect of abundant taxa (Chironomidae, </w:t>
      </w:r>
      <w:r w:rsidR="003D66A9">
        <w:rPr>
          <w:rFonts w:ascii="Times New Roman" w:hAnsi="Times New Roman" w:cs="Times New Roman"/>
          <w:i/>
          <w:sz w:val="20"/>
          <w:szCs w:val="20"/>
        </w:rPr>
        <w:t>Baetis</w:t>
      </w:r>
      <w:r w:rsidR="003D66A9">
        <w:rPr>
          <w:rFonts w:ascii="Times New Roman" w:hAnsi="Times New Roman" w:cs="Times New Roman"/>
          <w:sz w:val="20"/>
          <w:szCs w:val="20"/>
        </w:rPr>
        <w:t xml:space="preserve">, </w:t>
      </w:r>
      <w:r w:rsidR="003D66A9">
        <w:rPr>
          <w:rFonts w:ascii="Times New Roman" w:hAnsi="Times New Roman" w:cs="Times New Roman"/>
          <w:i/>
          <w:sz w:val="20"/>
          <w:szCs w:val="20"/>
        </w:rPr>
        <w:t>Micrasema</w:t>
      </w:r>
      <w:r w:rsidR="003D66A9">
        <w:rPr>
          <w:rFonts w:ascii="Times New Roman" w:hAnsi="Times New Roman" w:cs="Times New Roman"/>
          <w:sz w:val="20"/>
          <w:szCs w:val="20"/>
        </w:rPr>
        <w:t>) on community relationships.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3D66A9">
        <w:rPr>
          <w:rFonts w:ascii="Times New Roman" w:hAnsi="Times New Roman" w:cs="Times New Roman"/>
          <w:sz w:val="20"/>
          <w:szCs w:val="20"/>
        </w:rPr>
        <w:t>The resulting matrix of benthic invertebrates at t</w:t>
      </w:r>
      <w:r w:rsidR="007761C6">
        <w:rPr>
          <w:rFonts w:ascii="Times New Roman" w:hAnsi="Times New Roman" w:cs="Times New Roman"/>
          <w:sz w:val="20"/>
          <w:szCs w:val="20"/>
        </w:rPr>
        <w:t>he LTU level of identification</w:t>
      </w:r>
      <w:r w:rsidR="00065A47">
        <w:rPr>
          <w:rFonts w:ascii="Times New Roman" w:hAnsi="Times New Roman" w:cs="Times New Roman"/>
          <w:sz w:val="20"/>
          <w:szCs w:val="20"/>
        </w:rPr>
        <w:t xml:space="preserve"> (20 reache</w:t>
      </w:r>
      <w:r w:rsidR="008E36CB">
        <w:rPr>
          <w:rFonts w:ascii="Times New Roman" w:hAnsi="Times New Roman" w:cs="Times New Roman"/>
          <w:sz w:val="20"/>
          <w:szCs w:val="20"/>
        </w:rPr>
        <w:t>s by 64 taxa)</w:t>
      </w:r>
      <w:r w:rsidR="007761C6">
        <w:rPr>
          <w:rFonts w:ascii="Times New Roman" w:hAnsi="Times New Roman" w:cs="Times New Roman"/>
          <w:sz w:val="20"/>
          <w:szCs w:val="20"/>
        </w:rPr>
        <w:t xml:space="preserve"> was then used </w:t>
      </w:r>
      <w:r w:rsidR="008E36CB">
        <w:rPr>
          <w:rFonts w:ascii="Times New Roman" w:hAnsi="Times New Roman" w:cs="Times New Roman"/>
          <w:sz w:val="20"/>
          <w:szCs w:val="20"/>
        </w:rPr>
        <w:t xml:space="preserve">for analysis. </w:t>
      </w:r>
    </w:p>
    <w:p w14:paraId="4B3004E8" w14:textId="7B6B7C38" w:rsidR="00433C2B" w:rsidRDefault="009E4FDF" w:rsidP="005145CF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diets were processed (9 to 13 fish diets per reach) with aquatic invertebrates iden</w:t>
      </w:r>
      <w:r w:rsidR="005E0155">
        <w:rPr>
          <w:rFonts w:ascii="Times New Roman" w:hAnsi="Times New Roman" w:cs="Times New Roman"/>
          <w:sz w:val="20"/>
          <w:szCs w:val="20"/>
        </w:rPr>
        <w:t>tified down to the family level</w:t>
      </w:r>
      <w:r>
        <w:rPr>
          <w:rFonts w:ascii="Times New Roman" w:hAnsi="Times New Roman" w:cs="Times New Roman"/>
          <w:sz w:val="20"/>
          <w:szCs w:val="20"/>
        </w:rPr>
        <w:t xml:space="preserve"> and terrestrial invertebrates identified to order.</w:t>
      </w:r>
      <w:r w:rsidR="00433C2B">
        <w:rPr>
          <w:rFonts w:ascii="Times New Roman" w:hAnsi="Times New Roman" w:cs="Times New Roman"/>
          <w:sz w:val="20"/>
          <w:szCs w:val="20"/>
        </w:rPr>
        <w:t xml:space="preserve"> </w:t>
      </w:r>
      <w:r w:rsidR="00714534">
        <w:rPr>
          <w:rFonts w:ascii="Times New Roman" w:hAnsi="Times New Roman" w:cs="Times New Roman"/>
          <w:sz w:val="20"/>
          <w:szCs w:val="20"/>
        </w:rPr>
        <w:t>Because the number of fish dieted in each reach varied, the average of all fish diets was used.</w:t>
      </w:r>
      <w:r w:rsidR="00065A47">
        <w:rPr>
          <w:rFonts w:ascii="Times New Roman" w:hAnsi="Times New Roman" w:cs="Times New Roman"/>
          <w:sz w:val="20"/>
          <w:szCs w:val="20"/>
        </w:rPr>
        <w:t xml:space="preserve"> </w:t>
      </w:r>
      <w:r w:rsidR="00714534">
        <w:rPr>
          <w:rFonts w:ascii="Times New Roman" w:hAnsi="Times New Roman" w:cs="Times New Roman"/>
          <w:sz w:val="20"/>
          <w:szCs w:val="20"/>
        </w:rPr>
        <w:t xml:space="preserve">The </w:t>
      </w:r>
      <w:r w:rsidR="00065A47">
        <w:rPr>
          <w:rFonts w:ascii="Times New Roman" w:hAnsi="Times New Roman" w:cs="Times New Roman"/>
          <w:sz w:val="20"/>
          <w:szCs w:val="20"/>
        </w:rPr>
        <w:t xml:space="preserve">resulting matrix </w:t>
      </w:r>
      <w:r w:rsidR="00893C3A">
        <w:rPr>
          <w:rFonts w:ascii="Times New Roman" w:hAnsi="Times New Roman" w:cs="Times New Roman"/>
          <w:sz w:val="20"/>
          <w:szCs w:val="20"/>
        </w:rPr>
        <w:t>was then filtered for aquatic species and</w:t>
      </w:r>
      <w:r w:rsidR="00EE0C2D">
        <w:rPr>
          <w:rFonts w:ascii="Times New Roman" w:hAnsi="Times New Roman" w:cs="Times New Roman"/>
          <w:sz w:val="20"/>
          <w:szCs w:val="20"/>
        </w:rPr>
        <w:t xml:space="preserve"> appended to a matrix of 2018 benthic invertebrate families </w:t>
      </w:r>
      <w:r w:rsidR="00065A47">
        <w:rPr>
          <w:rFonts w:ascii="Times New Roman" w:hAnsi="Times New Roman" w:cs="Times New Roman"/>
          <w:sz w:val="20"/>
          <w:szCs w:val="20"/>
        </w:rPr>
        <w:t xml:space="preserve">(10 reaches by </w:t>
      </w:r>
      <w:r w:rsidR="00062048">
        <w:rPr>
          <w:rFonts w:ascii="Times New Roman" w:hAnsi="Times New Roman" w:cs="Times New Roman"/>
          <w:sz w:val="20"/>
          <w:szCs w:val="20"/>
        </w:rPr>
        <w:t>38</w:t>
      </w:r>
      <w:r w:rsidR="001412E7">
        <w:rPr>
          <w:rFonts w:ascii="Times New Roman" w:hAnsi="Times New Roman" w:cs="Times New Roman"/>
          <w:sz w:val="20"/>
          <w:szCs w:val="20"/>
        </w:rPr>
        <w:t xml:space="preserve"> families), </w:t>
      </w:r>
      <w:r w:rsidR="00065A47">
        <w:rPr>
          <w:rFonts w:ascii="Times New Roman" w:hAnsi="Times New Roman" w:cs="Times New Roman"/>
          <w:sz w:val="20"/>
          <w:szCs w:val="20"/>
        </w:rPr>
        <w:t xml:space="preserve">producing a matrix of 20 </w:t>
      </w:r>
      <w:r w:rsidR="007567BF">
        <w:rPr>
          <w:rFonts w:ascii="Times New Roman" w:hAnsi="Times New Roman" w:cs="Times New Roman"/>
          <w:sz w:val="20"/>
          <w:szCs w:val="20"/>
        </w:rPr>
        <w:t>sample units (SU’s)</w:t>
      </w:r>
      <w:r w:rsidR="001412E7" w:rsidRPr="00C25009">
        <w:rPr>
          <w:rFonts w:ascii="Times New Roman" w:hAnsi="Times New Roman" w:cs="Times New Roman"/>
          <w:sz w:val="20"/>
          <w:szCs w:val="20"/>
        </w:rPr>
        <w:t xml:space="preserve"> by 40 families</w:t>
      </w:r>
      <w:r w:rsidR="00714534">
        <w:rPr>
          <w:rFonts w:ascii="Times New Roman" w:hAnsi="Times New Roman" w:cs="Times New Roman"/>
          <w:sz w:val="20"/>
          <w:szCs w:val="20"/>
        </w:rPr>
        <w:t xml:space="preserve"> consisting of both fish diets and benthic samples</w:t>
      </w:r>
      <w:r w:rsidR="001412E7" w:rsidRPr="00C25009">
        <w:rPr>
          <w:rFonts w:ascii="Times New Roman" w:hAnsi="Times New Roman" w:cs="Times New Roman"/>
          <w:sz w:val="20"/>
          <w:szCs w:val="20"/>
        </w:rPr>
        <w:t>.</w:t>
      </w:r>
      <w:r w:rsidR="000357C1">
        <w:rPr>
          <w:rFonts w:ascii="Times New Roman" w:hAnsi="Times New Roman" w:cs="Times New Roman"/>
          <w:sz w:val="20"/>
          <w:szCs w:val="20"/>
        </w:rPr>
        <w:t xml:space="preserve"> Singleton taxa were</w:t>
      </w:r>
      <w:r w:rsidR="00724FAE">
        <w:rPr>
          <w:rFonts w:ascii="Times New Roman" w:hAnsi="Times New Roman" w:cs="Times New Roman"/>
          <w:sz w:val="20"/>
          <w:szCs w:val="20"/>
        </w:rPr>
        <w:t xml:space="preserve"> then removed to create a </w:t>
      </w:r>
      <w:r w:rsidR="000357C1">
        <w:rPr>
          <w:rFonts w:ascii="Times New Roman" w:hAnsi="Times New Roman" w:cs="Times New Roman"/>
          <w:sz w:val="20"/>
          <w:szCs w:val="20"/>
        </w:rPr>
        <w:t>matrix of combined diet and benthic families</w:t>
      </w:r>
      <w:r w:rsidR="007567BF">
        <w:rPr>
          <w:rFonts w:ascii="Times New Roman" w:hAnsi="Times New Roman" w:cs="Times New Roman"/>
          <w:sz w:val="20"/>
          <w:szCs w:val="20"/>
        </w:rPr>
        <w:t xml:space="preserve"> of 20 SU’s by 36 families</w:t>
      </w:r>
      <w:r w:rsidR="0069797F">
        <w:rPr>
          <w:rFonts w:ascii="Times New Roman" w:hAnsi="Times New Roman" w:cs="Times New Roman"/>
          <w:sz w:val="20"/>
          <w:szCs w:val="20"/>
        </w:rPr>
        <w:t xml:space="preserve">. </w:t>
      </w:r>
      <w:r w:rsidR="00724FAE">
        <w:rPr>
          <w:rFonts w:ascii="Times New Roman" w:hAnsi="Times New Roman" w:cs="Times New Roman"/>
          <w:sz w:val="20"/>
          <w:szCs w:val="20"/>
        </w:rPr>
        <w:t>At this point</w:t>
      </w:r>
      <w:r w:rsidR="004136B5">
        <w:rPr>
          <w:rFonts w:ascii="Times New Roman" w:hAnsi="Times New Roman" w:cs="Times New Roman"/>
          <w:sz w:val="20"/>
          <w:szCs w:val="20"/>
        </w:rPr>
        <w:t>,</w:t>
      </w:r>
      <w:r w:rsidR="00724FAE">
        <w:rPr>
          <w:rFonts w:ascii="Times New Roman" w:hAnsi="Times New Roman" w:cs="Times New Roman"/>
          <w:sz w:val="20"/>
          <w:szCs w:val="20"/>
        </w:rPr>
        <w:t xml:space="preserve"> the combined matrix was relativized by row maxima to </w:t>
      </w:r>
      <w:r w:rsidR="002E1218">
        <w:rPr>
          <w:rFonts w:ascii="Times New Roman" w:hAnsi="Times New Roman" w:cs="Times New Roman"/>
          <w:sz w:val="20"/>
          <w:szCs w:val="20"/>
        </w:rPr>
        <w:t>compensate for the diffe</w:t>
      </w:r>
      <w:r w:rsidR="00EA488B">
        <w:rPr>
          <w:rFonts w:ascii="Times New Roman" w:hAnsi="Times New Roman" w:cs="Times New Roman"/>
          <w:sz w:val="20"/>
          <w:szCs w:val="20"/>
        </w:rPr>
        <w:t>rence between benthic sampling—</w:t>
      </w:r>
      <w:r w:rsidR="002E1218">
        <w:rPr>
          <w:rFonts w:ascii="Times New Roman" w:hAnsi="Times New Roman" w:cs="Times New Roman"/>
          <w:sz w:val="20"/>
          <w:szCs w:val="20"/>
        </w:rPr>
        <w:t>measured</w:t>
      </w:r>
      <w:r w:rsidR="00EA488B">
        <w:rPr>
          <w:rFonts w:ascii="Times New Roman" w:hAnsi="Times New Roman" w:cs="Times New Roman"/>
          <w:sz w:val="20"/>
          <w:szCs w:val="20"/>
        </w:rPr>
        <w:t xml:space="preserve"> </w:t>
      </w:r>
      <w:r w:rsidR="002E1218">
        <w:rPr>
          <w:rFonts w:ascii="Times New Roman" w:hAnsi="Times New Roman" w:cs="Times New Roman"/>
          <w:sz w:val="20"/>
          <w:szCs w:val="20"/>
        </w:rPr>
        <w:t>in density per m</w:t>
      </w:r>
      <w:r w:rsidR="002E121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EA488B">
        <w:rPr>
          <w:rFonts w:ascii="Times New Roman" w:hAnsi="Times New Roman" w:cs="Times New Roman"/>
          <w:sz w:val="20"/>
          <w:szCs w:val="20"/>
        </w:rPr>
        <w:t>—and fish diets.</w:t>
      </w:r>
    </w:p>
    <w:p w14:paraId="6D2D4DAC" w14:textId="1D36BC94" w:rsidR="00B51510" w:rsidRDefault="00433C2B" w:rsidP="005145CF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Statistical</w:t>
      </w:r>
      <w:r w:rsidR="009422B5" w:rsidRPr="00605CF9">
        <w:rPr>
          <w:rFonts w:ascii="Times New Roman" w:hAnsi="Times New Roman" w:cs="Times New Roman"/>
          <w:sz w:val="20"/>
          <w:szCs w:val="20"/>
        </w:rPr>
        <w:t xml:space="preserve"> analyses were performed in PC-ORD </w:t>
      </w:r>
      <w:r w:rsidR="00D460D5" w:rsidRPr="00D460D5">
        <w:rPr>
          <w:rFonts w:ascii="Times New Roman" w:hAnsi="Times New Roman" w:cs="Times New Roman"/>
          <w:sz w:val="20"/>
          <w:szCs w:val="20"/>
        </w:rPr>
        <w:t xml:space="preserve">(Version 7; </w:t>
      </w:r>
      <w:r w:rsidR="007A4E55" w:rsidRPr="007A4E55">
        <w:rPr>
          <w:rFonts w:ascii="Times New Roman" w:hAnsi="Times New Roman" w:cs="Times New Roman"/>
          <w:sz w:val="20"/>
          <w:szCs w:val="20"/>
        </w:rPr>
        <w:t>McCune and Mefford 2011</w:t>
      </w:r>
      <w:r w:rsidR="00D460D5" w:rsidRPr="00D460D5">
        <w:rPr>
          <w:rFonts w:ascii="Times New Roman" w:hAnsi="Times New Roman" w:cs="Times New Roman"/>
          <w:sz w:val="20"/>
          <w:szCs w:val="20"/>
        </w:rPr>
        <w:t>)</w:t>
      </w:r>
      <w:r w:rsidR="004F6A78">
        <w:rPr>
          <w:rFonts w:ascii="Times New Roman" w:hAnsi="Times New Roman" w:cs="Times New Roman"/>
          <w:sz w:val="20"/>
          <w:szCs w:val="20"/>
        </w:rPr>
        <w:t xml:space="preserve">. </w:t>
      </w:r>
      <w:r w:rsidR="00490312">
        <w:rPr>
          <w:rFonts w:ascii="Times New Roman" w:hAnsi="Times New Roman" w:cs="Times New Roman"/>
          <w:sz w:val="20"/>
          <w:szCs w:val="20"/>
        </w:rPr>
        <w:t>Blocked multi</w:t>
      </w:r>
      <w:r w:rsidR="00F314D5">
        <w:rPr>
          <w:rFonts w:ascii="Times New Roman" w:hAnsi="Times New Roman" w:cs="Times New Roman"/>
          <w:sz w:val="20"/>
          <w:szCs w:val="20"/>
        </w:rPr>
        <w:t>-response permutation procedure (MRBP)</w:t>
      </w:r>
      <w:r w:rsidR="002F4782">
        <w:rPr>
          <w:rFonts w:ascii="Times New Roman" w:hAnsi="Times New Roman" w:cs="Times New Roman"/>
          <w:sz w:val="20"/>
          <w:szCs w:val="20"/>
        </w:rPr>
        <w:t xml:space="preserve"> was used to assess differences between treatment and control reaches in the pre and post treatment years</w:t>
      </w:r>
      <w:r w:rsidR="0069797F">
        <w:rPr>
          <w:rFonts w:ascii="Times New Roman" w:hAnsi="Times New Roman" w:cs="Times New Roman"/>
          <w:sz w:val="20"/>
          <w:szCs w:val="20"/>
        </w:rPr>
        <w:t xml:space="preserve">. </w:t>
      </w:r>
      <w:r w:rsidR="002F4782">
        <w:rPr>
          <w:rFonts w:ascii="Times New Roman" w:hAnsi="Times New Roman" w:cs="Times New Roman"/>
          <w:sz w:val="20"/>
          <w:szCs w:val="20"/>
        </w:rPr>
        <w:t>MRBP was followed up with</w:t>
      </w:r>
      <w:r w:rsidR="00F35EAA">
        <w:rPr>
          <w:rFonts w:ascii="Times New Roman" w:hAnsi="Times New Roman" w:cs="Times New Roman"/>
          <w:sz w:val="20"/>
          <w:szCs w:val="20"/>
        </w:rPr>
        <w:t xml:space="preserve"> blocked i</w:t>
      </w:r>
      <w:r w:rsidR="002F4782">
        <w:rPr>
          <w:rFonts w:ascii="Times New Roman" w:hAnsi="Times New Roman" w:cs="Times New Roman"/>
          <w:sz w:val="20"/>
          <w:szCs w:val="20"/>
        </w:rPr>
        <w:t>ndicator species analysis</w:t>
      </w:r>
      <w:r w:rsidR="00F35EAA">
        <w:rPr>
          <w:rFonts w:ascii="Times New Roman" w:hAnsi="Times New Roman" w:cs="Times New Roman"/>
          <w:sz w:val="20"/>
          <w:szCs w:val="20"/>
        </w:rPr>
        <w:t xml:space="preserve"> (ISA)</w:t>
      </w:r>
      <w:r w:rsidR="002F4782">
        <w:rPr>
          <w:rFonts w:ascii="Times New Roman" w:hAnsi="Times New Roman" w:cs="Times New Roman"/>
          <w:sz w:val="20"/>
          <w:szCs w:val="20"/>
        </w:rPr>
        <w:t xml:space="preserve"> to determine underlying taxa driving any grouping detected by MRBP</w:t>
      </w:r>
      <w:r w:rsidR="0069797F">
        <w:rPr>
          <w:rFonts w:ascii="Times New Roman" w:hAnsi="Times New Roman" w:cs="Times New Roman"/>
          <w:sz w:val="20"/>
          <w:szCs w:val="20"/>
        </w:rPr>
        <w:t xml:space="preserve">. </w:t>
      </w:r>
      <w:r w:rsidR="002F4782">
        <w:rPr>
          <w:rFonts w:ascii="Times New Roman" w:hAnsi="Times New Roman" w:cs="Times New Roman"/>
          <w:sz w:val="20"/>
          <w:szCs w:val="20"/>
        </w:rPr>
        <w:t>This two-step procedure was performed twice for the benthic community, once with family level community d</w:t>
      </w:r>
      <w:r w:rsidR="00F17009">
        <w:rPr>
          <w:rFonts w:ascii="Times New Roman" w:hAnsi="Times New Roman" w:cs="Times New Roman"/>
          <w:sz w:val="20"/>
          <w:szCs w:val="20"/>
        </w:rPr>
        <w:t xml:space="preserve">ata and once at the LTU level in order to compare </w:t>
      </w:r>
      <w:r w:rsidR="00B51510">
        <w:rPr>
          <w:rFonts w:ascii="Times New Roman" w:hAnsi="Times New Roman" w:cs="Times New Roman"/>
          <w:sz w:val="20"/>
          <w:szCs w:val="20"/>
        </w:rPr>
        <w:t xml:space="preserve">any </w:t>
      </w:r>
      <w:r w:rsidR="00F17009">
        <w:rPr>
          <w:rFonts w:ascii="Times New Roman" w:hAnsi="Times New Roman" w:cs="Times New Roman"/>
          <w:sz w:val="20"/>
          <w:szCs w:val="20"/>
        </w:rPr>
        <w:t xml:space="preserve">differences in results. </w:t>
      </w:r>
      <w:r w:rsidR="00B51510">
        <w:rPr>
          <w:rFonts w:ascii="Times New Roman" w:hAnsi="Times New Roman" w:cs="Times New Roman"/>
          <w:sz w:val="20"/>
          <w:szCs w:val="20"/>
        </w:rPr>
        <w:t>Th</w:t>
      </w:r>
      <w:r w:rsidR="00F35EAA">
        <w:rPr>
          <w:rFonts w:ascii="Times New Roman" w:hAnsi="Times New Roman" w:cs="Times New Roman"/>
          <w:sz w:val="20"/>
          <w:szCs w:val="20"/>
        </w:rPr>
        <w:t>e combined benthic and diet matrix</w:t>
      </w:r>
      <w:r w:rsidR="00B51510">
        <w:rPr>
          <w:rFonts w:ascii="Times New Roman" w:hAnsi="Times New Roman" w:cs="Times New Roman"/>
          <w:sz w:val="20"/>
          <w:szCs w:val="20"/>
        </w:rPr>
        <w:t xml:space="preserve"> was subsequently tested for </w:t>
      </w:r>
      <w:r w:rsidR="00F35EAA">
        <w:rPr>
          <w:rFonts w:ascii="Times New Roman" w:hAnsi="Times New Roman" w:cs="Times New Roman"/>
          <w:sz w:val="20"/>
          <w:szCs w:val="20"/>
        </w:rPr>
        <w:t>any differences between treatment and control reaches using the same MRBP and ISA methods</w:t>
      </w:r>
      <w:r w:rsidR="0069797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906B96D" w14:textId="568A9218" w:rsidR="00E11393" w:rsidRDefault="003E71ED" w:rsidP="005145CF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test for any pre-treatment reach differences in 2017</w:t>
      </w:r>
      <w:r w:rsidR="0081600A">
        <w:rPr>
          <w:rFonts w:ascii="Times New Roman" w:hAnsi="Times New Roman" w:cs="Times New Roman"/>
          <w:sz w:val="20"/>
          <w:szCs w:val="20"/>
        </w:rPr>
        <w:t xml:space="preserve">, </w:t>
      </w:r>
      <w:r w:rsidR="00F314D5">
        <w:rPr>
          <w:rFonts w:ascii="Times New Roman" w:hAnsi="Times New Roman" w:cs="Times New Roman"/>
          <w:sz w:val="20"/>
          <w:szCs w:val="20"/>
        </w:rPr>
        <w:t>MRBP</w:t>
      </w:r>
      <w:r>
        <w:rPr>
          <w:rFonts w:ascii="Times New Roman" w:hAnsi="Times New Roman" w:cs="Times New Roman"/>
          <w:sz w:val="20"/>
          <w:szCs w:val="20"/>
        </w:rPr>
        <w:t xml:space="preserve"> was run on 2017 data only with Treatment as the</w:t>
      </w:r>
      <w:r w:rsidR="004F6A78">
        <w:rPr>
          <w:rFonts w:ascii="Times New Roman" w:hAnsi="Times New Roman" w:cs="Times New Roman"/>
          <w:sz w:val="20"/>
          <w:szCs w:val="20"/>
        </w:rPr>
        <w:t xml:space="preserve"> two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a priori</w:t>
      </w:r>
      <w:r w:rsidR="00F119B9">
        <w:rPr>
          <w:rFonts w:ascii="Times New Roman" w:hAnsi="Times New Roman" w:cs="Times New Roman"/>
          <w:sz w:val="20"/>
          <w:szCs w:val="20"/>
        </w:rPr>
        <w:t xml:space="preserve"> groups</w:t>
      </w:r>
      <w:r>
        <w:rPr>
          <w:rFonts w:ascii="Times New Roman" w:hAnsi="Times New Roman" w:cs="Times New Roman"/>
          <w:sz w:val="20"/>
          <w:szCs w:val="20"/>
        </w:rPr>
        <w:t xml:space="preserve"> and blocked by Stream.</w:t>
      </w:r>
      <w:r w:rsidR="00843302">
        <w:rPr>
          <w:rFonts w:ascii="Times New Roman" w:hAnsi="Times New Roman" w:cs="Times New Roman"/>
          <w:sz w:val="20"/>
          <w:szCs w:val="20"/>
        </w:rPr>
        <w:t xml:space="preserve"> </w:t>
      </w:r>
      <w:r w:rsidR="00F119B9">
        <w:rPr>
          <w:rFonts w:ascii="Times New Roman" w:hAnsi="Times New Roman" w:cs="Times New Roman"/>
          <w:sz w:val="20"/>
          <w:szCs w:val="20"/>
        </w:rPr>
        <w:t xml:space="preserve">The </w:t>
      </w:r>
      <w:r w:rsidR="006B524D">
        <w:rPr>
          <w:rFonts w:ascii="Times New Roman" w:hAnsi="Times New Roman" w:cs="Times New Roman"/>
          <w:sz w:val="20"/>
          <w:szCs w:val="20"/>
        </w:rPr>
        <w:t xml:space="preserve">2018 post-treatment data was then assessed using the same MRBP grouping and blocking. </w:t>
      </w:r>
      <w:r w:rsidR="009A52B2">
        <w:rPr>
          <w:rFonts w:ascii="Times New Roman" w:hAnsi="Times New Roman" w:cs="Times New Roman"/>
          <w:sz w:val="20"/>
          <w:szCs w:val="20"/>
        </w:rPr>
        <w:t xml:space="preserve">MRBP is a </w:t>
      </w:r>
      <w:r w:rsidR="00230710">
        <w:rPr>
          <w:rFonts w:ascii="Times New Roman" w:hAnsi="Times New Roman" w:cs="Times New Roman"/>
          <w:sz w:val="20"/>
          <w:szCs w:val="20"/>
        </w:rPr>
        <w:t>nonparametric</w:t>
      </w:r>
      <w:r w:rsidR="009A52B2">
        <w:rPr>
          <w:rFonts w:ascii="Times New Roman" w:hAnsi="Times New Roman" w:cs="Times New Roman"/>
          <w:sz w:val="20"/>
          <w:szCs w:val="20"/>
        </w:rPr>
        <w:t xml:space="preserve"> method used to test for differences between</w:t>
      </w:r>
      <w:r w:rsidR="009A52B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A52B2">
        <w:rPr>
          <w:rFonts w:ascii="Times New Roman" w:hAnsi="Times New Roman" w:cs="Times New Roman"/>
          <w:sz w:val="20"/>
          <w:szCs w:val="20"/>
        </w:rPr>
        <w:t>groups</w:t>
      </w:r>
      <w:r w:rsidR="00E93E17">
        <w:rPr>
          <w:rFonts w:ascii="Times New Roman" w:hAnsi="Times New Roman" w:cs="Times New Roman"/>
          <w:sz w:val="20"/>
          <w:szCs w:val="20"/>
        </w:rPr>
        <w:t>. Th</w:t>
      </w:r>
      <w:r w:rsidR="00EA27D0">
        <w:rPr>
          <w:rFonts w:ascii="Times New Roman" w:hAnsi="Times New Roman" w:cs="Times New Roman"/>
          <w:sz w:val="20"/>
          <w:szCs w:val="20"/>
        </w:rPr>
        <w:t xml:space="preserve">is method </w:t>
      </w:r>
      <w:r w:rsidR="009A52B2">
        <w:rPr>
          <w:rFonts w:ascii="Times New Roman" w:hAnsi="Times New Roman" w:cs="Times New Roman"/>
          <w:sz w:val="20"/>
          <w:szCs w:val="20"/>
        </w:rPr>
        <w:t>accommodates paired or blocked study designs</w:t>
      </w:r>
      <w:r w:rsidR="005145CF">
        <w:rPr>
          <w:rFonts w:ascii="Times New Roman" w:hAnsi="Times New Roman" w:cs="Times New Roman"/>
          <w:sz w:val="20"/>
          <w:szCs w:val="20"/>
        </w:rPr>
        <w:t xml:space="preserve"> by accounting for variation related to study design variables that have little bearing on the question being addressed</w:t>
      </w:r>
      <w:r w:rsidR="00EA27D0">
        <w:rPr>
          <w:rFonts w:ascii="Times New Roman" w:hAnsi="Times New Roman" w:cs="Times New Roman"/>
          <w:sz w:val="20"/>
          <w:szCs w:val="20"/>
        </w:rPr>
        <w:t>. I</w:t>
      </w:r>
      <w:r w:rsidR="006B524D">
        <w:rPr>
          <w:rFonts w:ascii="Times New Roman" w:hAnsi="Times New Roman" w:cs="Times New Roman"/>
          <w:sz w:val="20"/>
          <w:szCs w:val="20"/>
        </w:rPr>
        <w:t>n this case</w:t>
      </w:r>
      <w:r w:rsidR="00EA27D0">
        <w:rPr>
          <w:rFonts w:ascii="Times New Roman" w:hAnsi="Times New Roman" w:cs="Times New Roman"/>
          <w:sz w:val="20"/>
          <w:szCs w:val="20"/>
        </w:rPr>
        <w:t>, MRBP accounts</w:t>
      </w:r>
      <w:r w:rsidR="006B524D">
        <w:rPr>
          <w:rFonts w:ascii="Times New Roman" w:hAnsi="Times New Roman" w:cs="Times New Roman"/>
          <w:sz w:val="20"/>
          <w:szCs w:val="20"/>
        </w:rPr>
        <w:t xml:space="preserve"> for any between-stream variation</w:t>
      </w:r>
      <w:r w:rsidR="009A52B2">
        <w:rPr>
          <w:rFonts w:ascii="Times New Roman" w:hAnsi="Times New Roman" w:cs="Times New Roman"/>
          <w:sz w:val="20"/>
          <w:szCs w:val="20"/>
        </w:rPr>
        <w:t xml:space="preserve">. </w:t>
      </w:r>
      <w:r w:rsidR="006B524D">
        <w:rPr>
          <w:rFonts w:ascii="Times New Roman" w:hAnsi="Times New Roman" w:cs="Times New Roman"/>
          <w:sz w:val="20"/>
          <w:szCs w:val="20"/>
        </w:rPr>
        <w:t xml:space="preserve">MRBP </w:t>
      </w:r>
      <w:r w:rsidR="00D01ED9">
        <w:rPr>
          <w:rFonts w:ascii="Times New Roman" w:hAnsi="Times New Roman" w:cs="Times New Roman"/>
          <w:sz w:val="20"/>
          <w:szCs w:val="20"/>
        </w:rPr>
        <w:t xml:space="preserve">outputs a p-value for the observed </w:t>
      </w:r>
      <w:r w:rsidR="003C1608">
        <w:rPr>
          <w:rFonts w:ascii="Times New Roman" w:hAnsi="Times New Roman" w:cs="Times New Roman"/>
          <w:sz w:val="20"/>
          <w:szCs w:val="20"/>
        </w:rPr>
        <w:t xml:space="preserve">within-group distance (smaller distances constituting stronger grouping) </w:t>
      </w:r>
      <w:r w:rsidR="00D01ED9">
        <w:rPr>
          <w:rFonts w:ascii="Times New Roman" w:hAnsi="Times New Roman" w:cs="Times New Roman"/>
          <w:sz w:val="20"/>
          <w:szCs w:val="20"/>
        </w:rPr>
        <w:t xml:space="preserve">by shuffling SU’s between groups </w:t>
      </w:r>
      <w:r w:rsidR="003C1608">
        <w:rPr>
          <w:rFonts w:ascii="Times New Roman" w:hAnsi="Times New Roman" w:cs="Times New Roman"/>
          <w:sz w:val="20"/>
          <w:szCs w:val="20"/>
        </w:rPr>
        <w:t>to generate a distribution of possible within-group distances</w:t>
      </w:r>
      <w:r w:rsidR="00576FCE">
        <w:rPr>
          <w:rFonts w:ascii="Times New Roman" w:hAnsi="Times New Roman" w:cs="Times New Roman"/>
          <w:sz w:val="20"/>
          <w:szCs w:val="20"/>
        </w:rPr>
        <w:t xml:space="preserve"> (McCune and Grace, 2002)</w:t>
      </w:r>
      <w:r w:rsidR="003A1CC4">
        <w:rPr>
          <w:rFonts w:ascii="Times New Roman" w:hAnsi="Times New Roman" w:cs="Times New Roman"/>
          <w:sz w:val="20"/>
          <w:szCs w:val="20"/>
        </w:rPr>
        <w:t>.</w:t>
      </w:r>
    </w:p>
    <w:p w14:paraId="33E9B013" w14:textId="6432BEDF" w:rsidR="003A1CC4" w:rsidRDefault="00AA796B" w:rsidP="005145CF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follow-up ISA calculates an indicator va</w:t>
      </w:r>
      <w:r w:rsidR="0041014F">
        <w:rPr>
          <w:rFonts w:ascii="Times New Roman" w:hAnsi="Times New Roman" w:cs="Times New Roman"/>
          <w:sz w:val="20"/>
          <w:szCs w:val="20"/>
        </w:rPr>
        <w:t>lue (IV) for each species</w:t>
      </w:r>
      <w:r>
        <w:rPr>
          <w:rFonts w:ascii="Times New Roman" w:hAnsi="Times New Roman" w:cs="Times New Roman"/>
          <w:sz w:val="20"/>
          <w:szCs w:val="20"/>
        </w:rPr>
        <w:t xml:space="preserve">. The </w:t>
      </w:r>
      <w:r w:rsidR="00D06540">
        <w:rPr>
          <w:rFonts w:ascii="Times New Roman" w:hAnsi="Times New Roman" w:cs="Times New Roman"/>
          <w:sz w:val="20"/>
          <w:szCs w:val="20"/>
        </w:rPr>
        <w:t>IV</w:t>
      </w:r>
      <w:r w:rsidR="005D67A7">
        <w:rPr>
          <w:rFonts w:ascii="Times New Roman" w:hAnsi="Times New Roman" w:cs="Times New Roman"/>
          <w:sz w:val="20"/>
          <w:szCs w:val="20"/>
        </w:rPr>
        <w:t xml:space="preserve"> is a composite of a taxon</w:t>
      </w:r>
      <w:r w:rsidR="0041014F">
        <w:rPr>
          <w:rFonts w:ascii="Times New Roman" w:hAnsi="Times New Roman" w:cs="Times New Roman"/>
          <w:sz w:val="20"/>
          <w:szCs w:val="20"/>
        </w:rPr>
        <w:t>’</w:t>
      </w:r>
      <w:r w:rsidR="005D67A7">
        <w:rPr>
          <w:rFonts w:ascii="Times New Roman" w:hAnsi="Times New Roman" w:cs="Times New Roman"/>
          <w:sz w:val="20"/>
          <w:szCs w:val="20"/>
        </w:rPr>
        <w:t>s</w:t>
      </w:r>
      <w:r w:rsidR="0041014F">
        <w:rPr>
          <w:rFonts w:ascii="Times New Roman" w:hAnsi="Times New Roman" w:cs="Times New Roman"/>
          <w:sz w:val="20"/>
          <w:szCs w:val="20"/>
        </w:rPr>
        <w:t xml:space="preserve"> </w:t>
      </w:r>
      <w:r w:rsidR="00D06540">
        <w:rPr>
          <w:rFonts w:ascii="Times New Roman" w:hAnsi="Times New Roman" w:cs="Times New Roman"/>
          <w:sz w:val="20"/>
          <w:szCs w:val="20"/>
        </w:rPr>
        <w:t>fidelity</w:t>
      </w:r>
      <w:r w:rsidR="00612D88">
        <w:rPr>
          <w:rFonts w:ascii="Times New Roman" w:hAnsi="Times New Roman" w:cs="Times New Roman"/>
          <w:sz w:val="20"/>
          <w:szCs w:val="20"/>
        </w:rPr>
        <w:t xml:space="preserve"> and exclusivity to a group. </w:t>
      </w:r>
      <w:r w:rsidR="005D67A7">
        <w:rPr>
          <w:rFonts w:ascii="Times New Roman" w:hAnsi="Times New Roman" w:cs="Times New Roman"/>
          <w:sz w:val="20"/>
          <w:szCs w:val="20"/>
        </w:rPr>
        <w:t>If a taxon</w:t>
      </w:r>
      <w:r w:rsidR="00D06540">
        <w:rPr>
          <w:rFonts w:ascii="Times New Roman" w:hAnsi="Times New Roman" w:cs="Times New Roman"/>
          <w:sz w:val="20"/>
          <w:szCs w:val="20"/>
        </w:rPr>
        <w:t xml:space="preserve"> is </w:t>
      </w:r>
      <w:r w:rsidR="00612D88">
        <w:rPr>
          <w:rFonts w:ascii="Times New Roman" w:hAnsi="Times New Roman" w:cs="Times New Roman"/>
          <w:sz w:val="20"/>
          <w:szCs w:val="20"/>
        </w:rPr>
        <w:t xml:space="preserve">consistently </w:t>
      </w:r>
      <w:r w:rsidR="00D06540">
        <w:rPr>
          <w:rFonts w:ascii="Times New Roman" w:hAnsi="Times New Roman" w:cs="Times New Roman"/>
          <w:sz w:val="20"/>
          <w:szCs w:val="20"/>
        </w:rPr>
        <w:t>abundant in one group and never present in any other, then</w:t>
      </w:r>
      <w:r w:rsidR="0041014F">
        <w:rPr>
          <w:rFonts w:ascii="Times New Roman" w:hAnsi="Times New Roman" w:cs="Times New Roman"/>
          <w:sz w:val="20"/>
          <w:szCs w:val="20"/>
        </w:rPr>
        <w:t xml:space="preserve"> it would receive a high IV. Conversely,</w:t>
      </w:r>
      <w:r w:rsidR="005D67A7">
        <w:rPr>
          <w:rFonts w:ascii="Times New Roman" w:hAnsi="Times New Roman" w:cs="Times New Roman"/>
          <w:sz w:val="20"/>
          <w:szCs w:val="20"/>
        </w:rPr>
        <w:t xml:space="preserve"> a taxon</w:t>
      </w:r>
      <w:r w:rsidR="0041014F">
        <w:rPr>
          <w:rFonts w:ascii="Times New Roman" w:hAnsi="Times New Roman" w:cs="Times New Roman"/>
          <w:sz w:val="20"/>
          <w:szCs w:val="20"/>
        </w:rPr>
        <w:t xml:space="preserve"> </w:t>
      </w:r>
      <w:r w:rsidR="007F064F">
        <w:rPr>
          <w:rFonts w:ascii="Times New Roman" w:hAnsi="Times New Roman" w:cs="Times New Roman"/>
          <w:sz w:val="20"/>
          <w:szCs w:val="20"/>
        </w:rPr>
        <w:t>rarely abundant</w:t>
      </w:r>
      <w:r w:rsidR="00A25280">
        <w:rPr>
          <w:rFonts w:ascii="Times New Roman" w:hAnsi="Times New Roman" w:cs="Times New Roman"/>
          <w:sz w:val="20"/>
          <w:szCs w:val="20"/>
        </w:rPr>
        <w:t xml:space="preserve"> in SU’</w:t>
      </w:r>
      <w:r w:rsidR="007F064F">
        <w:rPr>
          <w:rFonts w:ascii="Times New Roman" w:hAnsi="Times New Roman" w:cs="Times New Roman"/>
          <w:sz w:val="20"/>
          <w:szCs w:val="20"/>
        </w:rPr>
        <w:t xml:space="preserve">s of one group and present in other groups </w:t>
      </w:r>
      <w:r w:rsidR="00A25280">
        <w:rPr>
          <w:rFonts w:ascii="Times New Roman" w:hAnsi="Times New Roman" w:cs="Times New Roman"/>
          <w:sz w:val="20"/>
          <w:szCs w:val="20"/>
        </w:rPr>
        <w:t>would receive a low IV</w:t>
      </w:r>
      <w:r w:rsidR="00576FCE">
        <w:rPr>
          <w:rFonts w:ascii="Times New Roman" w:hAnsi="Times New Roman" w:cs="Times New Roman"/>
          <w:sz w:val="20"/>
          <w:szCs w:val="20"/>
        </w:rPr>
        <w:t xml:space="preserve"> (McCune and Grace, 2002)</w:t>
      </w:r>
      <w:r w:rsidR="00A25280">
        <w:rPr>
          <w:rFonts w:ascii="Times New Roman" w:hAnsi="Times New Roman" w:cs="Times New Roman"/>
          <w:sz w:val="20"/>
          <w:szCs w:val="20"/>
        </w:rPr>
        <w:t>.</w:t>
      </w:r>
      <w:r w:rsidR="007F34E6">
        <w:rPr>
          <w:rFonts w:ascii="Times New Roman" w:hAnsi="Times New Roman" w:cs="Times New Roman"/>
          <w:sz w:val="20"/>
          <w:szCs w:val="20"/>
        </w:rPr>
        <w:t xml:space="preserve"> A Monte Carlo test of </w:t>
      </w:r>
      <w:r w:rsidR="00645E43">
        <w:rPr>
          <w:rFonts w:ascii="Times New Roman" w:hAnsi="Times New Roman" w:cs="Times New Roman"/>
          <w:sz w:val="20"/>
          <w:szCs w:val="20"/>
        </w:rPr>
        <w:t>1</w:t>
      </w:r>
      <w:r w:rsidR="00CD2074">
        <w:rPr>
          <w:rFonts w:ascii="Times New Roman" w:hAnsi="Times New Roman" w:cs="Times New Roman"/>
          <w:sz w:val="20"/>
          <w:szCs w:val="20"/>
        </w:rPr>
        <w:t>,</w:t>
      </w:r>
      <w:r w:rsidR="00645E43">
        <w:rPr>
          <w:rFonts w:ascii="Times New Roman" w:hAnsi="Times New Roman" w:cs="Times New Roman"/>
          <w:sz w:val="20"/>
          <w:szCs w:val="20"/>
        </w:rPr>
        <w:t>000</w:t>
      </w:r>
      <w:r w:rsidR="007F34E6">
        <w:rPr>
          <w:rFonts w:ascii="Times New Roman" w:hAnsi="Times New Roman" w:cs="Times New Roman"/>
          <w:sz w:val="20"/>
          <w:szCs w:val="20"/>
        </w:rPr>
        <w:t xml:space="preserve"> permutations o</w:t>
      </w:r>
      <w:r w:rsidR="00645E43">
        <w:rPr>
          <w:rFonts w:ascii="Times New Roman" w:hAnsi="Times New Roman" w:cs="Times New Roman"/>
          <w:sz w:val="20"/>
          <w:szCs w:val="20"/>
        </w:rPr>
        <w:t xml:space="preserve">f the </w:t>
      </w:r>
      <w:r w:rsidR="005D67A7">
        <w:rPr>
          <w:rFonts w:ascii="Times New Roman" w:hAnsi="Times New Roman" w:cs="Times New Roman"/>
          <w:sz w:val="20"/>
          <w:szCs w:val="20"/>
        </w:rPr>
        <w:t>taxa</w:t>
      </w:r>
      <w:r w:rsidR="0058623C">
        <w:rPr>
          <w:rFonts w:ascii="Times New Roman" w:hAnsi="Times New Roman" w:cs="Times New Roman"/>
          <w:sz w:val="20"/>
          <w:szCs w:val="20"/>
        </w:rPr>
        <w:t xml:space="preserve"> </w:t>
      </w:r>
      <w:r w:rsidR="00645E43">
        <w:rPr>
          <w:rFonts w:ascii="Times New Roman" w:hAnsi="Times New Roman" w:cs="Times New Roman"/>
          <w:sz w:val="20"/>
          <w:szCs w:val="20"/>
        </w:rPr>
        <w:t>matrix was used</w:t>
      </w:r>
      <w:r w:rsidR="007F34E6">
        <w:rPr>
          <w:rFonts w:ascii="Times New Roman" w:hAnsi="Times New Roman" w:cs="Times New Roman"/>
          <w:sz w:val="20"/>
          <w:szCs w:val="20"/>
        </w:rPr>
        <w:t xml:space="preserve"> to generate a p-value</w:t>
      </w:r>
      <w:r w:rsidR="005D67A7">
        <w:rPr>
          <w:rFonts w:ascii="Times New Roman" w:hAnsi="Times New Roman" w:cs="Times New Roman"/>
          <w:sz w:val="20"/>
          <w:szCs w:val="20"/>
        </w:rPr>
        <w:t xml:space="preserve"> for each taxon’s</w:t>
      </w:r>
      <w:r w:rsidR="007F34E6">
        <w:rPr>
          <w:rFonts w:ascii="Times New Roman" w:hAnsi="Times New Roman" w:cs="Times New Roman"/>
          <w:sz w:val="20"/>
          <w:szCs w:val="20"/>
        </w:rPr>
        <w:t xml:space="preserve"> IV.</w:t>
      </w:r>
    </w:p>
    <w:p w14:paraId="1557CD53" w14:textId="22FCA2D8" w:rsidR="00CB70A4" w:rsidRDefault="00825999" w:rsidP="00B51510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taxon resolution was lowered from the</w:t>
      </w:r>
      <w:r w:rsidR="0035139A">
        <w:rPr>
          <w:rFonts w:ascii="Times New Roman" w:hAnsi="Times New Roman" w:cs="Times New Roman"/>
          <w:sz w:val="20"/>
          <w:szCs w:val="20"/>
        </w:rPr>
        <w:t xml:space="preserve"> LTU</w:t>
      </w:r>
      <w:r>
        <w:rPr>
          <w:rFonts w:ascii="Times New Roman" w:hAnsi="Times New Roman" w:cs="Times New Roman"/>
          <w:sz w:val="20"/>
          <w:szCs w:val="20"/>
        </w:rPr>
        <w:t xml:space="preserve"> level to family level for benthic samples in order to create a matrix of </w:t>
      </w:r>
      <w:r w:rsidR="005D67A7">
        <w:rPr>
          <w:rFonts w:ascii="Times New Roman" w:hAnsi="Times New Roman" w:cs="Times New Roman"/>
          <w:sz w:val="20"/>
          <w:szCs w:val="20"/>
        </w:rPr>
        <w:t xml:space="preserve">both fish and benthic samples. </w:t>
      </w:r>
      <w:r>
        <w:rPr>
          <w:rFonts w:ascii="Times New Roman" w:hAnsi="Times New Roman" w:cs="Times New Roman"/>
          <w:sz w:val="20"/>
          <w:szCs w:val="20"/>
        </w:rPr>
        <w:t xml:space="preserve">In order to judge the impact of reducing taxon resolution on interpreting benthic community relationships, </w:t>
      </w:r>
      <w:r w:rsidR="005D67A7">
        <w:rPr>
          <w:rFonts w:ascii="Times New Roman" w:hAnsi="Times New Roman" w:cs="Times New Roman"/>
          <w:sz w:val="20"/>
          <w:szCs w:val="20"/>
        </w:rPr>
        <w:t>two</w:t>
      </w:r>
      <w:r>
        <w:rPr>
          <w:rFonts w:ascii="Times New Roman" w:hAnsi="Times New Roman" w:cs="Times New Roman"/>
          <w:sz w:val="20"/>
          <w:szCs w:val="20"/>
        </w:rPr>
        <w:t xml:space="preserve"> ordinations of be</w:t>
      </w:r>
      <w:r w:rsidR="0035139A">
        <w:rPr>
          <w:rFonts w:ascii="Times New Roman" w:hAnsi="Times New Roman" w:cs="Times New Roman"/>
          <w:sz w:val="20"/>
          <w:szCs w:val="20"/>
        </w:rPr>
        <w:t>nthic invertebrates</w:t>
      </w:r>
      <w:r w:rsidR="005D67A7">
        <w:rPr>
          <w:rFonts w:ascii="Times New Roman" w:hAnsi="Times New Roman" w:cs="Times New Roman"/>
          <w:sz w:val="20"/>
          <w:szCs w:val="20"/>
        </w:rPr>
        <w:t xml:space="preserve"> were performed</w:t>
      </w:r>
      <w:r w:rsidR="0035139A">
        <w:rPr>
          <w:rFonts w:ascii="Times New Roman" w:hAnsi="Times New Roman" w:cs="Times New Roman"/>
          <w:sz w:val="20"/>
          <w:szCs w:val="20"/>
        </w:rPr>
        <w:t>, one in LTU</w:t>
      </w:r>
      <w:r w:rsidR="005D67A7">
        <w:rPr>
          <w:rFonts w:ascii="Times New Roman" w:hAnsi="Times New Roman" w:cs="Times New Roman"/>
          <w:sz w:val="20"/>
          <w:szCs w:val="20"/>
        </w:rPr>
        <w:t xml:space="preserve"> space</w:t>
      </w:r>
      <w:r>
        <w:rPr>
          <w:rFonts w:ascii="Times New Roman" w:hAnsi="Times New Roman" w:cs="Times New Roman"/>
          <w:sz w:val="20"/>
          <w:szCs w:val="20"/>
        </w:rPr>
        <w:t xml:space="preserve"> and one in family space using nonmetric mult</w:t>
      </w:r>
      <w:r w:rsidR="00BB6B5D">
        <w:rPr>
          <w:rFonts w:ascii="Times New Roman" w:hAnsi="Times New Roman" w:cs="Times New Roman"/>
          <w:sz w:val="20"/>
          <w:szCs w:val="20"/>
        </w:rPr>
        <w:t>idimensional scaling (NMS) in or</w:t>
      </w:r>
      <w:r w:rsidR="006A4D21">
        <w:rPr>
          <w:rFonts w:ascii="Times New Roman" w:hAnsi="Times New Roman" w:cs="Times New Roman"/>
          <w:sz w:val="20"/>
          <w:szCs w:val="20"/>
        </w:rPr>
        <w:t xml:space="preserve">der to determine </w:t>
      </w:r>
      <w:r w:rsidR="005D67A7">
        <w:rPr>
          <w:rFonts w:ascii="Times New Roman" w:hAnsi="Times New Roman" w:cs="Times New Roman"/>
          <w:sz w:val="20"/>
          <w:szCs w:val="20"/>
        </w:rPr>
        <w:t>whether</w:t>
      </w:r>
      <w:r w:rsidR="006A4D21">
        <w:rPr>
          <w:rFonts w:ascii="Times New Roman" w:hAnsi="Times New Roman" w:cs="Times New Roman"/>
          <w:sz w:val="20"/>
          <w:szCs w:val="20"/>
        </w:rPr>
        <w:t xml:space="preserve"> different conclusions would be drawn from lower levels of identification</w:t>
      </w:r>
      <w:r w:rsidR="00D31FAA">
        <w:rPr>
          <w:rFonts w:ascii="Times New Roman" w:hAnsi="Times New Roman" w:cs="Times New Roman"/>
          <w:sz w:val="20"/>
          <w:szCs w:val="20"/>
        </w:rPr>
        <w:t xml:space="preserve"> (Kruskal, 1964)</w:t>
      </w:r>
      <w:r w:rsidR="006A4D21">
        <w:rPr>
          <w:rFonts w:ascii="Times New Roman" w:hAnsi="Times New Roman" w:cs="Times New Roman"/>
          <w:sz w:val="20"/>
          <w:szCs w:val="20"/>
        </w:rPr>
        <w:t>. Sorensen distance was</w:t>
      </w:r>
      <w:r w:rsidR="00CE3785">
        <w:rPr>
          <w:rFonts w:ascii="Times New Roman" w:hAnsi="Times New Roman" w:cs="Times New Roman"/>
          <w:sz w:val="20"/>
          <w:szCs w:val="20"/>
        </w:rPr>
        <w:t xml:space="preserve"> used for both ordinations </w:t>
      </w:r>
      <w:r w:rsidR="00D105FC">
        <w:rPr>
          <w:rFonts w:ascii="Times New Roman" w:hAnsi="Times New Roman" w:cs="Times New Roman"/>
          <w:sz w:val="20"/>
          <w:szCs w:val="20"/>
        </w:rPr>
        <w:t>to reduce the impact of outlier</w:t>
      </w:r>
      <w:r w:rsidR="00B519C1">
        <w:rPr>
          <w:rFonts w:ascii="Times New Roman" w:hAnsi="Times New Roman" w:cs="Times New Roman"/>
          <w:sz w:val="20"/>
          <w:szCs w:val="20"/>
        </w:rPr>
        <w:t>s</w:t>
      </w:r>
      <w:r w:rsidR="00CE3785">
        <w:rPr>
          <w:rFonts w:ascii="Times New Roman" w:hAnsi="Times New Roman" w:cs="Times New Roman"/>
          <w:sz w:val="20"/>
          <w:szCs w:val="20"/>
        </w:rPr>
        <w:t>. T</w:t>
      </w:r>
      <w:r w:rsidR="006A4D21">
        <w:rPr>
          <w:rFonts w:ascii="Times New Roman" w:hAnsi="Times New Roman" w:cs="Times New Roman"/>
          <w:sz w:val="20"/>
          <w:szCs w:val="20"/>
        </w:rPr>
        <w:t xml:space="preserve">ies were not penalized, although there were no ties in </w:t>
      </w:r>
      <w:r w:rsidR="00231C12">
        <w:rPr>
          <w:rFonts w:ascii="Times New Roman" w:hAnsi="Times New Roman" w:cs="Times New Roman"/>
          <w:sz w:val="20"/>
          <w:szCs w:val="20"/>
        </w:rPr>
        <w:t>either matrix</w:t>
      </w:r>
      <w:r w:rsidR="00427CEB">
        <w:rPr>
          <w:rFonts w:ascii="Times New Roman" w:hAnsi="Times New Roman" w:cs="Times New Roman"/>
          <w:sz w:val="20"/>
          <w:szCs w:val="20"/>
        </w:rPr>
        <w:t>, and the ordination was rotated to maximize the environmental variable BenthoTotal along axis 1.</w:t>
      </w:r>
      <w:r w:rsidR="007B03D1">
        <w:rPr>
          <w:rFonts w:ascii="Times New Roman" w:hAnsi="Times New Roman" w:cs="Times New Roman"/>
          <w:sz w:val="20"/>
          <w:szCs w:val="20"/>
        </w:rPr>
        <w:t xml:space="preserve"> A random </w:t>
      </w:r>
      <w:r w:rsidR="007B03D1">
        <w:rPr>
          <w:rFonts w:ascii="Times New Roman" w:hAnsi="Times New Roman" w:cs="Times New Roman"/>
          <w:sz w:val="20"/>
          <w:szCs w:val="20"/>
        </w:rPr>
        <w:lastRenderedPageBreak/>
        <w:t xml:space="preserve">start was used </w:t>
      </w:r>
      <w:r w:rsidR="000B38E0">
        <w:rPr>
          <w:noProof/>
        </w:rPr>
        <w:drawing>
          <wp:anchor distT="0" distB="0" distL="114300" distR="114300" simplePos="0" relativeHeight="251668480" behindDoc="0" locked="0" layoutInCell="1" allowOverlap="1" wp14:anchorId="5593D047" wp14:editId="5739C930">
            <wp:simplePos x="0" y="0"/>
            <wp:positionH relativeFrom="column">
              <wp:posOffset>2218690</wp:posOffset>
            </wp:positionH>
            <wp:positionV relativeFrom="paragraph">
              <wp:posOffset>4445</wp:posOffset>
            </wp:positionV>
            <wp:extent cx="3776345" cy="2124075"/>
            <wp:effectExtent l="0" t="0" r="8255" b="9525"/>
            <wp:wrapSquare wrapText="bothSides"/>
            <wp:docPr id="16" name="Picture 16" descr="../Thesis/PC-ORD/nms%20benthic%20LT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Thesis/PC-ORD/nms%20benthic%20LTU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3D1">
        <w:rPr>
          <w:rFonts w:ascii="Times New Roman" w:hAnsi="Times New Roman" w:cs="Times New Roman"/>
          <w:sz w:val="20"/>
          <w:szCs w:val="20"/>
        </w:rPr>
        <w:t xml:space="preserve">and the real data were run 250 times to ensure an absolute stress minima was reached. </w:t>
      </w:r>
      <w:r w:rsidR="000B38E0">
        <w:rPr>
          <w:rFonts w:ascii="Times New Roman" w:hAnsi="Times New Roman" w:cs="Times New Roman"/>
          <w:sz w:val="20"/>
          <w:szCs w:val="20"/>
        </w:rPr>
        <w:t xml:space="preserve">A Monte Carlo test with 100 permutations was used to </w:t>
      </w:r>
      <w:r w:rsidR="007B03D1">
        <w:rPr>
          <w:rFonts w:ascii="Times New Roman" w:hAnsi="Times New Roman" w:cs="Times New Roman"/>
          <w:sz w:val="20"/>
          <w:szCs w:val="20"/>
        </w:rPr>
        <w:t xml:space="preserve">generate a p-value for the probability of the </w:t>
      </w:r>
      <w:r w:rsidR="00D67772">
        <w:rPr>
          <w:rFonts w:ascii="Times New Roman" w:hAnsi="Times New Roman" w:cs="Times New Roman"/>
          <w:sz w:val="20"/>
          <w:szCs w:val="20"/>
        </w:rPr>
        <w:t xml:space="preserve">final </w:t>
      </w:r>
      <w:r w:rsidR="004E1D27">
        <w:rPr>
          <w:rFonts w:ascii="Times New Roman" w:hAnsi="Times New Roman" w:cs="Times New Roman"/>
          <w:sz w:val="20"/>
          <w:szCs w:val="20"/>
        </w:rPr>
        <w:t>ordination have a lower than expected p-value by chance</w:t>
      </w:r>
      <w:r w:rsidR="000B38E0">
        <w:rPr>
          <w:rFonts w:ascii="Times New Roman" w:hAnsi="Times New Roman" w:cs="Times New Roman"/>
          <w:sz w:val="20"/>
          <w:szCs w:val="20"/>
        </w:rPr>
        <w:t>.</w:t>
      </w:r>
    </w:p>
    <w:p w14:paraId="2F1E4E61" w14:textId="1F417241" w:rsidR="003E71ED" w:rsidRDefault="000B38E0" w:rsidP="00C22BB7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2EBBD" wp14:editId="1A440533">
                <wp:simplePos x="0" y="0"/>
                <wp:positionH relativeFrom="column">
                  <wp:posOffset>2567305</wp:posOffset>
                </wp:positionH>
                <wp:positionV relativeFrom="paragraph">
                  <wp:posOffset>1034415</wp:posOffset>
                </wp:positionV>
                <wp:extent cx="3086735" cy="11493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114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B078C" w14:textId="001DB732" w:rsidR="00063071" w:rsidRDefault="00063071" w:rsidP="000630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</w:t>
                            </w:r>
                            <w:r w:rsidR="00F739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ig. 1a</w:t>
                            </w:r>
                          </w:p>
                          <w:p w14:paraId="76318ED8" w14:textId="5F888FAB" w:rsidR="00063071" w:rsidRPr="00063071" w:rsidRDefault="00063071" w:rsidP="000630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Ordination in LTU space with </w:t>
                            </w:r>
                            <w:r w:rsidR="00096B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environmental joint plot overlaid</w:t>
                            </w:r>
                            <w:r w:rsidR="00C560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096B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Pre-treatment reaches</w:t>
                            </w:r>
                            <w:r w:rsidR="007D2C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(2017)</w:t>
                            </w:r>
                            <w:r w:rsidR="00096B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are coded as triangles, post treatment</w:t>
                            </w:r>
                            <w:r w:rsidR="007D2C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(2018)</w:t>
                            </w:r>
                            <w:r w:rsidR="00096B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as circl</w:t>
                            </w:r>
                            <w:r w:rsidR="00580A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es, </w:t>
                            </w:r>
                            <w:r w:rsidR="00096B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treatment reaches</w:t>
                            </w:r>
                            <w:r w:rsidR="007D2C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(Y)</w:t>
                            </w:r>
                            <w:r w:rsidR="00096B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are filled shapes</w:t>
                            </w:r>
                            <w:r w:rsidR="00580A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096B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and non-treatment reaches</w:t>
                            </w:r>
                            <w:r w:rsidR="006047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(N)</w:t>
                            </w:r>
                            <w:r w:rsidR="00096B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are empty.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2EBBD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2.15pt;margin-top:81.45pt;width:243.05pt;height:9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" filled="f" stroked="f">
                <v:textbox>
                  <w:txbxContent>
                    <w:p w14:paraId="5A0B078C" w14:textId="001DB732" w:rsidR="00063071" w:rsidRDefault="00063071" w:rsidP="0006307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r w:rsidR="00F739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ig. 1a</w:t>
                      </w:r>
                    </w:p>
                    <w:p w14:paraId="76318ED8" w14:textId="5F888FAB" w:rsidR="00063071" w:rsidRPr="00063071" w:rsidRDefault="00063071" w:rsidP="0006307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Ordination in LTU space with </w:t>
                      </w:r>
                      <w:r w:rsidR="00096B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environmental joint plot overlaid</w:t>
                      </w:r>
                      <w:r w:rsidR="00C560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 w:rsidR="00096B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Pre-treatment reaches</w:t>
                      </w:r>
                      <w:r w:rsidR="007D2C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(2017)</w:t>
                      </w:r>
                      <w:r w:rsidR="00096B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are coded as triangles, post treatment</w:t>
                      </w:r>
                      <w:r w:rsidR="007D2C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(2018)</w:t>
                      </w:r>
                      <w:r w:rsidR="00096B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as circl</w:t>
                      </w:r>
                      <w:r w:rsidR="00580A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es, </w:t>
                      </w:r>
                      <w:r w:rsidR="00096B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treatment reaches</w:t>
                      </w:r>
                      <w:r w:rsidR="007D2C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(Y)</w:t>
                      </w:r>
                      <w:r w:rsidR="00096B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are filled shapes</w:t>
                      </w:r>
                      <w:r w:rsidR="00580A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096B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and non-treatment reaches</w:t>
                      </w:r>
                      <w:r w:rsidR="006047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(N)</w:t>
                      </w:r>
                      <w:r w:rsidR="00096B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are empty.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4D21">
        <w:rPr>
          <w:rFonts w:ascii="Times New Roman" w:hAnsi="Times New Roman" w:cs="Times New Roman"/>
          <w:sz w:val="20"/>
          <w:szCs w:val="20"/>
        </w:rPr>
        <w:t>To further test for differences between the leve</w:t>
      </w:r>
      <w:r w:rsidR="003304F7">
        <w:rPr>
          <w:rFonts w:ascii="Times New Roman" w:hAnsi="Times New Roman" w:cs="Times New Roman"/>
          <w:sz w:val="20"/>
          <w:szCs w:val="20"/>
        </w:rPr>
        <w:t xml:space="preserve">l of identification used, </w:t>
      </w:r>
      <w:r w:rsidR="006A4D21">
        <w:rPr>
          <w:rFonts w:ascii="Times New Roman" w:hAnsi="Times New Roman" w:cs="Times New Roman"/>
          <w:sz w:val="20"/>
          <w:szCs w:val="20"/>
        </w:rPr>
        <w:t xml:space="preserve">a mantel test </w:t>
      </w:r>
      <w:r w:rsidR="00576FCE">
        <w:rPr>
          <w:rFonts w:ascii="Times New Roman" w:hAnsi="Times New Roman" w:cs="Times New Roman"/>
          <w:sz w:val="20"/>
          <w:szCs w:val="20"/>
        </w:rPr>
        <w:t xml:space="preserve">was applied to the </w:t>
      </w:r>
      <w:r w:rsidR="006A4D21">
        <w:rPr>
          <w:rFonts w:ascii="Times New Roman" w:hAnsi="Times New Roman" w:cs="Times New Roman"/>
          <w:sz w:val="20"/>
          <w:szCs w:val="20"/>
        </w:rPr>
        <w:t xml:space="preserve">original </w:t>
      </w:r>
      <w:r w:rsidR="00BB2B79">
        <w:rPr>
          <w:rFonts w:ascii="Times New Roman" w:hAnsi="Times New Roman" w:cs="Times New Roman"/>
          <w:sz w:val="20"/>
          <w:szCs w:val="20"/>
        </w:rPr>
        <w:t xml:space="preserve">family and LTU benthic </w:t>
      </w:r>
      <w:r w:rsidR="00576FCE">
        <w:rPr>
          <w:rFonts w:ascii="Times New Roman" w:hAnsi="Times New Roman" w:cs="Times New Roman"/>
          <w:sz w:val="20"/>
          <w:szCs w:val="20"/>
        </w:rPr>
        <w:t>distance</w:t>
      </w:r>
      <w:r w:rsidR="006A4D21">
        <w:rPr>
          <w:rFonts w:ascii="Times New Roman" w:hAnsi="Times New Roman" w:cs="Times New Roman"/>
          <w:sz w:val="20"/>
          <w:szCs w:val="20"/>
        </w:rPr>
        <w:t xml:space="preserve"> matrices</w:t>
      </w:r>
      <w:r w:rsidR="003304F7">
        <w:rPr>
          <w:rFonts w:ascii="Times New Roman" w:hAnsi="Times New Roman" w:cs="Times New Roman"/>
          <w:sz w:val="20"/>
          <w:szCs w:val="20"/>
        </w:rPr>
        <w:t>. The distance matrices were calculated using Sorensen</w:t>
      </w:r>
      <w:r w:rsidR="006A4D21">
        <w:rPr>
          <w:rFonts w:ascii="Times New Roman" w:hAnsi="Times New Roman" w:cs="Times New Roman"/>
          <w:sz w:val="20"/>
          <w:szCs w:val="20"/>
        </w:rPr>
        <w:t xml:space="preserve"> </w:t>
      </w:r>
      <w:r w:rsidR="00A60781">
        <w:rPr>
          <w:rFonts w:ascii="Times New Roman" w:hAnsi="Times New Roman" w:cs="Times New Roman"/>
          <w:sz w:val="20"/>
          <w:szCs w:val="20"/>
        </w:rPr>
        <w:t>distance</w:t>
      </w:r>
      <w:r w:rsidR="003304F7">
        <w:rPr>
          <w:rFonts w:ascii="Times New Roman" w:hAnsi="Times New Roman" w:cs="Times New Roman"/>
          <w:sz w:val="20"/>
          <w:szCs w:val="20"/>
        </w:rPr>
        <w:t>s and a Monte Carlo test of 1000 permutations was used to generate a p-value</w:t>
      </w:r>
      <w:r w:rsidR="00C22BB7">
        <w:rPr>
          <w:rFonts w:ascii="Times New Roman" w:hAnsi="Times New Roman" w:cs="Times New Roman"/>
          <w:sz w:val="20"/>
          <w:szCs w:val="20"/>
        </w:rPr>
        <w:t>.</w:t>
      </w:r>
    </w:p>
    <w:p w14:paraId="473B8349" w14:textId="3D19BBAB" w:rsidR="00FB6025" w:rsidRPr="00605CF9" w:rsidRDefault="00FB6025" w:rsidP="00C22BB7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1AF1AEE3" w14:textId="4C1155FF" w:rsidR="003C34B5" w:rsidRDefault="00591A61" w:rsidP="005145CF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6B93791F" w14:textId="782D63D5" w:rsidR="005D5ABA" w:rsidRPr="005D5ABA" w:rsidRDefault="009E4201" w:rsidP="009E4201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Benthic Community Differences</w:t>
      </w:r>
    </w:p>
    <w:tbl>
      <w:tblPr>
        <w:tblStyle w:val="TableGrid"/>
        <w:tblpPr w:leftFromText="180" w:rightFromText="180" w:vertAnchor="text" w:horzAnchor="page" w:tblpX="5770" w:tblpY="5000"/>
        <w:tblW w:w="0" w:type="auto"/>
        <w:tblLook w:val="04A0" w:firstRow="1" w:lastRow="0" w:firstColumn="1" w:lastColumn="0" w:noHBand="0" w:noVBand="1"/>
      </w:tblPr>
      <w:tblGrid>
        <w:gridCol w:w="2164"/>
        <w:gridCol w:w="1170"/>
        <w:gridCol w:w="1170"/>
      </w:tblGrid>
      <w:tr w:rsidR="00064909" w14:paraId="69FEAC95" w14:textId="77777777" w:rsidTr="00064909">
        <w:tc>
          <w:tcPr>
            <w:tcW w:w="2164" w:type="dxa"/>
          </w:tcPr>
          <w:p w14:paraId="0B4C0E43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Identification and Year</w:t>
            </w:r>
          </w:p>
        </w:tc>
        <w:tc>
          <w:tcPr>
            <w:tcW w:w="1170" w:type="dxa"/>
          </w:tcPr>
          <w:p w14:paraId="7FCBC50D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Statistic</w:t>
            </w:r>
          </w:p>
        </w:tc>
        <w:tc>
          <w:tcPr>
            <w:tcW w:w="1170" w:type="dxa"/>
          </w:tcPr>
          <w:p w14:paraId="47538413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p-value </w:t>
            </w:r>
          </w:p>
        </w:tc>
      </w:tr>
      <w:tr w:rsidR="00064909" w14:paraId="2A128099" w14:textId="77777777" w:rsidTr="00064909">
        <w:tc>
          <w:tcPr>
            <w:tcW w:w="2164" w:type="dxa"/>
          </w:tcPr>
          <w:p w14:paraId="6A2FCE9B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Family 2017</w:t>
            </w:r>
          </w:p>
        </w:tc>
        <w:tc>
          <w:tcPr>
            <w:tcW w:w="1170" w:type="dxa"/>
          </w:tcPr>
          <w:p w14:paraId="47160186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0.033</w:t>
            </w:r>
          </w:p>
        </w:tc>
        <w:tc>
          <w:tcPr>
            <w:tcW w:w="1170" w:type="dxa"/>
          </w:tcPr>
          <w:p w14:paraId="32455D21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0.161</w:t>
            </w:r>
          </w:p>
        </w:tc>
      </w:tr>
      <w:tr w:rsidR="00064909" w14:paraId="5A3DF64C" w14:textId="77777777" w:rsidTr="00064909">
        <w:trPr>
          <w:trHeight w:val="263"/>
        </w:trPr>
        <w:tc>
          <w:tcPr>
            <w:tcW w:w="2164" w:type="dxa"/>
          </w:tcPr>
          <w:p w14:paraId="22DC3D9C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Family 2018</w:t>
            </w:r>
          </w:p>
        </w:tc>
        <w:tc>
          <w:tcPr>
            <w:tcW w:w="1170" w:type="dxa"/>
          </w:tcPr>
          <w:p w14:paraId="76343CD8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-0.243</w:t>
            </w:r>
          </w:p>
        </w:tc>
        <w:tc>
          <w:tcPr>
            <w:tcW w:w="1170" w:type="dxa"/>
          </w:tcPr>
          <w:p w14:paraId="4D0F2CFE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0.833</w:t>
            </w:r>
          </w:p>
        </w:tc>
      </w:tr>
      <w:tr w:rsidR="00064909" w14:paraId="56488F13" w14:textId="77777777" w:rsidTr="00064909">
        <w:tc>
          <w:tcPr>
            <w:tcW w:w="2164" w:type="dxa"/>
          </w:tcPr>
          <w:p w14:paraId="161E9C47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LTU 2017</w:t>
            </w:r>
          </w:p>
        </w:tc>
        <w:tc>
          <w:tcPr>
            <w:tcW w:w="1170" w:type="dxa"/>
          </w:tcPr>
          <w:p w14:paraId="2F5DFB07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1170" w:type="dxa"/>
          </w:tcPr>
          <w:p w14:paraId="43740DF7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</w:t>
            </w:r>
          </w:p>
        </w:tc>
      </w:tr>
      <w:tr w:rsidR="00064909" w14:paraId="7A97D8FE" w14:textId="77777777" w:rsidTr="00064909">
        <w:trPr>
          <w:trHeight w:val="188"/>
        </w:trPr>
        <w:tc>
          <w:tcPr>
            <w:tcW w:w="2164" w:type="dxa"/>
          </w:tcPr>
          <w:p w14:paraId="38A5BDA5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LTU 2018</w:t>
            </w:r>
          </w:p>
        </w:tc>
        <w:tc>
          <w:tcPr>
            <w:tcW w:w="1170" w:type="dxa"/>
          </w:tcPr>
          <w:p w14:paraId="49693271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-0.022</w:t>
            </w:r>
          </w:p>
        </w:tc>
        <w:tc>
          <w:tcPr>
            <w:tcW w:w="1170" w:type="dxa"/>
          </w:tcPr>
          <w:p w14:paraId="63C0E82C" w14:textId="77777777" w:rsidR="00064909" w:rsidRDefault="00064909" w:rsidP="00064909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0.838</w:t>
            </w:r>
          </w:p>
        </w:tc>
      </w:tr>
    </w:tbl>
    <w:p w14:paraId="5847146D" w14:textId="4B03C5A4" w:rsidR="003A280B" w:rsidRDefault="00064909" w:rsidP="00833943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71327" wp14:editId="1D7F9CEF">
                <wp:simplePos x="0" y="0"/>
                <wp:positionH relativeFrom="column">
                  <wp:posOffset>2788920</wp:posOffset>
                </wp:positionH>
                <wp:positionV relativeFrom="paragraph">
                  <wp:posOffset>3973830</wp:posOffset>
                </wp:positionV>
                <wp:extent cx="2862580" cy="57086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580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C6F87" w14:textId="77777777" w:rsidR="00064909" w:rsidRDefault="00064909" w:rsidP="00064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Table 1.</w:t>
                            </w:r>
                          </w:p>
                          <w:p w14:paraId="20428EB5" w14:textId="199804EA" w:rsidR="00064909" w:rsidRPr="00064909" w:rsidRDefault="00064909" w:rsidP="00064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Results of MRBP analysis for both levels of identification in the pre and post treatment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1327" id="Text Box 13" o:spid="_x0000_s1027" type="#_x0000_t202" style="position:absolute;left:0;text-align:left;margin-left:219.6pt;margin-top:312.9pt;width:225.4pt;height:4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" filled="f" stroked="f">
                <v:textbox>
                  <w:txbxContent>
                    <w:p w14:paraId="2E6C6F87" w14:textId="77777777" w:rsidR="00064909" w:rsidRDefault="00064909" w:rsidP="000649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Table 1.</w:t>
                      </w:r>
                    </w:p>
                    <w:p w14:paraId="20428EB5" w14:textId="199804EA" w:rsidR="00064909" w:rsidRPr="00064909" w:rsidRDefault="00064909" w:rsidP="0006490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Results of MRBP analysis for both levels of identification in the pre and post treatment 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8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B077F" wp14:editId="2AF121EA">
                <wp:simplePos x="0" y="0"/>
                <wp:positionH relativeFrom="column">
                  <wp:posOffset>2569210</wp:posOffset>
                </wp:positionH>
                <wp:positionV relativeFrom="paragraph">
                  <wp:posOffset>2607310</wp:posOffset>
                </wp:positionV>
                <wp:extent cx="3086735" cy="680085"/>
                <wp:effectExtent l="0" t="0" r="0" b="57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6AB94" w14:textId="012B2184" w:rsidR="00982007" w:rsidRDefault="00063071" w:rsidP="000630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 1</w:t>
                            </w:r>
                            <w:r w:rsidR="00F739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14:paraId="7018544D" w14:textId="379A1FBF" w:rsidR="00063071" w:rsidRPr="00982007" w:rsidRDefault="00063071" w:rsidP="000630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Ordination in LTU space with </w:t>
                            </w:r>
                            <w:r w:rsidR="009729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environmental joint plot overlaid</w:t>
                            </w:r>
                            <w:r w:rsidR="009729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See</w:t>
                            </w:r>
                            <w:r w:rsidR="00A50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Fig. 1a for symbol meanings.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077F" id="Text Box 2" o:spid="_x0000_s1028" type="#_x0000_t202" style="position:absolute;left:0;text-align:left;margin-left:202.3pt;margin-top:205.3pt;width:243.05pt;height:5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" filled="f" stroked="f">
                <v:textbox>
                  <w:txbxContent>
                    <w:p w14:paraId="4C76AB94" w14:textId="012B2184" w:rsidR="00982007" w:rsidRDefault="00063071" w:rsidP="0006307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 1</w:t>
                      </w:r>
                      <w:r w:rsidR="00F739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</w:p>
                    <w:p w14:paraId="7018544D" w14:textId="379A1FBF" w:rsidR="00063071" w:rsidRPr="00982007" w:rsidRDefault="00063071" w:rsidP="0006307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Ordination in LTU space with </w:t>
                      </w:r>
                      <w:r w:rsidR="009729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environmental joint plot overlaid</w:t>
                      </w:r>
                      <w:r w:rsidR="009729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See</w:t>
                      </w:r>
                      <w:r w:rsidR="00A501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Fig. 1a for symbol meanings.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8E0">
        <w:rPr>
          <w:noProof/>
        </w:rPr>
        <w:drawing>
          <wp:anchor distT="0" distB="0" distL="114300" distR="114300" simplePos="0" relativeHeight="251670528" behindDoc="0" locked="0" layoutInCell="1" allowOverlap="1" wp14:anchorId="05B864EB" wp14:editId="2CA45CE0">
            <wp:simplePos x="0" y="0"/>
            <wp:positionH relativeFrom="column">
              <wp:posOffset>2451735</wp:posOffset>
            </wp:positionH>
            <wp:positionV relativeFrom="paragraph">
              <wp:posOffset>316230</wp:posOffset>
            </wp:positionV>
            <wp:extent cx="3433445" cy="2413000"/>
            <wp:effectExtent l="0" t="0" r="0" b="0"/>
            <wp:wrapSquare wrapText="bothSides"/>
            <wp:docPr id="15" name="Picture 15" descr="../Thesis/PC-ORD/nms%20benthic%20family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hesis/PC-ORD/nms%20benthic%20family.em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38A">
        <w:rPr>
          <w:rFonts w:ascii="Times New Roman" w:hAnsi="Times New Roman" w:cs="Times New Roman"/>
          <w:sz w:val="20"/>
          <w:szCs w:val="20"/>
        </w:rPr>
        <w:t xml:space="preserve">There was little difference between </w:t>
      </w:r>
      <w:r w:rsidR="00270D89">
        <w:rPr>
          <w:rFonts w:ascii="Times New Roman" w:hAnsi="Times New Roman" w:cs="Times New Roman"/>
          <w:sz w:val="20"/>
          <w:szCs w:val="20"/>
        </w:rPr>
        <w:t xml:space="preserve">benthic </w:t>
      </w:r>
      <w:r w:rsidR="00580AE1">
        <w:rPr>
          <w:rFonts w:ascii="Times New Roman" w:hAnsi="Times New Roman" w:cs="Times New Roman"/>
          <w:sz w:val="20"/>
          <w:szCs w:val="20"/>
        </w:rPr>
        <w:t>LTU</w:t>
      </w:r>
      <w:r w:rsidR="00270D89">
        <w:rPr>
          <w:rFonts w:ascii="Times New Roman" w:hAnsi="Times New Roman" w:cs="Times New Roman"/>
          <w:sz w:val="20"/>
          <w:szCs w:val="20"/>
        </w:rPr>
        <w:t xml:space="preserve">-level communities in the </w:t>
      </w:r>
      <w:r w:rsidR="000E138A">
        <w:rPr>
          <w:rFonts w:ascii="Times New Roman" w:hAnsi="Times New Roman" w:cs="Times New Roman"/>
          <w:sz w:val="20"/>
          <w:szCs w:val="20"/>
        </w:rPr>
        <w:t xml:space="preserve">treatment </w:t>
      </w:r>
      <w:r w:rsidR="00270D89">
        <w:rPr>
          <w:rFonts w:ascii="Times New Roman" w:hAnsi="Times New Roman" w:cs="Times New Roman"/>
          <w:sz w:val="20"/>
          <w:szCs w:val="20"/>
        </w:rPr>
        <w:t xml:space="preserve">versus reference </w:t>
      </w:r>
      <w:r w:rsidR="000E138A">
        <w:rPr>
          <w:rFonts w:ascii="Times New Roman" w:hAnsi="Times New Roman" w:cs="Times New Roman"/>
          <w:sz w:val="20"/>
          <w:szCs w:val="20"/>
        </w:rPr>
        <w:t>reaches in the 2017 pre-treatment year</w:t>
      </w:r>
      <w:r w:rsidR="00270D89">
        <w:rPr>
          <w:rFonts w:ascii="Times New Roman" w:hAnsi="Times New Roman" w:cs="Times New Roman"/>
          <w:sz w:val="20"/>
          <w:szCs w:val="20"/>
        </w:rPr>
        <w:t xml:space="preserve"> </w:t>
      </w:r>
      <w:r w:rsidR="003E71ED">
        <w:rPr>
          <w:rFonts w:ascii="Times New Roman" w:hAnsi="Times New Roman" w:cs="Times New Roman"/>
          <w:sz w:val="20"/>
          <w:szCs w:val="20"/>
        </w:rPr>
        <w:t>(</w:t>
      </w:r>
      <w:r w:rsidR="000E138A">
        <w:rPr>
          <w:rFonts w:ascii="Times New Roman" w:hAnsi="Times New Roman" w:cs="Times New Roman"/>
          <w:sz w:val="20"/>
          <w:szCs w:val="20"/>
        </w:rPr>
        <w:t xml:space="preserve">MRBP: </w:t>
      </w:r>
      <w:r w:rsidR="0093401F" w:rsidRPr="0093401F">
        <w:rPr>
          <w:rFonts w:ascii="Times New Roman" w:hAnsi="Times New Roman" w:cs="Times New Roman"/>
          <w:sz w:val="20"/>
          <w:szCs w:val="20"/>
        </w:rPr>
        <w:t xml:space="preserve">A = </w:t>
      </w:r>
      <w:r w:rsidR="0093401F">
        <w:rPr>
          <w:rFonts w:ascii="Times New Roman" w:hAnsi="Times New Roman" w:cs="Times New Roman"/>
          <w:sz w:val="20"/>
          <w:szCs w:val="20"/>
        </w:rPr>
        <w:t>0</w:t>
      </w:r>
      <w:r w:rsidR="004841FE">
        <w:rPr>
          <w:rFonts w:ascii="Times New Roman" w:hAnsi="Times New Roman" w:cs="Times New Roman"/>
          <w:sz w:val="20"/>
          <w:szCs w:val="20"/>
        </w:rPr>
        <w:t>.041</w:t>
      </w:r>
      <w:r w:rsidR="0093401F" w:rsidRPr="0093401F">
        <w:rPr>
          <w:rFonts w:ascii="Times New Roman" w:hAnsi="Times New Roman" w:cs="Times New Roman"/>
          <w:sz w:val="20"/>
          <w:szCs w:val="20"/>
        </w:rPr>
        <w:t xml:space="preserve">, p = </w:t>
      </w:r>
      <w:r w:rsidR="0093401F">
        <w:rPr>
          <w:rFonts w:ascii="Times New Roman" w:hAnsi="Times New Roman" w:cs="Times New Roman"/>
          <w:sz w:val="20"/>
          <w:szCs w:val="20"/>
        </w:rPr>
        <w:t>0</w:t>
      </w:r>
      <w:r w:rsidR="004841FE">
        <w:rPr>
          <w:rFonts w:ascii="Times New Roman" w:hAnsi="Times New Roman" w:cs="Times New Roman"/>
          <w:sz w:val="20"/>
          <w:szCs w:val="20"/>
        </w:rPr>
        <w:t>.071</w:t>
      </w:r>
      <w:r w:rsidR="003E71ED">
        <w:rPr>
          <w:rFonts w:ascii="Times New Roman" w:hAnsi="Times New Roman" w:cs="Times New Roman"/>
          <w:sz w:val="20"/>
          <w:szCs w:val="20"/>
        </w:rPr>
        <w:t>)</w:t>
      </w:r>
      <w:r w:rsidR="000E138A">
        <w:rPr>
          <w:rFonts w:ascii="Times New Roman" w:hAnsi="Times New Roman" w:cs="Times New Roman"/>
          <w:sz w:val="20"/>
          <w:szCs w:val="20"/>
        </w:rPr>
        <w:t xml:space="preserve">, or the post-treatment year </w:t>
      </w:r>
      <w:r w:rsidR="003E71ED">
        <w:rPr>
          <w:rFonts w:ascii="Times New Roman" w:hAnsi="Times New Roman" w:cs="Times New Roman"/>
          <w:sz w:val="20"/>
          <w:szCs w:val="20"/>
        </w:rPr>
        <w:t>(</w:t>
      </w:r>
      <w:r w:rsidR="0093401F" w:rsidRPr="0093401F">
        <w:rPr>
          <w:rFonts w:ascii="Times New Roman" w:hAnsi="Times New Roman" w:cs="Times New Roman"/>
          <w:sz w:val="20"/>
          <w:szCs w:val="20"/>
        </w:rPr>
        <w:t>A = -</w:t>
      </w:r>
      <w:r w:rsidR="0093401F">
        <w:rPr>
          <w:rFonts w:ascii="Times New Roman" w:hAnsi="Times New Roman" w:cs="Times New Roman"/>
          <w:sz w:val="20"/>
          <w:szCs w:val="20"/>
        </w:rPr>
        <w:t>0</w:t>
      </w:r>
      <w:r w:rsidR="004841FE">
        <w:rPr>
          <w:rFonts w:ascii="Times New Roman" w:hAnsi="Times New Roman" w:cs="Times New Roman"/>
          <w:sz w:val="20"/>
          <w:szCs w:val="20"/>
        </w:rPr>
        <w:t>.022</w:t>
      </w:r>
      <w:r w:rsidR="0093401F" w:rsidRPr="0093401F">
        <w:rPr>
          <w:rFonts w:ascii="Times New Roman" w:hAnsi="Times New Roman" w:cs="Times New Roman"/>
          <w:sz w:val="20"/>
          <w:szCs w:val="20"/>
        </w:rPr>
        <w:t xml:space="preserve">, p = </w:t>
      </w:r>
      <w:r w:rsidR="0093401F">
        <w:rPr>
          <w:rFonts w:ascii="Times New Roman" w:hAnsi="Times New Roman" w:cs="Times New Roman"/>
          <w:sz w:val="20"/>
          <w:szCs w:val="20"/>
        </w:rPr>
        <w:t>0</w:t>
      </w:r>
      <w:r w:rsidR="004841FE">
        <w:rPr>
          <w:rFonts w:ascii="Times New Roman" w:hAnsi="Times New Roman" w:cs="Times New Roman"/>
          <w:sz w:val="20"/>
          <w:szCs w:val="20"/>
        </w:rPr>
        <w:t>.838</w:t>
      </w:r>
      <w:r w:rsidR="002B6527">
        <w:rPr>
          <w:rFonts w:ascii="Times New Roman" w:hAnsi="Times New Roman" w:cs="Times New Roman"/>
          <w:sz w:val="20"/>
          <w:szCs w:val="20"/>
        </w:rPr>
        <w:t>)</w:t>
      </w:r>
      <w:r w:rsidR="0069797F">
        <w:rPr>
          <w:rFonts w:ascii="Times New Roman" w:hAnsi="Times New Roman" w:cs="Times New Roman"/>
          <w:sz w:val="20"/>
          <w:szCs w:val="20"/>
        </w:rPr>
        <w:t xml:space="preserve">. </w:t>
      </w:r>
      <w:r w:rsidR="00FA2EFE">
        <w:rPr>
          <w:rFonts w:ascii="Times New Roman" w:hAnsi="Times New Roman" w:cs="Times New Roman"/>
          <w:sz w:val="20"/>
          <w:szCs w:val="20"/>
        </w:rPr>
        <w:t>When the family-level benthic community dat</w:t>
      </w:r>
      <w:r w:rsidR="00715735">
        <w:rPr>
          <w:rFonts w:ascii="Times New Roman" w:hAnsi="Times New Roman" w:cs="Times New Roman"/>
          <w:sz w:val="20"/>
          <w:szCs w:val="20"/>
        </w:rPr>
        <w:t>a was used</w:t>
      </w:r>
      <w:r w:rsidR="00580AE1">
        <w:rPr>
          <w:rFonts w:ascii="Times New Roman" w:hAnsi="Times New Roman" w:cs="Times New Roman"/>
          <w:sz w:val="20"/>
          <w:szCs w:val="20"/>
        </w:rPr>
        <w:t>,</w:t>
      </w:r>
      <w:r w:rsidR="00715735">
        <w:rPr>
          <w:rFonts w:ascii="Times New Roman" w:hAnsi="Times New Roman" w:cs="Times New Roman"/>
          <w:sz w:val="20"/>
          <w:szCs w:val="20"/>
        </w:rPr>
        <w:t xml:space="preserve"> the results were</w:t>
      </w:r>
      <w:r w:rsidR="00FA2EFE">
        <w:rPr>
          <w:rFonts w:ascii="Times New Roman" w:hAnsi="Times New Roman" w:cs="Times New Roman"/>
          <w:sz w:val="20"/>
          <w:szCs w:val="20"/>
        </w:rPr>
        <w:t xml:space="preserve"> similar </w:t>
      </w:r>
      <w:r>
        <w:rPr>
          <w:rFonts w:ascii="Times New Roman" w:hAnsi="Times New Roman" w:cs="Times New Roman"/>
          <w:sz w:val="20"/>
          <w:szCs w:val="20"/>
        </w:rPr>
        <w:t xml:space="preserve">(Table 1). </w:t>
      </w:r>
      <w:r w:rsidR="00117C77">
        <w:rPr>
          <w:rFonts w:ascii="Times New Roman" w:hAnsi="Times New Roman" w:cs="Times New Roman"/>
          <w:sz w:val="20"/>
          <w:szCs w:val="20"/>
        </w:rPr>
        <w:t>The results from the NMS ordination</w:t>
      </w:r>
      <w:r w:rsidR="00D429AF">
        <w:rPr>
          <w:rFonts w:ascii="Times New Roman" w:hAnsi="Times New Roman" w:cs="Times New Roman"/>
          <w:sz w:val="20"/>
          <w:szCs w:val="20"/>
        </w:rPr>
        <w:t>s</w:t>
      </w:r>
      <w:r w:rsidR="00117C77">
        <w:rPr>
          <w:rFonts w:ascii="Times New Roman" w:hAnsi="Times New Roman" w:cs="Times New Roman"/>
          <w:sz w:val="20"/>
          <w:szCs w:val="20"/>
        </w:rPr>
        <w:t xml:space="preserve"> </w:t>
      </w:r>
      <w:r w:rsidR="00D429AF">
        <w:rPr>
          <w:rFonts w:ascii="Times New Roman" w:hAnsi="Times New Roman" w:cs="Times New Roman"/>
          <w:sz w:val="20"/>
          <w:szCs w:val="20"/>
        </w:rPr>
        <w:t>support the results of the MRB</w:t>
      </w:r>
      <w:r w:rsidR="00F73961">
        <w:rPr>
          <w:rFonts w:ascii="Times New Roman" w:hAnsi="Times New Roman" w:cs="Times New Roman"/>
          <w:sz w:val="20"/>
          <w:szCs w:val="20"/>
        </w:rPr>
        <w:t xml:space="preserve">P, </w:t>
      </w:r>
      <w:r w:rsidR="00117C77">
        <w:rPr>
          <w:rFonts w:ascii="Times New Roman" w:hAnsi="Times New Roman" w:cs="Times New Roman"/>
          <w:sz w:val="20"/>
          <w:szCs w:val="20"/>
        </w:rPr>
        <w:t>show</w:t>
      </w:r>
      <w:r w:rsidR="00F73961">
        <w:rPr>
          <w:rFonts w:ascii="Times New Roman" w:hAnsi="Times New Roman" w:cs="Times New Roman"/>
          <w:sz w:val="20"/>
          <w:szCs w:val="20"/>
        </w:rPr>
        <w:t>ing</w:t>
      </w:r>
      <w:r w:rsidR="00117C77">
        <w:rPr>
          <w:rFonts w:ascii="Times New Roman" w:hAnsi="Times New Roman" w:cs="Times New Roman"/>
          <w:sz w:val="20"/>
          <w:szCs w:val="20"/>
        </w:rPr>
        <w:t xml:space="preserve"> similar results for both LTU space and family space</w:t>
      </w:r>
      <w:r w:rsidR="0052382D">
        <w:rPr>
          <w:rFonts w:ascii="Times New Roman" w:hAnsi="Times New Roman" w:cs="Times New Roman"/>
          <w:sz w:val="20"/>
          <w:szCs w:val="20"/>
        </w:rPr>
        <w:t xml:space="preserve"> (Fig. 1</w:t>
      </w:r>
      <w:r w:rsidR="007659F0">
        <w:rPr>
          <w:rFonts w:ascii="Times New Roman" w:hAnsi="Times New Roman" w:cs="Times New Roman"/>
          <w:sz w:val="20"/>
          <w:szCs w:val="20"/>
        </w:rPr>
        <w:t>a</w:t>
      </w:r>
      <w:r w:rsidR="0052382D">
        <w:rPr>
          <w:rFonts w:ascii="Times New Roman" w:hAnsi="Times New Roman" w:cs="Times New Roman"/>
          <w:sz w:val="20"/>
          <w:szCs w:val="20"/>
        </w:rPr>
        <w:t xml:space="preserve"> and Fig. </w:t>
      </w:r>
      <w:r w:rsidR="007659F0">
        <w:rPr>
          <w:rFonts w:ascii="Times New Roman" w:hAnsi="Times New Roman" w:cs="Times New Roman"/>
          <w:sz w:val="20"/>
          <w:szCs w:val="20"/>
        </w:rPr>
        <w:t>1b</w:t>
      </w:r>
      <w:r w:rsidR="0052382D">
        <w:rPr>
          <w:rFonts w:ascii="Times New Roman" w:hAnsi="Times New Roman" w:cs="Times New Roman"/>
          <w:sz w:val="20"/>
          <w:szCs w:val="20"/>
        </w:rPr>
        <w:t>)</w:t>
      </w:r>
      <w:r w:rsidR="00117C77">
        <w:rPr>
          <w:rFonts w:ascii="Times New Roman" w:hAnsi="Times New Roman" w:cs="Times New Roman"/>
          <w:sz w:val="20"/>
          <w:szCs w:val="20"/>
        </w:rPr>
        <w:t xml:space="preserve">. </w:t>
      </w:r>
      <w:r w:rsidR="00715735">
        <w:rPr>
          <w:rFonts w:ascii="Times New Roman" w:hAnsi="Times New Roman" w:cs="Times New Roman"/>
          <w:sz w:val="20"/>
          <w:szCs w:val="20"/>
        </w:rPr>
        <w:t xml:space="preserve">The NMS ordination of benthic invertebrates in LTU space converged on a 2D solution with a final stress of 12.031, whereas in family space a 3D solution was more </w:t>
      </w:r>
      <w:r w:rsidR="00B42927">
        <w:rPr>
          <w:rFonts w:ascii="Times New Roman" w:hAnsi="Times New Roman" w:cs="Times New Roman"/>
          <w:sz w:val="20"/>
          <w:szCs w:val="20"/>
        </w:rPr>
        <w:t>desirable</w:t>
      </w:r>
      <w:r w:rsidR="0069797F">
        <w:rPr>
          <w:rFonts w:ascii="Times New Roman" w:hAnsi="Times New Roman" w:cs="Times New Roman"/>
          <w:sz w:val="20"/>
          <w:szCs w:val="20"/>
        </w:rPr>
        <w:t xml:space="preserve">. </w:t>
      </w:r>
      <w:r w:rsidR="00715735">
        <w:rPr>
          <w:rFonts w:ascii="Times New Roman" w:hAnsi="Times New Roman" w:cs="Times New Roman"/>
          <w:sz w:val="20"/>
          <w:szCs w:val="20"/>
        </w:rPr>
        <w:t>To make</w:t>
      </w:r>
      <w:r w:rsidR="00B42927">
        <w:rPr>
          <w:rFonts w:ascii="Times New Roman" w:hAnsi="Times New Roman" w:cs="Times New Roman"/>
          <w:sz w:val="20"/>
          <w:szCs w:val="20"/>
        </w:rPr>
        <w:t xml:space="preserve"> comparisons easi</w:t>
      </w:r>
      <w:r w:rsidR="00EF4D05">
        <w:rPr>
          <w:rFonts w:ascii="Times New Roman" w:hAnsi="Times New Roman" w:cs="Times New Roman"/>
          <w:sz w:val="20"/>
          <w:szCs w:val="20"/>
        </w:rPr>
        <w:t>er, a 2D solution was forced for the ordination in family space</w:t>
      </w:r>
      <w:r w:rsidR="0069797F">
        <w:rPr>
          <w:rFonts w:ascii="Times New Roman" w:hAnsi="Times New Roman" w:cs="Times New Roman"/>
          <w:sz w:val="20"/>
          <w:szCs w:val="20"/>
        </w:rPr>
        <w:t xml:space="preserve">. </w:t>
      </w:r>
      <w:r w:rsidR="000858F5">
        <w:rPr>
          <w:rFonts w:ascii="Times New Roman" w:hAnsi="Times New Roman" w:cs="Times New Roman"/>
          <w:sz w:val="20"/>
          <w:szCs w:val="20"/>
        </w:rPr>
        <w:t xml:space="preserve">The forced 2D solution in family space had a similar stress value (stress = 11.412) to the 2D ordination in LTU space, and they captured similar amounts of variance in original taxa space (genera level = 89.3% of variance, family level = 91.3% of variance). In addition, the </w:t>
      </w:r>
      <w:r w:rsidR="00A356A5">
        <w:rPr>
          <w:rFonts w:ascii="Times New Roman" w:hAnsi="Times New Roman" w:cs="Times New Roman"/>
          <w:sz w:val="20"/>
          <w:szCs w:val="20"/>
        </w:rPr>
        <w:t>family ordination and the LTU ordination</w:t>
      </w:r>
      <w:r w:rsidR="00340429">
        <w:rPr>
          <w:rFonts w:ascii="Times New Roman" w:hAnsi="Times New Roman" w:cs="Times New Roman"/>
          <w:sz w:val="20"/>
          <w:szCs w:val="20"/>
        </w:rPr>
        <w:t xml:space="preserve"> had similar relationships with</w:t>
      </w:r>
      <w:r w:rsidR="000858F5">
        <w:rPr>
          <w:rFonts w:ascii="Times New Roman" w:hAnsi="Times New Roman" w:cs="Times New Roman"/>
          <w:sz w:val="20"/>
          <w:szCs w:val="20"/>
        </w:rPr>
        <w:t xml:space="preserve"> the environmental variables BenthoTotal (total chlorophyll values from the Bentho Torch</w:t>
      </w:r>
      <w:r w:rsidR="000858F5">
        <w:rPr>
          <w:rFonts w:ascii="Times New Roman" w:hAnsi="Times New Roman" w:cs="Times New Roman"/>
          <w:sz w:val="20"/>
          <w:szCs w:val="20"/>
          <w:vertAlign w:val="superscript"/>
        </w:rPr>
        <w:t>TM</w:t>
      </w:r>
      <w:r w:rsidR="00340429">
        <w:rPr>
          <w:rFonts w:ascii="Times New Roman" w:hAnsi="Times New Roman" w:cs="Times New Roman"/>
          <w:sz w:val="20"/>
          <w:szCs w:val="20"/>
        </w:rPr>
        <w:t xml:space="preserve">) </w:t>
      </w:r>
      <w:r w:rsidR="000858F5">
        <w:rPr>
          <w:rFonts w:ascii="Times New Roman" w:hAnsi="Times New Roman" w:cs="Times New Roman"/>
          <w:sz w:val="20"/>
          <w:szCs w:val="20"/>
        </w:rPr>
        <w:t xml:space="preserve">and YearTreatQ (a binary variable coded with 1’s for 2018 treated reaches and 0’s for all other reaches) </w:t>
      </w:r>
      <w:r w:rsidR="009A6BE4">
        <w:rPr>
          <w:rFonts w:ascii="Times New Roman" w:hAnsi="Times New Roman" w:cs="Times New Roman"/>
          <w:sz w:val="20"/>
          <w:szCs w:val="20"/>
        </w:rPr>
        <w:t xml:space="preserve">with positive r values </w:t>
      </w:r>
      <w:r w:rsidR="00A356A5">
        <w:rPr>
          <w:rFonts w:ascii="Times New Roman" w:hAnsi="Times New Roman" w:cs="Times New Roman"/>
          <w:sz w:val="20"/>
          <w:szCs w:val="20"/>
        </w:rPr>
        <w:t>with axis 1 of 0.272 and 0.298 for YearTreatQ, and 0.304 and 0.41 for BenthoTotal respectively.</w:t>
      </w:r>
      <w:r w:rsidR="003304F7">
        <w:rPr>
          <w:rFonts w:ascii="Times New Roman" w:hAnsi="Times New Roman" w:cs="Times New Roman"/>
          <w:sz w:val="20"/>
          <w:szCs w:val="20"/>
        </w:rPr>
        <w:t xml:space="preserve"> The mantel test showed a similar level of relatedness between the </w:t>
      </w:r>
      <w:r w:rsidR="002F3E38">
        <w:rPr>
          <w:rFonts w:ascii="Times New Roman" w:hAnsi="Times New Roman" w:cs="Times New Roman"/>
          <w:sz w:val="20"/>
          <w:szCs w:val="20"/>
        </w:rPr>
        <w:t xml:space="preserve">original </w:t>
      </w:r>
      <w:r w:rsidR="005743F6">
        <w:rPr>
          <w:rFonts w:ascii="Times New Roman" w:hAnsi="Times New Roman" w:cs="Times New Roman"/>
          <w:sz w:val="20"/>
          <w:szCs w:val="20"/>
        </w:rPr>
        <w:t>family and LTU</w:t>
      </w:r>
      <w:r w:rsidR="003304F7">
        <w:rPr>
          <w:rFonts w:ascii="Times New Roman" w:hAnsi="Times New Roman" w:cs="Times New Roman"/>
          <w:sz w:val="20"/>
          <w:szCs w:val="20"/>
        </w:rPr>
        <w:t xml:space="preserve"> </w:t>
      </w:r>
      <w:r w:rsidR="002F3E38">
        <w:rPr>
          <w:rFonts w:ascii="Times New Roman" w:hAnsi="Times New Roman" w:cs="Times New Roman"/>
          <w:sz w:val="20"/>
          <w:szCs w:val="20"/>
        </w:rPr>
        <w:t xml:space="preserve">distance </w:t>
      </w:r>
      <w:r w:rsidR="003304F7">
        <w:rPr>
          <w:rFonts w:ascii="Times New Roman" w:hAnsi="Times New Roman" w:cs="Times New Roman"/>
          <w:sz w:val="20"/>
          <w:szCs w:val="20"/>
        </w:rPr>
        <w:t>matrices</w:t>
      </w:r>
      <w:r w:rsidR="003304F7">
        <w:rPr>
          <w:rFonts w:ascii="Times New Roman" w:hAnsi="Times New Roman" w:cs="Times New Roman"/>
          <w:sz w:val="20"/>
          <w:szCs w:val="20"/>
        </w:rPr>
        <w:t xml:space="preserve"> </w:t>
      </w:r>
      <w:r w:rsidR="003304F7">
        <w:rPr>
          <w:rFonts w:ascii="Times New Roman" w:hAnsi="Times New Roman" w:cs="Times New Roman"/>
          <w:sz w:val="20"/>
          <w:szCs w:val="20"/>
        </w:rPr>
        <w:t>(</w:t>
      </w:r>
      <w:r w:rsidR="003304F7">
        <w:rPr>
          <w:rFonts w:ascii="Times New Roman" w:hAnsi="Times New Roman" w:cs="Times New Roman"/>
          <w:sz w:val="20"/>
          <w:szCs w:val="20"/>
        </w:rPr>
        <w:t>r = 0.</w:t>
      </w:r>
      <w:r w:rsidR="004841FE">
        <w:rPr>
          <w:rFonts w:ascii="Times New Roman" w:hAnsi="Times New Roman" w:cs="Times New Roman"/>
          <w:sz w:val="20"/>
          <w:szCs w:val="20"/>
        </w:rPr>
        <w:t>986</w:t>
      </w:r>
      <w:r w:rsidR="001948E4">
        <w:rPr>
          <w:rFonts w:ascii="Times New Roman" w:hAnsi="Times New Roman" w:cs="Times New Roman"/>
          <w:sz w:val="20"/>
          <w:szCs w:val="20"/>
        </w:rPr>
        <w:t xml:space="preserve">, </w:t>
      </w:r>
      <w:r w:rsidR="003304F7">
        <w:rPr>
          <w:rFonts w:ascii="Times New Roman" w:hAnsi="Times New Roman" w:cs="Times New Roman"/>
          <w:sz w:val="20"/>
          <w:szCs w:val="20"/>
        </w:rPr>
        <w:t>p</w:t>
      </w:r>
      <w:r w:rsidR="003304F7" w:rsidRPr="00447A66">
        <w:rPr>
          <w:rFonts w:ascii="Times New Roman" w:hAnsi="Times New Roman" w:cs="Times New Roman"/>
          <w:sz w:val="20"/>
          <w:szCs w:val="20"/>
        </w:rPr>
        <w:t xml:space="preserve"> = </w:t>
      </w:r>
      <w:r w:rsidR="003304F7">
        <w:rPr>
          <w:rFonts w:ascii="Times New Roman" w:hAnsi="Times New Roman" w:cs="Times New Roman"/>
          <w:sz w:val="20"/>
          <w:szCs w:val="20"/>
        </w:rPr>
        <w:t>0</w:t>
      </w:r>
      <w:r w:rsidR="004841FE">
        <w:rPr>
          <w:rFonts w:ascii="Times New Roman" w:hAnsi="Times New Roman" w:cs="Times New Roman"/>
          <w:sz w:val="20"/>
          <w:szCs w:val="20"/>
        </w:rPr>
        <w:t>.001</w:t>
      </w:r>
      <w:r w:rsidR="003304F7">
        <w:rPr>
          <w:rFonts w:ascii="Times New Roman" w:hAnsi="Times New Roman" w:cs="Times New Roman"/>
          <w:sz w:val="20"/>
          <w:szCs w:val="20"/>
        </w:rPr>
        <w:t>)</w:t>
      </w:r>
      <w:r w:rsidR="002F3E38">
        <w:rPr>
          <w:rFonts w:ascii="Times New Roman" w:hAnsi="Times New Roman" w:cs="Times New Roman"/>
          <w:sz w:val="20"/>
          <w:szCs w:val="20"/>
        </w:rPr>
        <w:t>.</w:t>
      </w:r>
    </w:p>
    <w:p w14:paraId="4D508BEC" w14:textId="7E1AC292" w:rsidR="00551B73" w:rsidRDefault="00551B73" w:rsidP="00833943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0E518D5C" w14:textId="46577410" w:rsidR="00581202" w:rsidRDefault="003F1C1A" w:rsidP="003A280B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Trout </w:t>
      </w:r>
      <w:r w:rsidR="00581202">
        <w:rPr>
          <w:rFonts w:ascii="Times New Roman" w:hAnsi="Times New Roman" w:cs="Times New Roman"/>
          <w:i/>
          <w:sz w:val="20"/>
          <w:szCs w:val="20"/>
        </w:rPr>
        <w:t>Diet</w:t>
      </w:r>
      <w:r w:rsidR="003A280B">
        <w:rPr>
          <w:rFonts w:ascii="Times New Roman" w:hAnsi="Times New Roman" w:cs="Times New Roman"/>
          <w:i/>
          <w:sz w:val="20"/>
          <w:szCs w:val="20"/>
        </w:rPr>
        <w:t xml:space="preserve"> Analysis</w:t>
      </w:r>
    </w:p>
    <w:p w14:paraId="5409DEB4" w14:textId="552855D3" w:rsidR="00FC4A4A" w:rsidRDefault="00DE720D" w:rsidP="00F878FB">
      <w:pPr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C63B3">
        <w:rPr>
          <w:rFonts w:ascii="Times New Roman" w:hAnsi="Times New Roman" w:cs="Times New Roman"/>
          <w:sz w:val="20"/>
          <w:szCs w:val="20"/>
        </w:rPr>
        <w:t xml:space="preserve">There was little difference between SU’s for the combined diet and benthic </w:t>
      </w:r>
      <w:r w:rsidR="00350BFF">
        <w:rPr>
          <w:rFonts w:ascii="Times New Roman" w:hAnsi="Times New Roman" w:cs="Times New Roman"/>
          <w:sz w:val="20"/>
          <w:szCs w:val="20"/>
        </w:rPr>
        <w:t>sample units</w:t>
      </w:r>
      <w:r w:rsidR="00561903" w:rsidRPr="00561903">
        <w:rPr>
          <w:rFonts w:ascii="Times New Roman" w:hAnsi="Times New Roman" w:cs="Times New Roman"/>
          <w:sz w:val="20"/>
          <w:szCs w:val="20"/>
        </w:rPr>
        <w:t xml:space="preserve"> </w:t>
      </w:r>
      <w:r w:rsidR="00561903">
        <w:rPr>
          <w:rFonts w:ascii="Times New Roman" w:hAnsi="Times New Roman" w:cs="Times New Roman"/>
          <w:sz w:val="20"/>
          <w:szCs w:val="20"/>
        </w:rPr>
        <w:t>as supported by the MRBP (</w:t>
      </w:r>
      <w:r w:rsidR="00561903" w:rsidRPr="00F878FB">
        <w:rPr>
          <w:rFonts w:ascii="Times New Roman" w:hAnsi="Times New Roman" w:cs="Times New Roman"/>
          <w:sz w:val="20"/>
          <w:szCs w:val="20"/>
        </w:rPr>
        <w:t xml:space="preserve">A = </w:t>
      </w:r>
      <w:r w:rsidR="00561903">
        <w:rPr>
          <w:rFonts w:ascii="Times New Roman" w:hAnsi="Times New Roman" w:cs="Times New Roman"/>
          <w:sz w:val="20"/>
          <w:szCs w:val="20"/>
        </w:rPr>
        <w:t xml:space="preserve">0.011, </w:t>
      </w:r>
      <w:r w:rsidR="00A96BB6">
        <w:rPr>
          <w:rFonts w:ascii="Times New Roman" w:hAnsi="Times New Roman" w:cs="Times New Roman"/>
          <w:sz w:val="20"/>
          <w:szCs w:val="20"/>
        </w:rPr>
        <w:t>p = 0.161</w:t>
      </w:r>
      <w:r w:rsidR="00561903">
        <w:rPr>
          <w:rFonts w:ascii="Times New Roman" w:hAnsi="Times New Roman" w:cs="Times New Roman"/>
          <w:sz w:val="20"/>
          <w:szCs w:val="20"/>
        </w:rPr>
        <w:t xml:space="preserve">). </w:t>
      </w:r>
      <w:r w:rsidR="00BE3A7A">
        <w:rPr>
          <w:rFonts w:ascii="Times New Roman" w:hAnsi="Times New Roman" w:cs="Times New Roman"/>
          <w:sz w:val="20"/>
          <w:szCs w:val="20"/>
        </w:rPr>
        <w:t xml:space="preserve">The NMS converged on a 3D solution with a final stress of </w:t>
      </w:r>
      <w:r w:rsidR="00BE3A7A" w:rsidRPr="00BE3A7A">
        <w:rPr>
          <w:rFonts w:ascii="Times New Roman" w:hAnsi="Times New Roman" w:cs="Times New Roman"/>
          <w:sz w:val="20"/>
          <w:szCs w:val="20"/>
        </w:rPr>
        <w:t>10.015</w:t>
      </w:r>
      <w:r w:rsidR="00BE3A7A">
        <w:rPr>
          <w:rFonts w:ascii="Times New Roman" w:hAnsi="Times New Roman" w:cs="Times New Roman"/>
          <w:sz w:val="20"/>
          <w:szCs w:val="20"/>
        </w:rPr>
        <w:t xml:space="preserve">. The three axes captured 90.3% of the variation in the final matrix and found some </w:t>
      </w:r>
      <w:r w:rsidR="00625C61">
        <w:rPr>
          <w:rFonts w:ascii="Times New Roman" w:hAnsi="Times New Roman" w:cs="Times New Roman"/>
          <w:sz w:val="20"/>
          <w:szCs w:val="20"/>
        </w:rPr>
        <w:t>relationship between families in terms of</w:t>
      </w:r>
      <w:r w:rsidR="00BE3A7A">
        <w:rPr>
          <w:rFonts w:ascii="Times New Roman" w:hAnsi="Times New Roman" w:cs="Times New Roman"/>
          <w:sz w:val="20"/>
          <w:szCs w:val="20"/>
        </w:rPr>
        <w:t xml:space="preserve"> </w:t>
      </w:r>
      <w:r w:rsidR="00BE3A7A">
        <w:rPr>
          <w:rFonts w:ascii="Times New Roman" w:hAnsi="Times New Roman" w:cs="Times New Roman"/>
          <w:sz w:val="20"/>
          <w:szCs w:val="20"/>
        </w:rPr>
        <w:lastRenderedPageBreak/>
        <w:t>community composition</w:t>
      </w:r>
      <w:r w:rsidR="00625C61">
        <w:rPr>
          <w:rFonts w:ascii="Times New Roman" w:hAnsi="Times New Roman" w:cs="Times New Roman"/>
          <w:sz w:val="20"/>
          <w:szCs w:val="20"/>
        </w:rPr>
        <w:t xml:space="preserve"> </w:t>
      </w:r>
      <w:r w:rsidR="00BE3A7A">
        <w:rPr>
          <w:rFonts w:ascii="Times New Roman" w:hAnsi="Times New Roman" w:cs="Times New Roman"/>
          <w:sz w:val="20"/>
          <w:szCs w:val="20"/>
        </w:rPr>
        <w:t>(</w:t>
      </w:r>
      <w:r w:rsidR="00A96BB6">
        <w:rPr>
          <w:rFonts w:ascii="Times New Roman" w:hAnsi="Times New Roman" w:cs="Times New Roman"/>
          <w:sz w:val="20"/>
          <w:szCs w:val="20"/>
        </w:rPr>
        <w:t>A = 0.171</w:t>
      </w:r>
      <w:r w:rsidR="00BE3A7A">
        <w:rPr>
          <w:rFonts w:ascii="Times New Roman" w:hAnsi="Times New Roman" w:cs="Times New Roman"/>
          <w:sz w:val="20"/>
          <w:szCs w:val="20"/>
        </w:rPr>
        <w:t xml:space="preserve">, </w:t>
      </w:r>
      <w:r w:rsidR="00A96BB6">
        <w:rPr>
          <w:rFonts w:ascii="Times New Roman" w:hAnsi="Times New Roman" w:cs="Times New Roman"/>
          <w:sz w:val="20"/>
          <w:szCs w:val="20"/>
        </w:rPr>
        <w:t>p = 0.02</w:t>
      </w:r>
      <w:r w:rsidR="00BE3A7A">
        <w:rPr>
          <w:rFonts w:ascii="Times New Roman" w:hAnsi="Times New Roman" w:cs="Times New Roman"/>
          <w:sz w:val="20"/>
          <w:szCs w:val="20"/>
        </w:rPr>
        <w:t>)</w:t>
      </w:r>
      <w:r w:rsidR="00625C61">
        <w:rPr>
          <w:rFonts w:ascii="Times New Roman" w:hAnsi="Times New Roman" w:cs="Times New Roman"/>
          <w:sz w:val="20"/>
          <w:szCs w:val="20"/>
        </w:rPr>
        <w:t xml:space="preserve">, and </w:t>
      </w:r>
      <w:r w:rsidR="00F878FB">
        <w:rPr>
          <w:rFonts w:ascii="Times New Roman" w:hAnsi="Times New Roman" w:cs="Times New Roman"/>
          <w:sz w:val="20"/>
          <w:szCs w:val="20"/>
        </w:rPr>
        <w:t>t</w:t>
      </w:r>
      <w:r w:rsidR="00625C61">
        <w:rPr>
          <w:rFonts w:ascii="Times New Roman" w:hAnsi="Times New Roman" w:cs="Times New Roman"/>
          <w:sz w:val="20"/>
          <w:szCs w:val="20"/>
        </w:rPr>
        <w:t>here was</w:t>
      </w:r>
      <w:r w:rsidR="00851418">
        <w:rPr>
          <w:rFonts w:ascii="Times New Roman" w:hAnsi="Times New Roman" w:cs="Times New Roman"/>
          <w:sz w:val="20"/>
          <w:szCs w:val="20"/>
        </w:rPr>
        <w:t xml:space="preserve"> some separation between the treatment diet sample units</w:t>
      </w:r>
      <w:r w:rsidR="00EB0BD1">
        <w:rPr>
          <w:rFonts w:ascii="Times New Roman" w:hAnsi="Times New Roman" w:cs="Times New Roman"/>
          <w:sz w:val="20"/>
          <w:szCs w:val="20"/>
        </w:rPr>
        <w:t xml:space="preserve"> and the rest of the SU’s</w:t>
      </w:r>
      <w:r w:rsidR="00962EC4">
        <w:rPr>
          <w:rFonts w:ascii="Times New Roman" w:hAnsi="Times New Roman" w:cs="Times New Roman"/>
          <w:sz w:val="20"/>
          <w:szCs w:val="20"/>
        </w:rPr>
        <w:t>.</w:t>
      </w:r>
      <w:r w:rsidR="00625C61">
        <w:rPr>
          <w:rFonts w:ascii="Times New Roman" w:hAnsi="Times New Roman" w:cs="Times New Roman"/>
          <w:sz w:val="20"/>
          <w:szCs w:val="20"/>
        </w:rPr>
        <w:t xml:space="preserve"> However, there was </w:t>
      </w:r>
      <w:r w:rsidR="00F878FB">
        <w:rPr>
          <w:rFonts w:ascii="Times New Roman" w:hAnsi="Times New Roman" w:cs="Times New Roman"/>
          <w:sz w:val="20"/>
          <w:szCs w:val="20"/>
        </w:rPr>
        <w:t xml:space="preserve">a fair amount of </w:t>
      </w:r>
      <w:r w:rsidR="00CA3876">
        <w:rPr>
          <w:rFonts w:ascii="Times New Roman" w:hAnsi="Times New Roman" w:cs="Times New Roman"/>
          <w:sz w:val="20"/>
          <w:szCs w:val="20"/>
        </w:rPr>
        <w:t>overlap</w:t>
      </w:r>
      <w:r w:rsidR="00561903">
        <w:rPr>
          <w:rFonts w:ascii="Times New Roman" w:hAnsi="Times New Roman" w:cs="Times New Roman"/>
          <w:sz w:val="20"/>
          <w:szCs w:val="20"/>
        </w:rPr>
        <w:t xml:space="preserve"> between groups</w:t>
      </w:r>
      <w:r w:rsidR="00A60F87">
        <w:rPr>
          <w:rFonts w:ascii="Times New Roman" w:hAnsi="Times New Roman" w:cs="Times New Roman"/>
          <w:sz w:val="20"/>
          <w:szCs w:val="20"/>
        </w:rPr>
        <w:t xml:space="preserve"> (Fig 2a, 2b)</w:t>
      </w:r>
      <w:r w:rsidR="00561903">
        <w:rPr>
          <w:rFonts w:ascii="Times New Roman" w:hAnsi="Times New Roman" w:cs="Times New Roman"/>
          <w:sz w:val="20"/>
          <w:szCs w:val="20"/>
        </w:rPr>
        <w:t>, reflecting the very weak grouping from the MRBP analysis.</w:t>
      </w:r>
      <w:r w:rsidR="00962EC4">
        <w:rPr>
          <w:rFonts w:ascii="Times New Roman" w:hAnsi="Times New Roman" w:cs="Times New Roman"/>
          <w:sz w:val="20"/>
          <w:szCs w:val="20"/>
        </w:rPr>
        <w:t xml:space="preserve"> </w:t>
      </w:r>
      <w:r w:rsidR="00C12098">
        <w:rPr>
          <w:rFonts w:ascii="Times New Roman" w:hAnsi="Times New Roman" w:cs="Times New Roman"/>
          <w:sz w:val="20"/>
          <w:szCs w:val="20"/>
        </w:rPr>
        <w:t>It appears that t</w:t>
      </w:r>
      <w:r w:rsidR="00FC4A4A">
        <w:rPr>
          <w:rFonts w:ascii="Times New Roman" w:hAnsi="Times New Roman" w:cs="Times New Roman"/>
          <w:sz w:val="20"/>
          <w:szCs w:val="20"/>
        </w:rPr>
        <w:t xml:space="preserve">he </w:t>
      </w:r>
      <w:r w:rsidR="00786B93">
        <w:rPr>
          <w:rFonts w:ascii="Times New Roman" w:hAnsi="Times New Roman" w:cs="Times New Roman"/>
          <w:sz w:val="20"/>
          <w:szCs w:val="20"/>
        </w:rPr>
        <w:t xml:space="preserve">invertebrate </w:t>
      </w:r>
      <w:r w:rsidR="00FC4A4A">
        <w:rPr>
          <w:rFonts w:ascii="Times New Roman" w:hAnsi="Times New Roman" w:cs="Times New Roman"/>
          <w:sz w:val="20"/>
          <w:szCs w:val="20"/>
        </w:rPr>
        <w:t xml:space="preserve">community that comprises fish diets </w:t>
      </w:r>
      <w:r w:rsidR="00FA4885">
        <w:rPr>
          <w:rFonts w:ascii="Times New Roman" w:hAnsi="Times New Roman" w:cs="Times New Roman"/>
          <w:sz w:val="20"/>
          <w:szCs w:val="20"/>
        </w:rPr>
        <w:t>is</w:t>
      </w:r>
      <w:r w:rsidR="00FC4A4A">
        <w:rPr>
          <w:rFonts w:ascii="Times New Roman" w:hAnsi="Times New Roman" w:cs="Times New Roman"/>
          <w:sz w:val="20"/>
          <w:szCs w:val="20"/>
        </w:rPr>
        <w:t xml:space="preserve"> </w:t>
      </w:r>
      <w:r w:rsidR="00FD2624">
        <w:rPr>
          <w:rFonts w:ascii="Times New Roman" w:hAnsi="Times New Roman" w:cs="Times New Roman"/>
          <w:sz w:val="20"/>
          <w:szCs w:val="20"/>
        </w:rPr>
        <w:t>separate</w:t>
      </w:r>
      <w:r w:rsidR="00FC4A4A">
        <w:rPr>
          <w:rFonts w:ascii="Times New Roman" w:hAnsi="Times New Roman" w:cs="Times New Roman"/>
          <w:sz w:val="20"/>
          <w:szCs w:val="20"/>
        </w:rPr>
        <w:t xml:space="preserve"> from the benthic community</w:t>
      </w:r>
      <w:r w:rsidR="00FA4885">
        <w:rPr>
          <w:rFonts w:ascii="Times New Roman" w:hAnsi="Times New Roman" w:cs="Times New Roman"/>
          <w:sz w:val="20"/>
          <w:szCs w:val="20"/>
        </w:rPr>
        <w:t xml:space="preserve"> in the NMS</w:t>
      </w:r>
      <w:r w:rsidR="00FC4A4A">
        <w:rPr>
          <w:rFonts w:ascii="Times New Roman" w:hAnsi="Times New Roman" w:cs="Times New Roman"/>
          <w:sz w:val="20"/>
          <w:szCs w:val="20"/>
        </w:rPr>
        <w:t xml:space="preserve">, suggesting </w:t>
      </w:r>
      <w:r w:rsidR="00BE695E">
        <w:rPr>
          <w:rFonts w:ascii="Times New Roman" w:hAnsi="Times New Roman" w:cs="Times New Roman"/>
          <w:sz w:val="20"/>
          <w:szCs w:val="20"/>
        </w:rPr>
        <w:t>selective feeding behavior</w:t>
      </w:r>
      <w:r w:rsidR="00214F10">
        <w:rPr>
          <w:rFonts w:ascii="Times New Roman" w:hAnsi="Times New Roman" w:cs="Times New Roman"/>
          <w:sz w:val="20"/>
          <w:szCs w:val="20"/>
        </w:rPr>
        <w:t>. The NMS results are diminished by</w:t>
      </w:r>
      <w:r w:rsidR="000908B1">
        <w:rPr>
          <w:rFonts w:ascii="Times New Roman" w:hAnsi="Times New Roman" w:cs="Times New Roman"/>
          <w:sz w:val="20"/>
          <w:szCs w:val="20"/>
        </w:rPr>
        <w:t xml:space="preserve"> MRBP </w:t>
      </w:r>
      <w:r w:rsidR="00214F10">
        <w:rPr>
          <w:rFonts w:ascii="Times New Roman" w:hAnsi="Times New Roman" w:cs="Times New Roman"/>
          <w:sz w:val="20"/>
          <w:szCs w:val="20"/>
        </w:rPr>
        <w:t>results using</w:t>
      </w:r>
      <w:r w:rsidR="005722A2">
        <w:rPr>
          <w:rFonts w:ascii="Times New Roman" w:hAnsi="Times New Roman" w:cs="Times New Roman"/>
          <w:sz w:val="20"/>
          <w:szCs w:val="20"/>
        </w:rPr>
        <w:t xml:space="preserve"> stream and treatment as the blocking variable and benthic sample or fish diet as the grouping variable</w:t>
      </w:r>
      <w:r w:rsidR="00214F10">
        <w:rPr>
          <w:rFonts w:ascii="Times New Roman" w:hAnsi="Times New Roman" w:cs="Times New Roman"/>
          <w:sz w:val="20"/>
          <w:szCs w:val="20"/>
        </w:rPr>
        <w:t>,</w:t>
      </w:r>
      <w:r w:rsidR="005722A2">
        <w:rPr>
          <w:rFonts w:ascii="Times New Roman" w:hAnsi="Times New Roman" w:cs="Times New Roman"/>
          <w:sz w:val="20"/>
          <w:szCs w:val="20"/>
        </w:rPr>
        <w:t xml:space="preserve"> </w:t>
      </w:r>
      <w:r w:rsidR="00214F10">
        <w:rPr>
          <w:rFonts w:ascii="Times New Roman" w:hAnsi="Times New Roman" w:cs="Times New Roman"/>
          <w:sz w:val="20"/>
          <w:szCs w:val="20"/>
        </w:rPr>
        <w:t xml:space="preserve">which </w:t>
      </w:r>
      <w:r w:rsidR="000908B1">
        <w:rPr>
          <w:rFonts w:ascii="Times New Roman" w:hAnsi="Times New Roman" w:cs="Times New Roman"/>
          <w:sz w:val="20"/>
          <w:szCs w:val="20"/>
        </w:rPr>
        <w:t>shows very weak</w:t>
      </w:r>
      <w:r w:rsidR="00A96BB6">
        <w:rPr>
          <w:rFonts w:ascii="Times New Roman" w:hAnsi="Times New Roman" w:cs="Times New Roman"/>
          <w:sz w:val="20"/>
          <w:szCs w:val="20"/>
        </w:rPr>
        <w:t xml:space="preserve"> grouping (A = 0.051, p = 0.023</w:t>
      </w:r>
      <w:r w:rsidR="000908B1">
        <w:rPr>
          <w:rFonts w:ascii="Times New Roman" w:hAnsi="Times New Roman" w:cs="Times New Roman"/>
          <w:sz w:val="20"/>
          <w:szCs w:val="20"/>
        </w:rPr>
        <w:t>).</w:t>
      </w:r>
    </w:p>
    <w:p w14:paraId="79CFF914" w14:textId="77777777" w:rsidR="006A0C6A" w:rsidRDefault="006A0C6A" w:rsidP="00F878FB">
      <w:pPr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</w:p>
    <w:p w14:paraId="46004BC2" w14:textId="3CCD42DC" w:rsidR="00FC4A4A" w:rsidRPr="00FC4A4A" w:rsidRDefault="00FC4A4A" w:rsidP="00F878FB">
      <w:pPr>
        <w:tabs>
          <w:tab w:val="left" w:pos="360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Conclusions</w:t>
      </w:r>
    </w:p>
    <w:p w14:paraId="53085C59" w14:textId="23A6FD63" w:rsidR="00214F10" w:rsidRDefault="00516D95" w:rsidP="00FC4A4A">
      <w:pPr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EE98B7" wp14:editId="7E0DE5D5">
            <wp:simplePos x="0" y="0"/>
            <wp:positionH relativeFrom="column">
              <wp:posOffset>2565400</wp:posOffset>
            </wp:positionH>
            <wp:positionV relativeFrom="paragraph">
              <wp:posOffset>657860</wp:posOffset>
            </wp:positionV>
            <wp:extent cx="3373120" cy="2398395"/>
            <wp:effectExtent l="0" t="0" r="5080" b="0"/>
            <wp:wrapTight wrapText="bothSides">
              <wp:wrapPolygon edited="0">
                <wp:start x="0" y="0"/>
                <wp:lineTo x="0" y="21274"/>
                <wp:lineTo x="21470" y="21274"/>
                <wp:lineTo x="21470" y="0"/>
                <wp:lineTo x="0" y="0"/>
              </wp:wrapPolygon>
            </wp:wrapTight>
            <wp:docPr id="12" name="Picture 12" descr="../../../../../../Desktop/Thesis/PC-ORD/diet%20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Thesis/PC-ORD/diet%20ax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6DD3F" wp14:editId="60EA63ED">
                <wp:simplePos x="0" y="0"/>
                <wp:positionH relativeFrom="column">
                  <wp:posOffset>2566670</wp:posOffset>
                </wp:positionH>
                <wp:positionV relativeFrom="paragraph">
                  <wp:posOffset>2945130</wp:posOffset>
                </wp:positionV>
                <wp:extent cx="3086735" cy="1031240"/>
                <wp:effectExtent l="0" t="0" r="0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68F30" w14:textId="0B506189" w:rsidR="00625C61" w:rsidRDefault="00625C61" w:rsidP="00625C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 2b</w:t>
                            </w:r>
                          </w:p>
                          <w:p w14:paraId="11F8A7F7" w14:textId="7373EAA8" w:rsidR="00625C61" w:rsidRPr="00625C61" w:rsidRDefault="00BF2580" w:rsidP="00625C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Axis 1 and 3 of the 3D</w:t>
                            </w:r>
                            <w:r w:rsidR="00625C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ordination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combined </w:t>
                            </w:r>
                            <w:r w:rsidR="00625C6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benthic and diet SU’s</w:t>
                            </w:r>
                            <w:r w:rsidR="00DE186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32F4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Benthic samples are coded as triangles and fish diets are coded as circles. Filled shapes represent treatment reaches</w:t>
                            </w:r>
                            <w:r w:rsidR="00211A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(Y)</w:t>
                            </w:r>
                            <w:r w:rsidR="00232F4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empty shapes are control reaches</w:t>
                            </w:r>
                            <w:r w:rsidR="00211A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(N)</w:t>
                            </w:r>
                            <w:r w:rsidR="00232F4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D388E9A" w14:textId="77777777" w:rsidR="00625C61" w:rsidRDefault="00625C61"/>
                          <w:p w14:paraId="43925C7E" w14:textId="77777777" w:rsidR="00DD5D3F" w:rsidRDefault="00DD5D3F"/>
                          <w:p w14:paraId="44990204" w14:textId="77777777" w:rsidR="00DD5D3F" w:rsidRDefault="00DD5D3F"/>
                          <w:p w14:paraId="3CEF3B4E" w14:textId="77777777" w:rsidR="00DD5D3F" w:rsidRDefault="00DD5D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6DD3F" id="Text Box 6" o:spid="_x0000_s1029" type="#_x0000_t202" style="position:absolute;margin-left:202.1pt;margin-top:231.9pt;width:243.05pt;height:8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" filled="f" stroked="f">
                <v:textbox>
                  <w:txbxContent>
                    <w:p w14:paraId="02568F30" w14:textId="0B506189" w:rsidR="00625C61" w:rsidRDefault="00625C61" w:rsidP="00625C6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 2b</w:t>
                      </w:r>
                    </w:p>
                    <w:p w14:paraId="11F8A7F7" w14:textId="7373EAA8" w:rsidR="00625C61" w:rsidRPr="00625C61" w:rsidRDefault="00BF2580" w:rsidP="00625C6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Axis 1 and 3 of the 3D</w:t>
                      </w:r>
                      <w:r w:rsidR="00625C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ordination of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combined </w:t>
                      </w:r>
                      <w:r w:rsidR="00625C6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benthic and diet SU’s</w:t>
                      </w:r>
                      <w:r w:rsidR="00DE186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 w:rsidR="00232F4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Benthic samples are coded as triangles and fish diets are coded as circles. Filled shapes represent treatment reaches</w:t>
                      </w:r>
                      <w:r w:rsidR="00211A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(Y)</w:t>
                      </w:r>
                      <w:r w:rsidR="00232F4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empty shapes are control reaches</w:t>
                      </w:r>
                      <w:r w:rsidR="00211A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(N)</w:t>
                      </w:r>
                      <w:r w:rsidR="00232F4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0D388E9A" w14:textId="77777777" w:rsidR="00625C61" w:rsidRDefault="00625C61"/>
                    <w:p w14:paraId="43925C7E" w14:textId="77777777" w:rsidR="00DD5D3F" w:rsidRDefault="00DD5D3F"/>
                    <w:p w14:paraId="44990204" w14:textId="77777777" w:rsidR="00DD5D3F" w:rsidRDefault="00DD5D3F"/>
                    <w:p w14:paraId="3CEF3B4E" w14:textId="77777777" w:rsidR="00DD5D3F" w:rsidRDefault="00DD5D3F"/>
                  </w:txbxContent>
                </v:textbox>
                <w10:wrap type="square"/>
              </v:shape>
            </w:pict>
          </mc:Fallback>
        </mc:AlternateContent>
      </w:r>
      <w:r w:rsidR="003908FC">
        <w:rPr>
          <w:noProof/>
        </w:rPr>
        <w:drawing>
          <wp:anchor distT="0" distB="0" distL="114300" distR="114300" simplePos="0" relativeHeight="251664384" behindDoc="0" locked="0" layoutInCell="1" allowOverlap="1" wp14:anchorId="243DCC90" wp14:editId="54F8CFCF">
            <wp:simplePos x="0" y="0"/>
            <wp:positionH relativeFrom="column">
              <wp:posOffset>-177165</wp:posOffset>
            </wp:positionH>
            <wp:positionV relativeFrom="paragraph">
              <wp:posOffset>655955</wp:posOffset>
            </wp:positionV>
            <wp:extent cx="2830195" cy="2398395"/>
            <wp:effectExtent l="0" t="0" r="0" b="0"/>
            <wp:wrapTight wrapText="bothSides">
              <wp:wrapPolygon edited="0">
                <wp:start x="0" y="0"/>
                <wp:lineTo x="0" y="21274"/>
                <wp:lineTo x="21324" y="21274"/>
                <wp:lineTo x="21324" y="0"/>
                <wp:lineTo x="0" y="0"/>
              </wp:wrapPolygon>
            </wp:wrapTight>
            <wp:docPr id="11" name="Picture 11" descr="../../../../../../Desktop/Thesis/PC-ORD/diet%20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Thesis/PC-ORD/diet%20ax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8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FC00D" wp14:editId="266C89BF">
                <wp:simplePos x="0" y="0"/>
                <wp:positionH relativeFrom="column">
                  <wp:posOffset>-63500</wp:posOffset>
                </wp:positionH>
                <wp:positionV relativeFrom="paragraph">
                  <wp:posOffset>2941955</wp:posOffset>
                </wp:positionV>
                <wp:extent cx="2400935" cy="1141095"/>
                <wp:effectExtent l="0" t="0" r="0" b="19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114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FBB14" w14:textId="22C0E19D" w:rsidR="00625C61" w:rsidRDefault="00625C61" w:rsidP="00625C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 2a</w:t>
                            </w:r>
                          </w:p>
                          <w:p w14:paraId="5DFA80DA" w14:textId="38401D15" w:rsidR="00625C61" w:rsidRPr="00625C61" w:rsidRDefault="00625C61" w:rsidP="00625C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Axis 1 </w:t>
                            </w:r>
                            <w:r w:rsidR="00BF25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2 of the 3D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ordination of</w:t>
                            </w:r>
                            <w:r w:rsidR="00BF25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F25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combined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benthic and diet SU’s</w:t>
                            </w:r>
                            <w:r w:rsidR="00BD3D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Benthic samples are coded as triangles and fish diets are coded as circles. Filled shapes represent treatment reaches</w:t>
                            </w:r>
                            <w:r w:rsidR="00211A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(Y)</w:t>
                            </w:r>
                            <w:r w:rsidR="00BD3D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empty shapes are control reaches</w:t>
                            </w:r>
                            <w:r w:rsidR="00211A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(N)</w:t>
                            </w:r>
                            <w:r w:rsidR="00BD3D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C00D" id="Text Box 5" o:spid="_x0000_s1030" type="#_x0000_t202" style="position:absolute;margin-left:-5pt;margin-top:231.65pt;width:189.05pt;height:8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" filled="f" stroked="f">
                <v:textbox>
                  <w:txbxContent>
                    <w:p w14:paraId="726FBB14" w14:textId="22C0E19D" w:rsidR="00625C61" w:rsidRDefault="00625C61" w:rsidP="00625C6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 2a</w:t>
                      </w:r>
                    </w:p>
                    <w:p w14:paraId="5DFA80DA" w14:textId="38401D15" w:rsidR="00625C61" w:rsidRPr="00625C61" w:rsidRDefault="00625C61" w:rsidP="00625C6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Axis 1 </w:t>
                      </w:r>
                      <w:r w:rsidR="00BF25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2 of the 3D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ordination of</w:t>
                      </w:r>
                      <w:r w:rsidR="00BF25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BF25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combined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benthic and diet SU’s</w:t>
                      </w:r>
                      <w:r w:rsidR="00BD3D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Benthic samples are coded as triangles and fish diets are coded as circles. Filled shapes represent treatment reaches</w:t>
                      </w:r>
                      <w:r w:rsidR="00211A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(Y)</w:t>
                      </w:r>
                      <w:r w:rsidR="00BD3D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empty shapes are control reaches</w:t>
                      </w:r>
                      <w:r w:rsidR="00211A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(N)</w:t>
                      </w:r>
                      <w:r w:rsidR="00BD3D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A4A">
        <w:tab/>
      </w:r>
      <w:r w:rsidR="005348A3">
        <w:rPr>
          <w:rFonts w:ascii="Times New Roman" w:hAnsi="Times New Roman" w:cs="Times New Roman"/>
          <w:sz w:val="20"/>
          <w:szCs w:val="20"/>
        </w:rPr>
        <w:t xml:space="preserve">There seemed to be very little difference between </w:t>
      </w:r>
      <w:r w:rsidR="00617D58">
        <w:rPr>
          <w:rFonts w:ascii="Times New Roman" w:hAnsi="Times New Roman" w:cs="Times New Roman"/>
          <w:sz w:val="20"/>
          <w:szCs w:val="20"/>
        </w:rPr>
        <w:t xml:space="preserve">conclusions drawn from the family level or the LTU level </w:t>
      </w:r>
      <w:r w:rsidR="00214F10">
        <w:rPr>
          <w:rFonts w:ascii="Times New Roman" w:hAnsi="Times New Roman" w:cs="Times New Roman"/>
          <w:sz w:val="20"/>
          <w:szCs w:val="20"/>
        </w:rPr>
        <w:t xml:space="preserve">of </w:t>
      </w:r>
      <w:r w:rsidR="00617D58">
        <w:rPr>
          <w:rFonts w:ascii="Times New Roman" w:hAnsi="Times New Roman" w:cs="Times New Roman"/>
          <w:sz w:val="20"/>
          <w:szCs w:val="20"/>
        </w:rPr>
        <w:t>identification</w:t>
      </w:r>
      <w:r w:rsidR="00214F10">
        <w:rPr>
          <w:rFonts w:ascii="Times New Roman" w:hAnsi="Times New Roman" w:cs="Times New Roman"/>
          <w:sz w:val="20"/>
          <w:szCs w:val="20"/>
        </w:rPr>
        <w:t>. Both</w:t>
      </w:r>
      <w:r w:rsidR="00617D58">
        <w:rPr>
          <w:rFonts w:ascii="Times New Roman" w:hAnsi="Times New Roman" w:cs="Times New Roman"/>
          <w:sz w:val="20"/>
          <w:szCs w:val="20"/>
        </w:rPr>
        <w:t xml:space="preserve"> the o</w:t>
      </w:r>
      <w:r w:rsidR="008D21BF">
        <w:rPr>
          <w:rFonts w:ascii="Times New Roman" w:hAnsi="Times New Roman" w:cs="Times New Roman"/>
          <w:sz w:val="20"/>
          <w:szCs w:val="20"/>
        </w:rPr>
        <w:t>riginal distance matrices and</w:t>
      </w:r>
      <w:r w:rsidR="00617D58">
        <w:rPr>
          <w:rFonts w:ascii="Times New Roman" w:hAnsi="Times New Roman" w:cs="Times New Roman"/>
          <w:sz w:val="20"/>
          <w:szCs w:val="20"/>
        </w:rPr>
        <w:t xml:space="preserve"> the 2D ordinations</w:t>
      </w:r>
      <w:r w:rsidR="008D21BF">
        <w:rPr>
          <w:rFonts w:ascii="Times New Roman" w:hAnsi="Times New Roman" w:cs="Times New Roman"/>
          <w:sz w:val="20"/>
          <w:szCs w:val="20"/>
        </w:rPr>
        <w:t xml:space="preserve"> were highly related, and while the ordinations are not identical, the relationships with environmental variables and the general arrangement of points are similar.</w:t>
      </w:r>
      <w:r w:rsidR="00ED5081">
        <w:rPr>
          <w:rFonts w:ascii="Times New Roman" w:hAnsi="Times New Roman" w:cs="Times New Roman"/>
          <w:sz w:val="20"/>
          <w:szCs w:val="20"/>
        </w:rPr>
        <w:t xml:space="preserve"> </w:t>
      </w:r>
      <w:r w:rsidR="000B67E2">
        <w:rPr>
          <w:rFonts w:ascii="Times New Roman" w:hAnsi="Times New Roman" w:cs="Times New Roman"/>
          <w:sz w:val="20"/>
          <w:szCs w:val="20"/>
        </w:rPr>
        <w:t>To better understand why there was such similar</w:t>
      </w:r>
      <w:r w:rsidR="00401F9D">
        <w:rPr>
          <w:rFonts w:ascii="Times New Roman" w:hAnsi="Times New Roman" w:cs="Times New Roman"/>
          <w:sz w:val="20"/>
          <w:szCs w:val="20"/>
        </w:rPr>
        <w:t xml:space="preserve">ity between the two matrices, </w:t>
      </w:r>
      <w:r w:rsidR="005023F1">
        <w:rPr>
          <w:rFonts w:ascii="Times New Roman" w:hAnsi="Times New Roman" w:cs="Times New Roman"/>
          <w:sz w:val="20"/>
          <w:szCs w:val="20"/>
        </w:rPr>
        <w:t xml:space="preserve">the </w:t>
      </w:r>
      <w:r w:rsidR="00F02CEB">
        <w:rPr>
          <w:rFonts w:ascii="Times New Roman" w:hAnsi="Times New Roman" w:cs="Times New Roman"/>
          <w:sz w:val="20"/>
          <w:szCs w:val="20"/>
        </w:rPr>
        <w:t xml:space="preserve">differences </w:t>
      </w:r>
    </w:p>
    <w:p w14:paraId="5AAB7934" w14:textId="77777777" w:rsidR="00214F10" w:rsidRDefault="00214F10" w:rsidP="00FC4A4A">
      <w:pPr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</w:p>
    <w:p w14:paraId="547CF557" w14:textId="79382C95" w:rsidR="005348A3" w:rsidRPr="005348A3" w:rsidRDefault="00F02CEB" w:rsidP="00FC4A4A">
      <w:pPr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taxon richness</w:t>
      </w:r>
      <w:r w:rsidR="00DA6C81">
        <w:rPr>
          <w:rFonts w:ascii="Times New Roman" w:hAnsi="Times New Roman" w:cs="Times New Roman"/>
          <w:sz w:val="20"/>
          <w:szCs w:val="20"/>
        </w:rPr>
        <w:t xml:space="preserve"> between the two matrices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797C">
        <w:rPr>
          <w:rFonts w:ascii="Times New Roman" w:hAnsi="Times New Roman" w:cs="Times New Roman"/>
          <w:sz w:val="20"/>
          <w:szCs w:val="20"/>
        </w:rPr>
        <w:t>were analyzed</w:t>
      </w:r>
      <w:r w:rsidR="001A54FB">
        <w:rPr>
          <w:rFonts w:ascii="Times New Roman" w:hAnsi="Times New Roman" w:cs="Times New Roman"/>
          <w:sz w:val="20"/>
          <w:szCs w:val="20"/>
        </w:rPr>
        <w:t>.</w:t>
      </w:r>
      <w:r w:rsidR="00F240D3">
        <w:rPr>
          <w:rFonts w:ascii="Times New Roman" w:hAnsi="Times New Roman" w:cs="Times New Roman"/>
          <w:sz w:val="20"/>
          <w:szCs w:val="20"/>
        </w:rPr>
        <w:t xml:space="preserve"> The </w:t>
      </w:r>
      <w:r w:rsidR="00C90E5B">
        <w:rPr>
          <w:rFonts w:ascii="Times New Roman" w:hAnsi="Times New Roman" w:cs="Times New Roman"/>
          <w:sz w:val="20"/>
          <w:szCs w:val="20"/>
        </w:rPr>
        <w:t>LTU matrix had 168.42</w:t>
      </w:r>
      <w:r w:rsidR="00C225A6">
        <w:rPr>
          <w:rFonts w:ascii="Times New Roman" w:hAnsi="Times New Roman" w:cs="Times New Roman"/>
          <w:sz w:val="20"/>
          <w:szCs w:val="20"/>
        </w:rPr>
        <w:t>% more taxa than the family level matrix, but of</w:t>
      </w:r>
      <w:r w:rsidR="00C90E5B">
        <w:rPr>
          <w:rFonts w:ascii="Times New Roman" w:hAnsi="Times New Roman" w:cs="Times New Roman"/>
          <w:sz w:val="20"/>
          <w:szCs w:val="20"/>
        </w:rPr>
        <w:t xml:space="preserve"> the 38</w:t>
      </w:r>
      <w:r w:rsidR="00A1143C">
        <w:rPr>
          <w:rFonts w:ascii="Times New Roman" w:hAnsi="Times New Roman" w:cs="Times New Roman"/>
          <w:sz w:val="20"/>
          <w:szCs w:val="20"/>
        </w:rPr>
        <w:t xml:space="preserve"> families, only 13</w:t>
      </w:r>
      <w:r w:rsidR="00EA3652">
        <w:rPr>
          <w:rFonts w:ascii="Times New Roman" w:hAnsi="Times New Roman" w:cs="Times New Roman"/>
          <w:sz w:val="20"/>
          <w:szCs w:val="20"/>
        </w:rPr>
        <w:t xml:space="preserve"> consisted of more than one genera</w:t>
      </w:r>
      <w:r w:rsidR="00DA6C81">
        <w:rPr>
          <w:rFonts w:ascii="Times New Roman" w:hAnsi="Times New Roman" w:cs="Times New Roman"/>
          <w:sz w:val="20"/>
          <w:szCs w:val="20"/>
        </w:rPr>
        <w:t xml:space="preserve"> (Fig. 3)</w:t>
      </w:r>
      <w:r w:rsidR="00EA3652">
        <w:rPr>
          <w:rFonts w:ascii="Times New Roman" w:hAnsi="Times New Roman" w:cs="Times New Roman"/>
          <w:sz w:val="20"/>
          <w:szCs w:val="20"/>
        </w:rPr>
        <w:t xml:space="preserve">. </w:t>
      </w:r>
      <w:r w:rsidR="00DE793A">
        <w:rPr>
          <w:rFonts w:ascii="Times New Roman" w:hAnsi="Times New Roman" w:cs="Times New Roman"/>
          <w:sz w:val="20"/>
          <w:szCs w:val="20"/>
        </w:rPr>
        <w:t xml:space="preserve">The </w:t>
      </w:r>
      <w:r w:rsidR="000F2B9B">
        <w:rPr>
          <w:rFonts w:ascii="Times New Roman" w:hAnsi="Times New Roman" w:cs="Times New Roman"/>
          <w:sz w:val="20"/>
          <w:szCs w:val="20"/>
        </w:rPr>
        <w:t xml:space="preserve">similarity between the LTU and family matrices may be due to the </w:t>
      </w:r>
      <w:r w:rsidR="00DE793A">
        <w:rPr>
          <w:rFonts w:ascii="Times New Roman" w:hAnsi="Times New Roman" w:cs="Times New Roman"/>
          <w:sz w:val="20"/>
          <w:szCs w:val="20"/>
        </w:rPr>
        <w:t>large amount of families consisting of only one sub-</w:t>
      </w:r>
      <w:r w:rsidR="000F2B9B">
        <w:rPr>
          <w:rFonts w:ascii="Times New Roman" w:hAnsi="Times New Roman" w:cs="Times New Roman"/>
          <w:sz w:val="20"/>
          <w:szCs w:val="20"/>
        </w:rPr>
        <w:t>taxa.</w:t>
      </w:r>
      <w:r w:rsidR="00063008">
        <w:rPr>
          <w:rFonts w:ascii="Times New Roman" w:hAnsi="Times New Roman" w:cs="Times New Roman"/>
          <w:sz w:val="20"/>
          <w:szCs w:val="20"/>
        </w:rPr>
        <w:t xml:space="preserve"> However, including the lower level of taxonomic </w:t>
      </w:r>
      <w:r w:rsidR="00B679EF">
        <w:rPr>
          <w:rFonts w:ascii="Times New Roman" w:hAnsi="Times New Roman" w:cs="Times New Roman"/>
          <w:sz w:val="20"/>
          <w:szCs w:val="20"/>
        </w:rPr>
        <w:t xml:space="preserve">identification </w:t>
      </w:r>
      <w:r w:rsidR="00E10FE3">
        <w:rPr>
          <w:rFonts w:ascii="Times New Roman" w:hAnsi="Times New Roman" w:cs="Times New Roman"/>
          <w:sz w:val="20"/>
          <w:szCs w:val="20"/>
        </w:rPr>
        <w:t>result</w:t>
      </w:r>
      <w:r w:rsidR="00B679EF">
        <w:rPr>
          <w:rFonts w:ascii="Times New Roman" w:hAnsi="Times New Roman" w:cs="Times New Roman"/>
          <w:sz w:val="20"/>
          <w:szCs w:val="20"/>
        </w:rPr>
        <w:t>ed</w:t>
      </w:r>
      <w:r w:rsidR="00063008">
        <w:rPr>
          <w:rFonts w:ascii="Times New Roman" w:hAnsi="Times New Roman" w:cs="Times New Roman"/>
          <w:sz w:val="20"/>
          <w:szCs w:val="20"/>
        </w:rPr>
        <w:t xml:space="preserve"> in stronger relationships with both environmental variables in the NMS ordination</w:t>
      </w:r>
      <w:r w:rsidR="00B679EF">
        <w:rPr>
          <w:rFonts w:ascii="Times New Roman" w:hAnsi="Times New Roman" w:cs="Times New Roman"/>
          <w:sz w:val="20"/>
          <w:szCs w:val="20"/>
        </w:rPr>
        <w:t>, suggesting</w:t>
      </w:r>
      <w:r w:rsidR="00E10FE3">
        <w:rPr>
          <w:rFonts w:ascii="Times New Roman" w:hAnsi="Times New Roman" w:cs="Times New Roman"/>
          <w:sz w:val="20"/>
          <w:szCs w:val="20"/>
        </w:rPr>
        <w:t xml:space="preserve"> that the family level of identification for aquatic invertebrates does not capture </w:t>
      </w:r>
      <w:r w:rsidR="00953900">
        <w:rPr>
          <w:rFonts w:ascii="Times New Roman" w:hAnsi="Times New Roman" w:cs="Times New Roman"/>
          <w:sz w:val="20"/>
          <w:szCs w:val="20"/>
        </w:rPr>
        <w:t>all of the comm</w:t>
      </w:r>
      <w:r w:rsidR="00F5038B">
        <w:rPr>
          <w:rFonts w:ascii="Times New Roman" w:hAnsi="Times New Roman" w:cs="Times New Roman"/>
          <w:sz w:val="20"/>
          <w:szCs w:val="20"/>
        </w:rPr>
        <w:t>unity variation. B</w:t>
      </w:r>
      <w:r w:rsidR="00953900">
        <w:rPr>
          <w:rFonts w:ascii="Times New Roman" w:hAnsi="Times New Roman" w:cs="Times New Roman"/>
          <w:sz w:val="20"/>
          <w:szCs w:val="20"/>
        </w:rPr>
        <w:t>ut for systems with low taxonomic richness within families</w:t>
      </w:r>
      <w:r w:rsidR="00B679EF">
        <w:rPr>
          <w:rFonts w:ascii="Times New Roman" w:hAnsi="Times New Roman" w:cs="Times New Roman"/>
          <w:sz w:val="20"/>
          <w:szCs w:val="20"/>
        </w:rPr>
        <w:t>,</w:t>
      </w:r>
      <w:r w:rsidR="00650794">
        <w:rPr>
          <w:rFonts w:ascii="Times New Roman" w:hAnsi="Times New Roman" w:cs="Times New Roman"/>
          <w:sz w:val="20"/>
          <w:szCs w:val="20"/>
        </w:rPr>
        <w:t xml:space="preserve"> t</w:t>
      </w:r>
      <w:r w:rsidR="00F5038B">
        <w:rPr>
          <w:rFonts w:ascii="Times New Roman" w:hAnsi="Times New Roman" w:cs="Times New Roman"/>
          <w:sz w:val="20"/>
          <w:szCs w:val="20"/>
        </w:rPr>
        <w:t>he amount of information lost by</w:t>
      </w:r>
      <w:r w:rsidR="00650794">
        <w:rPr>
          <w:rFonts w:ascii="Times New Roman" w:hAnsi="Times New Roman" w:cs="Times New Roman"/>
          <w:sz w:val="20"/>
          <w:szCs w:val="20"/>
        </w:rPr>
        <w:t xml:space="preserve"> reducing </w:t>
      </w:r>
      <w:r w:rsidR="00F5038B">
        <w:rPr>
          <w:rFonts w:ascii="Times New Roman" w:hAnsi="Times New Roman" w:cs="Times New Roman"/>
          <w:sz w:val="20"/>
          <w:szCs w:val="20"/>
        </w:rPr>
        <w:t xml:space="preserve">the </w:t>
      </w:r>
      <w:r w:rsidR="00650794">
        <w:rPr>
          <w:rFonts w:ascii="Times New Roman" w:hAnsi="Times New Roman" w:cs="Times New Roman"/>
          <w:sz w:val="20"/>
          <w:szCs w:val="20"/>
        </w:rPr>
        <w:t xml:space="preserve">taxonomic resolution is small. </w:t>
      </w:r>
    </w:p>
    <w:p w14:paraId="3B228BCB" w14:textId="64A48450" w:rsidR="008536E5" w:rsidRDefault="005348A3" w:rsidP="0089621E">
      <w:pPr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  <w:r>
        <w:tab/>
      </w:r>
      <w:r w:rsidR="000200FC">
        <w:rPr>
          <w:rFonts w:ascii="Times New Roman" w:hAnsi="Times New Roman" w:cs="Times New Roman"/>
          <w:sz w:val="20"/>
          <w:szCs w:val="20"/>
        </w:rPr>
        <w:t xml:space="preserve">Biologically, the </w:t>
      </w:r>
      <w:r w:rsidR="00FC4A4A">
        <w:rPr>
          <w:rFonts w:ascii="Times New Roman" w:hAnsi="Times New Roman" w:cs="Times New Roman"/>
          <w:sz w:val="20"/>
          <w:szCs w:val="20"/>
        </w:rPr>
        <w:t>treatment seemed to have little effect on both the benthic community and the com</w:t>
      </w:r>
      <w:r w:rsidR="00B679EF">
        <w:rPr>
          <w:rFonts w:ascii="Times New Roman" w:hAnsi="Times New Roman" w:cs="Times New Roman"/>
          <w:sz w:val="20"/>
          <w:szCs w:val="20"/>
        </w:rPr>
        <w:t>munity within fish diets.</w:t>
      </w:r>
      <w:r w:rsidR="009F7C02">
        <w:rPr>
          <w:rFonts w:ascii="Times New Roman" w:hAnsi="Times New Roman" w:cs="Times New Roman"/>
          <w:sz w:val="20"/>
          <w:szCs w:val="20"/>
        </w:rPr>
        <w:t xml:space="preserve"> </w:t>
      </w:r>
      <w:r w:rsidR="000200FC">
        <w:rPr>
          <w:rFonts w:ascii="Times New Roman" w:hAnsi="Times New Roman" w:cs="Times New Roman"/>
          <w:sz w:val="20"/>
          <w:szCs w:val="20"/>
        </w:rPr>
        <w:t>Total chlorophyll was the strongest environmental correlate with axis 1 in the ordination,</w:t>
      </w:r>
      <w:r w:rsidR="009F7C02">
        <w:rPr>
          <w:rFonts w:ascii="Times New Roman" w:hAnsi="Times New Roman" w:cs="Times New Roman"/>
          <w:sz w:val="20"/>
          <w:szCs w:val="20"/>
        </w:rPr>
        <w:t xml:space="preserve"> but </w:t>
      </w:r>
      <w:r w:rsidR="00324380">
        <w:rPr>
          <w:rFonts w:ascii="Times New Roman" w:hAnsi="Times New Roman" w:cs="Times New Roman"/>
          <w:sz w:val="20"/>
          <w:szCs w:val="20"/>
        </w:rPr>
        <w:t xml:space="preserve">the relationship </w:t>
      </w:r>
      <w:r w:rsidR="000200FC">
        <w:rPr>
          <w:rFonts w:ascii="Times New Roman" w:hAnsi="Times New Roman" w:cs="Times New Roman"/>
          <w:sz w:val="20"/>
          <w:szCs w:val="20"/>
        </w:rPr>
        <w:t xml:space="preserve">was </w:t>
      </w:r>
      <w:r w:rsidR="00324380">
        <w:rPr>
          <w:rFonts w:ascii="Times New Roman" w:hAnsi="Times New Roman" w:cs="Times New Roman"/>
          <w:sz w:val="20"/>
          <w:szCs w:val="20"/>
        </w:rPr>
        <w:t xml:space="preserve">due to </w:t>
      </w:r>
      <w:r w:rsidR="000200FC">
        <w:rPr>
          <w:rFonts w:ascii="Times New Roman" w:hAnsi="Times New Roman" w:cs="Times New Roman"/>
          <w:sz w:val="20"/>
          <w:szCs w:val="20"/>
        </w:rPr>
        <w:t xml:space="preserve">an increase in chlorophyll </w:t>
      </w:r>
      <w:r w:rsidR="00324380">
        <w:rPr>
          <w:rFonts w:ascii="Times New Roman" w:hAnsi="Times New Roman" w:cs="Times New Roman"/>
          <w:sz w:val="20"/>
          <w:szCs w:val="20"/>
        </w:rPr>
        <w:t>in both the control and treatment reaches</w:t>
      </w:r>
      <w:r w:rsidR="000200FC">
        <w:rPr>
          <w:rFonts w:ascii="Times New Roman" w:hAnsi="Times New Roman" w:cs="Times New Roman"/>
          <w:sz w:val="20"/>
          <w:szCs w:val="20"/>
        </w:rPr>
        <w:t xml:space="preserve"> in the post-treatment year</w:t>
      </w:r>
      <w:r w:rsidR="00324380">
        <w:rPr>
          <w:rFonts w:ascii="Times New Roman" w:hAnsi="Times New Roman" w:cs="Times New Roman"/>
          <w:sz w:val="20"/>
          <w:szCs w:val="20"/>
        </w:rPr>
        <w:t>.</w:t>
      </w:r>
      <w:r w:rsidR="00A32093">
        <w:rPr>
          <w:rFonts w:ascii="Times New Roman" w:hAnsi="Times New Roman" w:cs="Times New Roman"/>
          <w:sz w:val="20"/>
          <w:szCs w:val="20"/>
        </w:rPr>
        <w:t xml:space="preserve"> </w:t>
      </w:r>
      <w:r w:rsidR="000E6419">
        <w:rPr>
          <w:rFonts w:ascii="Times New Roman" w:hAnsi="Times New Roman" w:cs="Times New Roman"/>
          <w:sz w:val="20"/>
          <w:szCs w:val="20"/>
        </w:rPr>
        <w:t>At the highest trophic level</w:t>
      </w:r>
      <w:r w:rsidR="00614DC1">
        <w:rPr>
          <w:rFonts w:ascii="Times New Roman" w:hAnsi="Times New Roman" w:cs="Times New Roman"/>
          <w:sz w:val="20"/>
          <w:szCs w:val="20"/>
        </w:rPr>
        <w:t xml:space="preserve"> within these stream systems, trout diets showed little to no response to the treatment, but </w:t>
      </w:r>
      <w:r w:rsidR="00A85318">
        <w:rPr>
          <w:rFonts w:ascii="Times New Roman" w:hAnsi="Times New Roman" w:cs="Times New Roman"/>
          <w:sz w:val="20"/>
          <w:szCs w:val="20"/>
        </w:rPr>
        <w:t>they</w:t>
      </w:r>
      <w:r w:rsidR="00614DC1">
        <w:rPr>
          <w:rFonts w:ascii="Times New Roman" w:hAnsi="Times New Roman" w:cs="Times New Roman"/>
          <w:sz w:val="20"/>
          <w:szCs w:val="20"/>
        </w:rPr>
        <w:t xml:space="preserve"> seem to occupy a different region of family space when compared to the benthic community. </w:t>
      </w:r>
      <w:r w:rsidR="002C0C18">
        <w:rPr>
          <w:rFonts w:ascii="Times New Roman" w:hAnsi="Times New Roman" w:cs="Times New Roman"/>
          <w:sz w:val="20"/>
          <w:szCs w:val="20"/>
        </w:rPr>
        <w:t>The lack of response</w:t>
      </w:r>
      <w:r w:rsidR="0075241A">
        <w:rPr>
          <w:rFonts w:ascii="Times New Roman" w:hAnsi="Times New Roman" w:cs="Times New Roman"/>
          <w:sz w:val="20"/>
          <w:szCs w:val="20"/>
        </w:rPr>
        <w:t xml:space="preserve"> </w:t>
      </w:r>
      <w:r w:rsidR="00614DC1">
        <w:rPr>
          <w:rFonts w:ascii="Times New Roman" w:hAnsi="Times New Roman" w:cs="Times New Roman"/>
          <w:sz w:val="20"/>
          <w:szCs w:val="20"/>
        </w:rPr>
        <w:t xml:space="preserve">in both the benthic invertebrate community and trout diets </w:t>
      </w:r>
      <w:r w:rsidR="0075241A">
        <w:rPr>
          <w:rFonts w:ascii="Times New Roman" w:hAnsi="Times New Roman" w:cs="Times New Roman"/>
          <w:sz w:val="20"/>
          <w:szCs w:val="20"/>
        </w:rPr>
        <w:t>to small gaps suggest</w:t>
      </w:r>
      <w:r w:rsidR="001534F0">
        <w:rPr>
          <w:rFonts w:ascii="Times New Roman" w:hAnsi="Times New Roman" w:cs="Times New Roman"/>
          <w:sz w:val="20"/>
          <w:szCs w:val="20"/>
        </w:rPr>
        <w:t>s</w:t>
      </w:r>
      <w:r w:rsidR="0075241A">
        <w:rPr>
          <w:rFonts w:ascii="Times New Roman" w:hAnsi="Times New Roman" w:cs="Times New Roman"/>
          <w:sz w:val="20"/>
          <w:szCs w:val="20"/>
        </w:rPr>
        <w:t xml:space="preserve"> that </w:t>
      </w:r>
      <w:r w:rsidR="002C0C18">
        <w:rPr>
          <w:rFonts w:ascii="Times New Roman" w:hAnsi="Times New Roman" w:cs="Times New Roman"/>
          <w:sz w:val="20"/>
          <w:szCs w:val="20"/>
        </w:rPr>
        <w:t>stream food web</w:t>
      </w:r>
      <w:r w:rsidR="0075241A">
        <w:rPr>
          <w:rFonts w:ascii="Times New Roman" w:hAnsi="Times New Roman" w:cs="Times New Roman"/>
          <w:sz w:val="20"/>
          <w:szCs w:val="20"/>
        </w:rPr>
        <w:t>s</w:t>
      </w:r>
      <w:r w:rsidR="002C0C18">
        <w:rPr>
          <w:rFonts w:ascii="Times New Roman" w:hAnsi="Times New Roman" w:cs="Times New Roman"/>
          <w:sz w:val="20"/>
          <w:szCs w:val="20"/>
        </w:rPr>
        <w:t xml:space="preserve"> </w:t>
      </w:r>
      <w:r w:rsidR="00310D8C">
        <w:rPr>
          <w:rFonts w:ascii="Times New Roman" w:hAnsi="Times New Roman" w:cs="Times New Roman"/>
          <w:sz w:val="20"/>
          <w:szCs w:val="20"/>
        </w:rPr>
        <w:t>will remain relatively stable as forests mature and canopy cover becomes more heterogeneous</w:t>
      </w:r>
      <w:r w:rsidR="00E237B2">
        <w:rPr>
          <w:rFonts w:ascii="Times New Roman" w:hAnsi="Times New Roman" w:cs="Times New Roman"/>
          <w:sz w:val="20"/>
          <w:szCs w:val="20"/>
        </w:rPr>
        <w:softHyphen/>
      </w:r>
      <w:r w:rsidR="00E237B2">
        <w:rPr>
          <w:rFonts w:ascii="Times New Roman" w:hAnsi="Times New Roman" w:cs="Times New Roman"/>
          <w:sz w:val="20"/>
          <w:szCs w:val="20"/>
        </w:rPr>
        <w:softHyphen/>
      </w:r>
      <w:r w:rsidR="00E237B2">
        <w:rPr>
          <w:rFonts w:ascii="Times New Roman" w:hAnsi="Times New Roman" w:cs="Times New Roman"/>
          <w:sz w:val="20"/>
          <w:szCs w:val="20"/>
        </w:rPr>
        <w:softHyphen/>
      </w:r>
      <w:r w:rsidR="0069797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0703FD" w14:textId="77777777" w:rsidR="008C6B39" w:rsidRDefault="008C6B39" w:rsidP="0089621E">
      <w:pPr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</w:p>
    <w:p w14:paraId="6930D640" w14:textId="77777777" w:rsidR="008C6B39" w:rsidRPr="0089621E" w:rsidRDefault="008C6B39" w:rsidP="0089621E">
      <w:pPr>
        <w:tabs>
          <w:tab w:val="left" w:pos="360"/>
        </w:tabs>
        <w:rPr>
          <w:rFonts w:ascii="Times New Roman" w:hAnsi="Times New Roman" w:cs="Times New Roman"/>
          <w:sz w:val="20"/>
          <w:szCs w:val="20"/>
        </w:rPr>
      </w:pPr>
    </w:p>
    <w:p w14:paraId="1B293CAF" w14:textId="37910814" w:rsidR="008536E5" w:rsidRDefault="003D4B47" w:rsidP="003D4B47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1EFA7EE" wp14:editId="0A5E1ED0">
            <wp:extent cx="5077460" cy="2292350"/>
            <wp:effectExtent l="0" t="0" r="254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0EE50A0" wp14:editId="549CA279">
                <wp:extent cx="4568190" cy="574040"/>
                <wp:effectExtent l="0" t="0" r="0" b="1016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81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B0A0" w14:textId="786520E3" w:rsidR="00097BD6" w:rsidRDefault="00097BD6" w:rsidP="003D4B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Fig. 3.</w:t>
                            </w:r>
                          </w:p>
                          <w:p w14:paraId="5AAB9A40" w14:textId="327B426D" w:rsidR="00097BD6" w:rsidRDefault="00097BD6" w:rsidP="003D4B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 of lower t</w:t>
                            </w: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axa within each family</w:t>
                            </w:r>
                            <w:r w:rsidR="006979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 the large number of families consisting of only one lower taxonomic unit.</w:t>
                            </w:r>
                          </w:p>
                          <w:p w14:paraId="1554FC70" w14:textId="77777777" w:rsidR="00097BD6" w:rsidRPr="00097BD6" w:rsidRDefault="00097BD6" w:rsidP="003D4B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E50A0" id="Text Box 9" o:spid="_x0000_s1031" type="#_x0000_t202" style="width:359.7pt;height:4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" filled="f" stroked="f">
                <v:textbox>
                  <w:txbxContent>
                    <w:p w14:paraId="4285B0A0" w14:textId="786520E3" w:rsidR="00097BD6" w:rsidRDefault="00097BD6" w:rsidP="003D4B4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Fig. 3.</w:t>
                      </w:r>
                    </w:p>
                    <w:p w14:paraId="5AAB9A40" w14:textId="327B426D" w:rsidR="00097BD6" w:rsidRDefault="00097BD6" w:rsidP="003D4B4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 of lower t</w:t>
                      </w: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axa within each family</w:t>
                      </w:r>
                      <w:r w:rsidR="006979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Note the large number of families consisting of only one lower taxonomic unit.</w:t>
                      </w:r>
                    </w:p>
                    <w:p w14:paraId="1554FC70" w14:textId="77777777" w:rsidR="00097BD6" w:rsidRPr="00097BD6" w:rsidRDefault="00097BD6" w:rsidP="003D4B4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bookmarkEnd w:id="1"/>
                  </w:txbxContent>
                </v:textbox>
                <w10:anchorlock/>
              </v:shape>
            </w:pict>
          </mc:Fallback>
        </mc:AlternateContent>
      </w:r>
    </w:p>
    <w:p w14:paraId="62189478" w14:textId="3B930FF1" w:rsidR="009241A4" w:rsidRDefault="009241A4" w:rsidP="001C4F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Acknowledgments</w:t>
      </w:r>
    </w:p>
    <w:p w14:paraId="64049F20" w14:textId="575A0E82" w:rsidR="009241A4" w:rsidRDefault="000D375D" w:rsidP="001C4F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study was conducted in conjunction with</w:t>
      </w:r>
      <w:r w:rsidR="009241A4">
        <w:rPr>
          <w:rFonts w:ascii="Times New Roman" w:hAnsi="Times New Roman" w:cs="Times New Roman"/>
          <w:sz w:val="20"/>
          <w:szCs w:val="20"/>
        </w:rPr>
        <w:t xml:space="preserve"> Allison Swartz’s Master</w:t>
      </w:r>
      <w:r w:rsidR="00FE537C">
        <w:rPr>
          <w:rFonts w:ascii="Times New Roman" w:hAnsi="Times New Roman" w:cs="Times New Roman"/>
          <w:sz w:val="20"/>
          <w:szCs w:val="20"/>
        </w:rPr>
        <w:t>s’</w:t>
      </w:r>
      <w:r w:rsidR="009241A4">
        <w:rPr>
          <w:rFonts w:ascii="Times New Roman" w:hAnsi="Times New Roman" w:cs="Times New Roman"/>
          <w:sz w:val="20"/>
          <w:szCs w:val="20"/>
        </w:rPr>
        <w:t xml:space="preserve"> project</w:t>
      </w:r>
      <w:r w:rsidR="000C6A23">
        <w:rPr>
          <w:rFonts w:ascii="Times New Roman" w:hAnsi="Times New Roman" w:cs="Times New Roman"/>
          <w:sz w:val="20"/>
          <w:szCs w:val="20"/>
        </w:rPr>
        <w:t>, and any future publications</w:t>
      </w:r>
      <w:r w:rsidR="00FE19B4">
        <w:rPr>
          <w:rFonts w:ascii="Times New Roman" w:hAnsi="Times New Roman" w:cs="Times New Roman"/>
          <w:sz w:val="20"/>
          <w:szCs w:val="20"/>
        </w:rPr>
        <w:t xml:space="preserve"> would include her, Dana Warren, Dave Roon and Matt Kaylor</w:t>
      </w:r>
      <w:r w:rsidR="0069797F">
        <w:rPr>
          <w:rFonts w:ascii="Times New Roman" w:hAnsi="Times New Roman" w:cs="Times New Roman"/>
          <w:sz w:val="20"/>
          <w:szCs w:val="20"/>
        </w:rPr>
        <w:t xml:space="preserve">. </w:t>
      </w:r>
      <w:r w:rsidR="00FE19B4">
        <w:rPr>
          <w:rFonts w:ascii="Times New Roman" w:hAnsi="Times New Roman" w:cs="Times New Roman"/>
          <w:sz w:val="20"/>
          <w:szCs w:val="20"/>
        </w:rPr>
        <w:t>Alvaro Cortez, Brook Mackaness, Nate Day and Cory Colp helped with data collection</w:t>
      </w:r>
      <w:r w:rsidR="005B25C7">
        <w:rPr>
          <w:rFonts w:ascii="Times New Roman" w:hAnsi="Times New Roman" w:cs="Times New Roman"/>
          <w:sz w:val="20"/>
          <w:szCs w:val="20"/>
        </w:rPr>
        <w:t xml:space="preserve">, and the HJ Andrews Experimental Forest and its staff </w:t>
      </w:r>
      <w:r w:rsidR="000C6A23">
        <w:rPr>
          <w:rFonts w:ascii="Times New Roman" w:hAnsi="Times New Roman" w:cs="Times New Roman"/>
          <w:sz w:val="20"/>
          <w:szCs w:val="20"/>
        </w:rPr>
        <w:t>provided lodging and accommodations</w:t>
      </w:r>
      <w:r w:rsidR="0069797F">
        <w:rPr>
          <w:rFonts w:ascii="Times New Roman" w:hAnsi="Times New Roman" w:cs="Times New Roman"/>
          <w:sz w:val="20"/>
          <w:szCs w:val="20"/>
        </w:rPr>
        <w:t xml:space="preserve">. </w:t>
      </w:r>
      <w:r w:rsidR="000C6A23">
        <w:rPr>
          <w:rFonts w:ascii="Times New Roman" w:hAnsi="Times New Roman" w:cs="Times New Roman"/>
          <w:sz w:val="20"/>
          <w:szCs w:val="20"/>
        </w:rPr>
        <w:t xml:space="preserve">Dave Lytle provided lab space and equipment for invertebrate identification. </w:t>
      </w:r>
    </w:p>
    <w:p w14:paraId="769C609C" w14:textId="77777777" w:rsidR="00DD5D3F" w:rsidRPr="009241A4" w:rsidRDefault="00DD5D3F" w:rsidP="001C4F91">
      <w:pPr>
        <w:rPr>
          <w:rFonts w:ascii="Times New Roman" w:hAnsi="Times New Roman" w:cs="Times New Roman"/>
          <w:sz w:val="20"/>
          <w:szCs w:val="20"/>
        </w:rPr>
      </w:pPr>
    </w:p>
    <w:p w14:paraId="4AAAA58D" w14:textId="7B30EC41" w:rsidR="00676AE8" w:rsidRDefault="00676AE8" w:rsidP="001C4F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6A70B6E6" w14:textId="622E80BE" w:rsidR="00676AE8" w:rsidRPr="000E1DA8" w:rsidRDefault="00F516FF" w:rsidP="00676AE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Bilby, R. E., and Bisson, P. A. </w:t>
      </w:r>
      <w:r w:rsidR="00676AE8" w:rsidRPr="000E1DA8">
        <w:rPr>
          <w:rFonts w:ascii="Times New Roman" w:hAnsi="Times New Roman" w:cs="Times New Roman"/>
          <w:sz w:val="16"/>
          <w:szCs w:val="16"/>
        </w:rPr>
        <w:t>1992. Allochthonous versus autochthonous organic matter contributions to the</w:t>
      </w:r>
    </w:p>
    <w:p w14:paraId="0F9DEB77" w14:textId="119D4245" w:rsidR="00676AE8" w:rsidRDefault="00676AE8" w:rsidP="00FD79E8">
      <w:pPr>
        <w:ind w:left="720"/>
        <w:rPr>
          <w:rFonts w:ascii="Times New Roman" w:hAnsi="Times New Roman" w:cs="Times New Roman"/>
          <w:sz w:val="16"/>
          <w:szCs w:val="16"/>
        </w:rPr>
      </w:pPr>
      <w:r w:rsidRPr="000E1DA8">
        <w:rPr>
          <w:rFonts w:ascii="Times New Roman" w:hAnsi="Times New Roman" w:cs="Times New Roman"/>
          <w:sz w:val="16"/>
          <w:szCs w:val="16"/>
        </w:rPr>
        <w:t xml:space="preserve">trophic support of fish populations in clear-cut and old-growth forested streams. Canadian Journal of Fisheries </w:t>
      </w:r>
      <w:r w:rsidR="00FD79E8" w:rsidRPr="000E1DA8">
        <w:rPr>
          <w:rFonts w:ascii="Times New Roman" w:hAnsi="Times New Roman" w:cs="Times New Roman"/>
          <w:sz w:val="16"/>
          <w:szCs w:val="16"/>
        </w:rPr>
        <w:t>and Aquatic Science</w:t>
      </w:r>
      <w:r w:rsidRPr="000E1DA8">
        <w:rPr>
          <w:rFonts w:ascii="Times New Roman" w:hAnsi="Times New Roman" w:cs="Times New Roman"/>
          <w:sz w:val="16"/>
          <w:szCs w:val="16"/>
        </w:rPr>
        <w:t xml:space="preserve"> 49: 540-551.</w:t>
      </w:r>
    </w:p>
    <w:p w14:paraId="6CE9599B" w14:textId="77777777" w:rsidR="00151B3C" w:rsidRPr="000E1DA8" w:rsidRDefault="00151B3C" w:rsidP="00151B3C">
      <w:pPr>
        <w:rPr>
          <w:rFonts w:ascii="Times New Roman" w:hAnsi="Times New Roman" w:cs="Times New Roman"/>
          <w:sz w:val="16"/>
          <w:szCs w:val="16"/>
        </w:rPr>
      </w:pPr>
      <w:r w:rsidRPr="000E1DA8">
        <w:rPr>
          <w:rFonts w:ascii="Times New Roman" w:hAnsi="Times New Roman" w:cs="Times New Roman"/>
          <w:sz w:val="16"/>
          <w:szCs w:val="16"/>
        </w:rPr>
        <w:t xml:space="preserve">Kaylor, M. J., and </w:t>
      </w:r>
      <w:r>
        <w:rPr>
          <w:rFonts w:ascii="Times New Roman" w:hAnsi="Times New Roman" w:cs="Times New Roman"/>
          <w:sz w:val="16"/>
          <w:szCs w:val="16"/>
        </w:rPr>
        <w:t>Warren, D. R</w:t>
      </w:r>
      <w:r w:rsidRPr="000E1DA8">
        <w:rPr>
          <w:rFonts w:ascii="Times New Roman" w:hAnsi="Times New Roman" w:cs="Times New Roman"/>
          <w:sz w:val="16"/>
          <w:szCs w:val="16"/>
        </w:rPr>
        <w:t>. 2017. Linking riparian shade and the legacies of forest management to fish and</w:t>
      </w:r>
    </w:p>
    <w:p w14:paraId="2F47B4A1" w14:textId="050B91CB" w:rsidR="00151B3C" w:rsidRDefault="00151B3C" w:rsidP="00151B3C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0E1DA8">
        <w:rPr>
          <w:rFonts w:ascii="Times New Roman" w:hAnsi="Times New Roman" w:cs="Times New Roman"/>
          <w:sz w:val="16"/>
          <w:szCs w:val="16"/>
        </w:rPr>
        <w:t xml:space="preserve">vertebrate biomass in forested streams. Ecosphere 8(6):e01845. </w:t>
      </w:r>
    </w:p>
    <w:p w14:paraId="654A8ECD" w14:textId="79201264" w:rsidR="003E1020" w:rsidRDefault="003E1020" w:rsidP="003E1020">
      <w:pPr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 xml:space="preserve">Kruskal, J.B. 1964. Nonmetric multidimensional scaling: a numerical method. </w:t>
      </w:r>
      <w:r w:rsidRPr="00D31FAA">
        <w:rPr>
          <w:i/>
          <w:sz w:val="16"/>
          <w:szCs w:val="16"/>
        </w:rPr>
        <w:t>Psychometrika</w:t>
      </w:r>
      <w:r>
        <w:rPr>
          <w:sz w:val="16"/>
          <w:szCs w:val="16"/>
        </w:rPr>
        <w:t xml:space="preserve"> 29:115-119.</w:t>
      </w:r>
    </w:p>
    <w:p w14:paraId="196B0C17" w14:textId="77777777" w:rsidR="00151B3C" w:rsidRPr="000E1DA8" w:rsidRDefault="00151B3C" w:rsidP="00151B3C">
      <w:pPr>
        <w:rPr>
          <w:rFonts w:ascii="Times New Roman" w:hAnsi="Times New Roman" w:cs="Times New Roman"/>
          <w:sz w:val="16"/>
          <w:szCs w:val="16"/>
        </w:rPr>
      </w:pPr>
      <w:r w:rsidRPr="000E1DA8">
        <w:rPr>
          <w:rFonts w:ascii="Times New Roman" w:hAnsi="Times New Roman" w:cs="Times New Roman"/>
          <w:sz w:val="16"/>
          <w:szCs w:val="16"/>
        </w:rPr>
        <w:t xml:space="preserve">McCune, B., and Grace, J.B. 2002. Analysis of Ecological Communities. MjMSoftware, Gleneden Beach, OR, </w:t>
      </w:r>
    </w:p>
    <w:p w14:paraId="35E7D1DE" w14:textId="47D22A25" w:rsidR="00151B3C" w:rsidRDefault="00151B3C" w:rsidP="00151B3C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0E1DA8">
        <w:rPr>
          <w:rFonts w:ascii="Times New Roman" w:hAnsi="Times New Roman" w:cs="Times New Roman"/>
          <w:sz w:val="16"/>
          <w:szCs w:val="16"/>
        </w:rPr>
        <w:t>USA.</w:t>
      </w:r>
    </w:p>
    <w:p w14:paraId="206AA46C" w14:textId="77777777" w:rsidR="00151B3C" w:rsidRPr="000E1DA8" w:rsidRDefault="00151B3C" w:rsidP="00151B3C">
      <w:pPr>
        <w:rPr>
          <w:rFonts w:ascii="Times New Roman" w:hAnsi="Times New Roman" w:cs="Times New Roman"/>
          <w:sz w:val="16"/>
          <w:szCs w:val="16"/>
        </w:rPr>
      </w:pPr>
      <w:r w:rsidRPr="000E1DA8">
        <w:rPr>
          <w:rFonts w:ascii="Times New Roman" w:hAnsi="Times New Roman" w:cs="Times New Roman"/>
          <w:sz w:val="16"/>
          <w:szCs w:val="16"/>
        </w:rPr>
        <w:t xml:space="preserve">McCune, B., and </w:t>
      </w:r>
      <w:r>
        <w:rPr>
          <w:rFonts w:ascii="Times New Roman" w:hAnsi="Times New Roman" w:cs="Times New Roman"/>
          <w:sz w:val="16"/>
          <w:szCs w:val="16"/>
        </w:rPr>
        <w:t>Mefford, J. M. 2016. PC-ORD. Multivariate analysis of ecological data</w:t>
      </w:r>
      <w:r w:rsidRPr="000E1DA8">
        <w:rPr>
          <w:rFonts w:ascii="Times New Roman" w:hAnsi="Times New Roman" w:cs="Times New Roman"/>
          <w:sz w:val="16"/>
          <w:szCs w:val="16"/>
        </w:rPr>
        <w:t xml:space="preserve">. MjMSoftware, Gleneden Beach, OR, </w:t>
      </w:r>
    </w:p>
    <w:p w14:paraId="1441190C" w14:textId="4C457028" w:rsidR="00151B3C" w:rsidRPr="000E1DA8" w:rsidRDefault="00151B3C" w:rsidP="00151B3C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0E1DA8">
        <w:rPr>
          <w:rFonts w:ascii="Times New Roman" w:hAnsi="Times New Roman" w:cs="Times New Roman"/>
          <w:sz w:val="16"/>
          <w:szCs w:val="16"/>
        </w:rPr>
        <w:t>USA.</w:t>
      </w:r>
    </w:p>
    <w:p w14:paraId="2FCF3BED" w14:textId="570C84E7" w:rsidR="00FD79E8" w:rsidRPr="000E1DA8" w:rsidRDefault="00FD79E8" w:rsidP="00FD79E8">
      <w:pPr>
        <w:rPr>
          <w:rFonts w:ascii="Times New Roman" w:hAnsi="Times New Roman" w:cs="Times New Roman"/>
          <w:sz w:val="16"/>
          <w:szCs w:val="16"/>
        </w:rPr>
      </w:pPr>
      <w:r w:rsidRPr="000E1DA8">
        <w:rPr>
          <w:rFonts w:ascii="Times New Roman" w:hAnsi="Times New Roman" w:cs="Times New Roman"/>
          <w:sz w:val="16"/>
          <w:szCs w:val="16"/>
        </w:rPr>
        <w:t>Nakano</w:t>
      </w:r>
      <w:r w:rsidR="00F516FF">
        <w:rPr>
          <w:rFonts w:ascii="Times New Roman" w:hAnsi="Times New Roman" w:cs="Times New Roman"/>
          <w:sz w:val="16"/>
          <w:szCs w:val="16"/>
        </w:rPr>
        <w:t>, S., Miyasaka, H., Kuhara, N. 1999</w:t>
      </w:r>
      <w:r w:rsidRPr="000E1DA8">
        <w:rPr>
          <w:rFonts w:ascii="Times New Roman" w:hAnsi="Times New Roman" w:cs="Times New Roman"/>
          <w:sz w:val="16"/>
          <w:szCs w:val="16"/>
        </w:rPr>
        <w:t xml:space="preserve">. Terrestrial-aquatic linkages: riparian arthropod inputs alter trophic </w:t>
      </w:r>
    </w:p>
    <w:p w14:paraId="3E49158B" w14:textId="3EF7C596" w:rsidR="00FD79E8" w:rsidRPr="000E1DA8" w:rsidRDefault="00FD79E8" w:rsidP="00FD79E8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0E1DA8">
        <w:rPr>
          <w:rFonts w:ascii="Times New Roman" w:hAnsi="Times New Roman" w:cs="Times New Roman"/>
          <w:sz w:val="16"/>
          <w:szCs w:val="16"/>
        </w:rPr>
        <w:t>cascades in a stream food web. Ecology, 80(7): 2435–2441.</w:t>
      </w:r>
    </w:p>
    <w:p w14:paraId="18B5EA86" w14:textId="56380808" w:rsidR="00F516FF" w:rsidRDefault="00251414" w:rsidP="00F516FF">
      <w:pPr>
        <w:rPr>
          <w:rFonts w:ascii="Times New Roman" w:hAnsi="Times New Roman" w:cs="Times New Roman"/>
          <w:sz w:val="16"/>
          <w:szCs w:val="16"/>
        </w:rPr>
      </w:pPr>
      <w:r w:rsidRPr="00251414">
        <w:rPr>
          <w:rFonts w:ascii="Times New Roman" w:hAnsi="Times New Roman" w:cs="Times New Roman"/>
          <w:sz w:val="16"/>
          <w:szCs w:val="16"/>
        </w:rPr>
        <w:t>Wilzbac</w:t>
      </w:r>
      <w:r w:rsidR="00F516FF">
        <w:rPr>
          <w:rFonts w:ascii="Times New Roman" w:hAnsi="Times New Roman" w:cs="Times New Roman"/>
          <w:sz w:val="16"/>
          <w:szCs w:val="16"/>
        </w:rPr>
        <w:t>h, M., Cummins, K., &amp; Hall, J. 1986</w:t>
      </w:r>
      <w:r w:rsidR="000E7B81">
        <w:rPr>
          <w:rFonts w:ascii="Times New Roman" w:hAnsi="Times New Roman" w:cs="Times New Roman"/>
          <w:sz w:val="16"/>
          <w:szCs w:val="16"/>
        </w:rPr>
        <w:t>. Influence of habitat manipulations on interactions between cutthroat trout and i</w:t>
      </w:r>
      <w:r w:rsidRPr="00251414">
        <w:rPr>
          <w:rFonts w:ascii="Times New Roman" w:hAnsi="Times New Roman" w:cs="Times New Roman"/>
          <w:sz w:val="16"/>
          <w:szCs w:val="16"/>
        </w:rPr>
        <w:t xml:space="preserve">nvertebrate </w:t>
      </w:r>
    </w:p>
    <w:p w14:paraId="66D3EA74" w14:textId="70A9E975" w:rsidR="00FD79E8" w:rsidRDefault="000E7B81" w:rsidP="00F516FF">
      <w:pPr>
        <w:ind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</w:t>
      </w:r>
      <w:r w:rsidR="00251414" w:rsidRPr="00251414">
        <w:rPr>
          <w:rFonts w:ascii="Times New Roman" w:hAnsi="Times New Roman" w:cs="Times New Roman"/>
          <w:sz w:val="16"/>
          <w:szCs w:val="16"/>
        </w:rPr>
        <w:t>rift. </w:t>
      </w:r>
      <w:r w:rsidR="00251414" w:rsidRPr="00251414">
        <w:rPr>
          <w:rFonts w:ascii="Times New Roman" w:hAnsi="Times New Roman" w:cs="Times New Roman"/>
          <w:i/>
          <w:iCs/>
          <w:sz w:val="16"/>
          <w:szCs w:val="16"/>
        </w:rPr>
        <w:t>Ecology,</w:t>
      </w:r>
      <w:r w:rsidR="00251414" w:rsidRPr="00251414">
        <w:rPr>
          <w:rFonts w:ascii="Times New Roman" w:hAnsi="Times New Roman" w:cs="Times New Roman"/>
          <w:sz w:val="16"/>
          <w:szCs w:val="16"/>
        </w:rPr>
        <w:t> </w:t>
      </w:r>
      <w:r w:rsidR="00251414" w:rsidRPr="00251414">
        <w:rPr>
          <w:rFonts w:ascii="Times New Roman" w:hAnsi="Times New Roman" w:cs="Times New Roman"/>
          <w:i/>
          <w:iCs/>
          <w:sz w:val="16"/>
          <w:szCs w:val="16"/>
        </w:rPr>
        <w:t>67</w:t>
      </w:r>
      <w:r w:rsidR="00251414" w:rsidRPr="00251414">
        <w:rPr>
          <w:rFonts w:ascii="Times New Roman" w:hAnsi="Times New Roman" w:cs="Times New Roman"/>
          <w:sz w:val="16"/>
          <w:szCs w:val="16"/>
        </w:rPr>
        <w:t>(</w:t>
      </w:r>
      <w:r w:rsidR="00BE3A7A">
        <w:rPr>
          <w:rFonts w:ascii="Times New Roman" w:hAnsi="Times New Roman" w:cs="Times New Roman"/>
          <w:sz w:val="16"/>
          <w:szCs w:val="16"/>
        </w:rPr>
        <w:t xml:space="preserve">4), 898-911. </w:t>
      </w:r>
    </w:p>
    <w:p w14:paraId="34DE9AE7" w14:textId="77777777" w:rsidR="00151B3C" w:rsidRPr="000E1DA8" w:rsidRDefault="00151B3C" w:rsidP="00151B3C">
      <w:pPr>
        <w:rPr>
          <w:rFonts w:ascii="Times New Roman" w:hAnsi="Times New Roman" w:cs="Times New Roman"/>
          <w:sz w:val="16"/>
          <w:szCs w:val="16"/>
        </w:rPr>
      </w:pPr>
      <w:r w:rsidRPr="000E1DA8">
        <w:rPr>
          <w:rFonts w:ascii="Times New Roman" w:hAnsi="Times New Roman" w:cs="Times New Roman"/>
          <w:sz w:val="16"/>
          <w:szCs w:val="16"/>
        </w:rPr>
        <w:t>Wootton J</w:t>
      </w:r>
      <w:r>
        <w:rPr>
          <w:rFonts w:ascii="Times New Roman" w:hAnsi="Times New Roman" w:cs="Times New Roman"/>
          <w:sz w:val="16"/>
          <w:szCs w:val="16"/>
        </w:rPr>
        <w:t xml:space="preserve">. </w:t>
      </w:r>
      <w:r w:rsidRPr="000E1DA8">
        <w:rPr>
          <w:rFonts w:ascii="Times New Roman" w:hAnsi="Times New Roman" w:cs="Times New Roman"/>
          <w:sz w:val="16"/>
          <w:szCs w:val="16"/>
        </w:rPr>
        <w:t>T</w:t>
      </w:r>
      <w:r>
        <w:rPr>
          <w:rFonts w:ascii="Times New Roman" w:hAnsi="Times New Roman" w:cs="Times New Roman"/>
          <w:sz w:val="16"/>
          <w:szCs w:val="16"/>
        </w:rPr>
        <w:t>. 2012.</w:t>
      </w:r>
      <w:r w:rsidRPr="000E1DA8">
        <w:rPr>
          <w:rFonts w:ascii="Times New Roman" w:hAnsi="Times New Roman" w:cs="Times New Roman"/>
          <w:sz w:val="16"/>
          <w:szCs w:val="16"/>
        </w:rPr>
        <w:t xml:space="preserve"> River Food Web Response to Large-Scale Riparian Zone Manipulations. </w:t>
      </w:r>
      <w:r w:rsidRPr="00D31FAA">
        <w:rPr>
          <w:rFonts w:ascii="Times New Roman" w:hAnsi="Times New Roman" w:cs="Times New Roman"/>
          <w:i/>
          <w:sz w:val="16"/>
          <w:szCs w:val="16"/>
        </w:rPr>
        <w:t>PLoS ONE</w:t>
      </w:r>
      <w:r w:rsidRPr="000E1D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AE95527" w14:textId="77777777" w:rsidR="00151B3C" w:rsidRPr="000E1DA8" w:rsidRDefault="00151B3C" w:rsidP="00151B3C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0E1DA8">
        <w:rPr>
          <w:rFonts w:ascii="Times New Roman" w:hAnsi="Times New Roman" w:cs="Times New Roman"/>
          <w:sz w:val="16"/>
          <w:szCs w:val="16"/>
        </w:rPr>
        <w:t xml:space="preserve">7(12):e51839. </w:t>
      </w:r>
    </w:p>
    <w:sectPr w:rsidR="00151B3C" w:rsidRPr="000E1DA8" w:rsidSect="00A41D00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B9C8E7" w16cid:durableId="200FB2B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F1125" w14:textId="77777777" w:rsidR="00AE722E" w:rsidRDefault="00AE722E" w:rsidP="00E072C8">
      <w:r>
        <w:separator/>
      </w:r>
    </w:p>
  </w:endnote>
  <w:endnote w:type="continuationSeparator" w:id="0">
    <w:p w14:paraId="2446F15B" w14:textId="77777777" w:rsidR="00AE722E" w:rsidRDefault="00AE722E" w:rsidP="00E0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0EA85" w14:textId="77777777" w:rsidR="001C4F91" w:rsidRDefault="001C4F91" w:rsidP="00D17F7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A374BE" w14:textId="77777777" w:rsidR="001C4F91" w:rsidRDefault="001C4F9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1E56F" w14:textId="77777777" w:rsidR="001C4F91" w:rsidRPr="00A22AEA" w:rsidRDefault="001C4F91" w:rsidP="00D17F76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  <w:sz w:val="20"/>
        <w:szCs w:val="20"/>
      </w:rPr>
    </w:pPr>
    <w:r w:rsidRPr="00A22AEA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A22AEA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A22AEA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064909">
      <w:rPr>
        <w:rStyle w:val="PageNumber"/>
        <w:rFonts w:ascii="Times New Roman" w:hAnsi="Times New Roman" w:cs="Times New Roman"/>
        <w:noProof/>
        <w:sz w:val="20"/>
        <w:szCs w:val="20"/>
      </w:rPr>
      <w:t>3</w:t>
    </w:r>
    <w:r w:rsidRPr="00A22AEA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B53400C" w14:textId="77777777" w:rsidR="001C4F91" w:rsidRDefault="001C4F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1340D" w14:textId="77777777" w:rsidR="00AE722E" w:rsidRDefault="00AE722E" w:rsidP="00E072C8">
      <w:r>
        <w:separator/>
      </w:r>
    </w:p>
  </w:footnote>
  <w:footnote w:type="continuationSeparator" w:id="0">
    <w:p w14:paraId="50761179" w14:textId="77777777" w:rsidR="00AE722E" w:rsidRDefault="00AE722E" w:rsidP="00E072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E59C3" w14:textId="77777777" w:rsidR="00B84402" w:rsidRDefault="00B84402" w:rsidP="00AE410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0319D2" w14:textId="77777777" w:rsidR="00B84402" w:rsidRDefault="00B84402" w:rsidP="009422B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12031" w14:textId="32016A67" w:rsidR="00E072C8" w:rsidRDefault="00E072C8" w:rsidP="00265986">
    <w:pPr>
      <w:pStyle w:val="Header"/>
      <w:tabs>
        <w:tab w:val="clear" w:pos="4680"/>
        <w:tab w:val="clear" w:pos="9360"/>
        <w:tab w:val="left" w:pos="8027"/>
      </w:tabs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0A"/>
    <w:rsid w:val="00001C83"/>
    <w:rsid w:val="00016A6B"/>
    <w:rsid w:val="000200FC"/>
    <w:rsid w:val="00022213"/>
    <w:rsid w:val="00023E97"/>
    <w:rsid w:val="0002435C"/>
    <w:rsid w:val="000357C1"/>
    <w:rsid w:val="000377A2"/>
    <w:rsid w:val="00046492"/>
    <w:rsid w:val="0004789C"/>
    <w:rsid w:val="00056B95"/>
    <w:rsid w:val="00062048"/>
    <w:rsid w:val="00063008"/>
    <w:rsid w:val="00063071"/>
    <w:rsid w:val="00064909"/>
    <w:rsid w:val="00065A47"/>
    <w:rsid w:val="00066A38"/>
    <w:rsid w:val="00071255"/>
    <w:rsid w:val="000858F5"/>
    <w:rsid w:val="000908B1"/>
    <w:rsid w:val="00094BE9"/>
    <w:rsid w:val="00096B6B"/>
    <w:rsid w:val="00097BD6"/>
    <w:rsid w:val="000A3C00"/>
    <w:rsid w:val="000B012A"/>
    <w:rsid w:val="000B38E0"/>
    <w:rsid w:val="000B67E2"/>
    <w:rsid w:val="000C6A23"/>
    <w:rsid w:val="000D375D"/>
    <w:rsid w:val="000E138A"/>
    <w:rsid w:val="000E1DA8"/>
    <w:rsid w:val="000E6419"/>
    <w:rsid w:val="000E7B81"/>
    <w:rsid w:val="000F2B9B"/>
    <w:rsid w:val="001035C6"/>
    <w:rsid w:val="001042B4"/>
    <w:rsid w:val="001053EE"/>
    <w:rsid w:val="00105585"/>
    <w:rsid w:val="00106A22"/>
    <w:rsid w:val="00106AB9"/>
    <w:rsid w:val="00107E32"/>
    <w:rsid w:val="00117C77"/>
    <w:rsid w:val="00126E41"/>
    <w:rsid w:val="00130A99"/>
    <w:rsid w:val="00130E69"/>
    <w:rsid w:val="00136E21"/>
    <w:rsid w:val="00140FC6"/>
    <w:rsid w:val="001412E7"/>
    <w:rsid w:val="00151B3C"/>
    <w:rsid w:val="001534F0"/>
    <w:rsid w:val="00154D3F"/>
    <w:rsid w:val="00161BC6"/>
    <w:rsid w:val="001624A7"/>
    <w:rsid w:val="00166595"/>
    <w:rsid w:val="00167AB9"/>
    <w:rsid w:val="00183DB9"/>
    <w:rsid w:val="00185EDF"/>
    <w:rsid w:val="001948E4"/>
    <w:rsid w:val="001A54FB"/>
    <w:rsid w:val="001B2A6A"/>
    <w:rsid w:val="001C14A5"/>
    <w:rsid w:val="001C4F91"/>
    <w:rsid w:val="001C5217"/>
    <w:rsid w:val="001D2FEC"/>
    <w:rsid w:val="001D34C4"/>
    <w:rsid w:val="001F4F9F"/>
    <w:rsid w:val="00203D23"/>
    <w:rsid w:val="00204835"/>
    <w:rsid w:val="00211A53"/>
    <w:rsid w:val="00214F10"/>
    <w:rsid w:val="00224BAD"/>
    <w:rsid w:val="00230710"/>
    <w:rsid w:val="002310B5"/>
    <w:rsid w:val="00231AB1"/>
    <w:rsid w:val="00231C12"/>
    <w:rsid w:val="00232F45"/>
    <w:rsid w:val="002336F5"/>
    <w:rsid w:val="00251414"/>
    <w:rsid w:val="00252D08"/>
    <w:rsid w:val="0025310F"/>
    <w:rsid w:val="00253D18"/>
    <w:rsid w:val="00265986"/>
    <w:rsid w:val="00270D89"/>
    <w:rsid w:val="00285751"/>
    <w:rsid w:val="00290EAB"/>
    <w:rsid w:val="00291C73"/>
    <w:rsid w:val="00294B67"/>
    <w:rsid w:val="00296AEE"/>
    <w:rsid w:val="00297387"/>
    <w:rsid w:val="00297B7F"/>
    <w:rsid w:val="002A464F"/>
    <w:rsid w:val="002B6527"/>
    <w:rsid w:val="002B7C26"/>
    <w:rsid w:val="002C0C18"/>
    <w:rsid w:val="002D3A61"/>
    <w:rsid w:val="002D5874"/>
    <w:rsid w:val="002E1218"/>
    <w:rsid w:val="002F2AAA"/>
    <w:rsid w:val="002F3E38"/>
    <w:rsid w:val="002F4782"/>
    <w:rsid w:val="002F5A75"/>
    <w:rsid w:val="002F5D3B"/>
    <w:rsid w:val="003057A5"/>
    <w:rsid w:val="003063F2"/>
    <w:rsid w:val="00310D8C"/>
    <w:rsid w:val="00320C4F"/>
    <w:rsid w:val="00324380"/>
    <w:rsid w:val="00324A6A"/>
    <w:rsid w:val="003275F5"/>
    <w:rsid w:val="003304F7"/>
    <w:rsid w:val="00336E0C"/>
    <w:rsid w:val="00340429"/>
    <w:rsid w:val="0034091F"/>
    <w:rsid w:val="00350BFF"/>
    <w:rsid w:val="0035139A"/>
    <w:rsid w:val="0035257C"/>
    <w:rsid w:val="00367389"/>
    <w:rsid w:val="00376D8F"/>
    <w:rsid w:val="003821C7"/>
    <w:rsid w:val="003907B6"/>
    <w:rsid w:val="003908FC"/>
    <w:rsid w:val="003A1CC4"/>
    <w:rsid w:val="003A280B"/>
    <w:rsid w:val="003A3BF9"/>
    <w:rsid w:val="003A627E"/>
    <w:rsid w:val="003B14ED"/>
    <w:rsid w:val="003C1608"/>
    <w:rsid w:val="003C34B5"/>
    <w:rsid w:val="003C4A6B"/>
    <w:rsid w:val="003D1F8C"/>
    <w:rsid w:val="003D257F"/>
    <w:rsid w:val="003D4B47"/>
    <w:rsid w:val="003D66A9"/>
    <w:rsid w:val="003D6F61"/>
    <w:rsid w:val="003D7171"/>
    <w:rsid w:val="003E1020"/>
    <w:rsid w:val="003E71ED"/>
    <w:rsid w:val="003F1C1A"/>
    <w:rsid w:val="003F3B29"/>
    <w:rsid w:val="003F7315"/>
    <w:rsid w:val="00401F9D"/>
    <w:rsid w:val="00405D2E"/>
    <w:rsid w:val="00407716"/>
    <w:rsid w:val="0041014F"/>
    <w:rsid w:val="004117DE"/>
    <w:rsid w:val="004118AB"/>
    <w:rsid w:val="004136B5"/>
    <w:rsid w:val="00425DE7"/>
    <w:rsid w:val="00427CEB"/>
    <w:rsid w:val="004303BD"/>
    <w:rsid w:val="00433C2B"/>
    <w:rsid w:val="0044081B"/>
    <w:rsid w:val="00447A66"/>
    <w:rsid w:val="0045217E"/>
    <w:rsid w:val="00461CB8"/>
    <w:rsid w:val="00464A57"/>
    <w:rsid w:val="004674C4"/>
    <w:rsid w:val="00470927"/>
    <w:rsid w:val="00470CF6"/>
    <w:rsid w:val="0047292F"/>
    <w:rsid w:val="00472B25"/>
    <w:rsid w:val="004841FE"/>
    <w:rsid w:val="00490312"/>
    <w:rsid w:val="00497BA6"/>
    <w:rsid w:val="004A287E"/>
    <w:rsid w:val="004C0610"/>
    <w:rsid w:val="004C413C"/>
    <w:rsid w:val="004C5813"/>
    <w:rsid w:val="004D0F51"/>
    <w:rsid w:val="004D5C31"/>
    <w:rsid w:val="004E1D27"/>
    <w:rsid w:val="004E4C40"/>
    <w:rsid w:val="004E59AB"/>
    <w:rsid w:val="004F6A78"/>
    <w:rsid w:val="00501ADD"/>
    <w:rsid w:val="005023F1"/>
    <w:rsid w:val="005045E3"/>
    <w:rsid w:val="00507A14"/>
    <w:rsid w:val="00513C74"/>
    <w:rsid w:val="005145CF"/>
    <w:rsid w:val="00516D95"/>
    <w:rsid w:val="0052382D"/>
    <w:rsid w:val="00523F50"/>
    <w:rsid w:val="00527E7F"/>
    <w:rsid w:val="005348A3"/>
    <w:rsid w:val="00551B73"/>
    <w:rsid w:val="00560B3B"/>
    <w:rsid w:val="00561903"/>
    <w:rsid w:val="0056411D"/>
    <w:rsid w:val="0056478E"/>
    <w:rsid w:val="00564E12"/>
    <w:rsid w:val="00567735"/>
    <w:rsid w:val="0057004A"/>
    <w:rsid w:val="005722A2"/>
    <w:rsid w:val="0057325A"/>
    <w:rsid w:val="005743F6"/>
    <w:rsid w:val="00576FCE"/>
    <w:rsid w:val="005770A9"/>
    <w:rsid w:val="00580309"/>
    <w:rsid w:val="00580AE1"/>
    <w:rsid w:val="00581202"/>
    <w:rsid w:val="0058522A"/>
    <w:rsid w:val="0058623C"/>
    <w:rsid w:val="00586F82"/>
    <w:rsid w:val="00587B40"/>
    <w:rsid w:val="00591A61"/>
    <w:rsid w:val="0059795A"/>
    <w:rsid w:val="005A24AE"/>
    <w:rsid w:val="005A35E7"/>
    <w:rsid w:val="005B254B"/>
    <w:rsid w:val="005B25C7"/>
    <w:rsid w:val="005B3863"/>
    <w:rsid w:val="005B7159"/>
    <w:rsid w:val="005B72C2"/>
    <w:rsid w:val="005C2033"/>
    <w:rsid w:val="005D1055"/>
    <w:rsid w:val="005D5516"/>
    <w:rsid w:val="005D5ABA"/>
    <w:rsid w:val="005D67A7"/>
    <w:rsid w:val="005E0155"/>
    <w:rsid w:val="005E5A40"/>
    <w:rsid w:val="005E6517"/>
    <w:rsid w:val="005F0159"/>
    <w:rsid w:val="005F2A12"/>
    <w:rsid w:val="005F41E8"/>
    <w:rsid w:val="005F4B9F"/>
    <w:rsid w:val="006001EE"/>
    <w:rsid w:val="006047D4"/>
    <w:rsid w:val="0060573A"/>
    <w:rsid w:val="00605CF9"/>
    <w:rsid w:val="00606311"/>
    <w:rsid w:val="00612272"/>
    <w:rsid w:val="00612D88"/>
    <w:rsid w:val="00613608"/>
    <w:rsid w:val="00614DC1"/>
    <w:rsid w:val="00616D80"/>
    <w:rsid w:val="00617D58"/>
    <w:rsid w:val="006233DC"/>
    <w:rsid w:val="006241FD"/>
    <w:rsid w:val="00625C61"/>
    <w:rsid w:val="0063224D"/>
    <w:rsid w:val="00644C15"/>
    <w:rsid w:val="00645E43"/>
    <w:rsid w:val="00650794"/>
    <w:rsid w:val="006633C6"/>
    <w:rsid w:val="006668E6"/>
    <w:rsid w:val="006757CF"/>
    <w:rsid w:val="0067641E"/>
    <w:rsid w:val="00676AE8"/>
    <w:rsid w:val="006944F6"/>
    <w:rsid w:val="0069496A"/>
    <w:rsid w:val="00694C68"/>
    <w:rsid w:val="0069797F"/>
    <w:rsid w:val="006A0C6A"/>
    <w:rsid w:val="006A437B"/>
    <w:rsid w:val="006A4D21"/>
    <w:rsid w:val="006A5AEC"/>
    <w:rsid w:val="006B0BC5"/>
    <w:rsid w:val="006B1637"/>
    <w:rsid w:val="006B3D5A"/>
    <w:rsid w:val="006B524D"/>
    <w:rsid w:val="006C74F1"/>
    <w:rsid w:val="006D2228"/>
    <w:rsid w:val="006D712D"/>
    <w:rsid w:val="006D77E7"/>
    <w:rsid w:val="006D7CA6"/>
    <w:rsid w:val="0070745F"/>
    <w:rsid w:val="007076DF"/>
    <w:rsid w:val="00710FA0"/>
    <w:rsid w:val="00711A08"/>
    <w:rsid w:val="00714534"/>
    <w:rsid w:val="0071560B"/>
    <w:rsid w:val="00715735"/>
    <w:rsid w:val="00724FAE"/>
    <w:rsid w:val="00725829"/>
    <w:rsid w:val="007273FB"/>
    <w:rsid w:val="0073368A"/>
    <w:rsid w:val="007358EC"/>
    <w:rsid w:val="007359C0"/>
    <w:rsid w:val="007366DD"/>
    <w:rsid w:val="00743130"/>
    <w:rsid w:val="0075241A"/>
    <w:rsid w:val="00752B5F"/>
    <w:rsid w:val="007567BF"/>
    <w:rsid w:val="00756D3D"/>
    <w:rsid w:val="00757103"/>
    <w:rsid w:val="00757BE0"/>
    <w:rsid w:val="00764454"/>
    <w:rsid w:val="007659F0"/>
    <w:rsid w:val="00770E71"/>
    <w:rsid w:val="007761C6"/>
    <w:rsid w:val="007761CA"/>
    <w:rsid w:val="00786B93"/>
    <w:rsid w:val="007A08C3"/>
    <w:rsid w:val="007A361B"/>
    <w:rsid w:val="007A4275"/>
    <w:rsid w:val="007A4E55"/>
    <w:rsid w:val="007B03D1"/>
    <w:rsid w:val="007B21D3"/>
    <w:rsid w:val="007B2C92"/>
    <w:rsid w:val="007B639B"/>
    <w:rsid w:val="007B6A5A"/>
    <w:rsid w:val="007B7526"/>
    <w:rsid w:val="007C2D26"/>
    <w:rsid w:val="007C63B3"/>
    <w:rsid w:val="007D2C1E"/>
    <w:rsid w:val="007D2CE3"/>
    <w:rsid w:val="007D6672"/>
    <w:rsid w:val="007F0139"/>
    <w:rsid w:val="007F01F6"/>
    <w:rsid w:val="007F064F"/>
    <w:rsid w:val="007F34E6"/>
    <w:rsid w:val="007F446F"/>
    <w:rsid w:val="007F49AA"/>
    <w:rsid w:val="0080097A"/>
    <w:rsid w:val="008070B1"/>
    <w:rsid w:val="00812933"/>
    <w:rsid w:val="0081600A"/>
    <w:rsid w:val="00816C07"/>
    <w:rsid w:val="0081721A"/>
    <w:rsid w:val="00825999"/>
    <w:rsid w:val="00831C9A"/>
    <w:rsid w:val="008326CA"/>
    <w:rsid w:val="00833943"/>
    <w:rsid w:val="008340D1"/>
    <w:rsid w:val="00843302"/>
    <w:rsid w:val="00847812"/>
    <w:rsid w:val="008511A0"/>
    <w:rsid w:val="00851418"/>
    <w:rsid w:val="008536E5"/>
    <w:rsid w:val="00853A64"/>
    <w:rsid w:val="00853D5B"/>
    <w:rsid w:val="00855703"/>
    <w:rsid w:val="00856263"/>
    <w:rsid w:val="008620C1"/>
    <w:rsid w:val="00863B79"/>
    <w:rsid w:val="00866897"/>
    <w:rsid w:val="00891C33"/>
    <w:rsid w:val="00893AE1"/>
    <w:rsid w:val="00893C3A"/>
    <w:rsid w:val="0089621E"/>
    <w:rsid w:val="00896F5A"/>
    <w:rsid w:val="00897A98"/>
    <w:rsid w:val="008A3D5B"/>
    <w:rsid w:val="008A7B89"/>
    <w:rsid w:val="008B33F9"/>
    <w:rsid w:val="008B5DE7"/>
    <w:rsid w:val="008C631E"/>
    <w:rsid w:val="008C6B39"/>
    <w:rsid w:val="008D21BF"/>
    <w:rsid w:val="008D614E"/>
    <w:rsid w:val="008D6A3F"/>
    <w:rsid w:val="008E1812"/>
    <w:rsid w:val="008E36CB"/>
    <w:rsid w:val="00906227"/>
    <w:rsid w:val="009106F2"/>
    <w:rsid w:val="00912CB7"/>
    <w:rsid w:val="009141C9"/>
    <w:rsid w:val="009156A1"/>
    <w:rsid w:val="009241A4"/>
    <w:rsid w:val="00924ADB"/>
    <w:rsid w:val="00933090"/>
    <w:rsid w:val="00933B24"/>
    <w:rsid w:val="0093401F"/>
    <w:rsid w:val="009344E8"/>
    <w:rsid w:val="009422B5"/>
    <w:rsid w:val="00953900"/>
    <w:rsid w:val="00955156"/>
    <w:rsid w:val="00957D7B"/>
    <w:rsid w:val="00962EC4"/>
    <w:rsid w:val="009729D3"/>
    <w:rsid w:val="00982007"/>
    <w:rsid w:val="009A52B2"/>
    <w:rsid w:val="009A5A4F"/>
    <w:rsid w:val="009A6BE4"/>
    <w:rsid w:val="009B44C2"/>
    <w:rsid w:val="009D2345"/>
    <w:rsid w:val="009D79B1"/>
    <w:rsid w:val="009E125C"/>
    <w:rsid w:val="009E4201"/>
    <w:rsid w:val="009E4FDF"/>
    <w:rsid w:val="009E56B9"/>
    <w:rsid w:val="009F606C"/>
    <w:rsid w:val="009F7C02"/>
    <w:rsid w:val="00A02B21"/>
    <w:rsid w:val="00A04A09"/>
    <w:rsid w:val="00A1143C"/>
    <w:rsid w:val="00A115BA"/>
    <w:rsid w:val="00A140C4"/>
    <w:rsid w:val="00A22AEA"/>
    <w:rsid w:val="00A25280"/>
    <w:rsid w:val="00A26631"/>
    <w:rsid w:val="00A32093"/>
    <w:rsid w:val="00A356A5"/>
    <w:rsid w:val="00A40E09"/>
    <w:rsid w:val="00A41D00"/>
    <w:rsid w:val="00A5017F"/>
    <w:rsid w:val="00A56718"/>
    <w:rsid w:val="00A60781"/>
    <w:rsid w:val="00A60F87"/>
    <w:rsid w:val="00A645E2"/>
    <w:rsid w:val="00A70412"/>
    <w:rsid w:val="00A737C3"/>
    <w:rsid w:val="00A85318"/>
    <w:rsid w:val="00A90C2C"/>
    <w:rsid w:val="00A921D8"/>
    <w:rsid w:val="00A96BB6"/>
    <w:rsid w:val="00AA1991"/>
    <w:rsid w:val="00AA518A"/>
    <w:rsid w:val="00AA796B"/>
    <w:rsid w:val="00AB3ED6"/>
    <w:rsid w:val="00AC659B"/>
    <w:rsid w:val="00AC7E77"/>
    <w:rsid w:val="00AE722E"/>
    <w:rsid w:val="00AF1FB3"/>
    <w:rsid w:val="00AF7E67"/>
    <w:rsid w:val="00B003E8"/>
    <w:rsid w:val="00B03563"/>
    <w:rsid w:val="00B05051"/>
    <w:rsid w:val="00B10466"/>
    <w:rsid w:val="00B1062C"/>
    <w:rsid w:val="00B15F2D"/>
    <w:rsid w:val="00B25859"/>
    <w:rsid w:val="00B42927"/>
    <w:rsid w:val="00B451B3"/>
    <w:rsid w:val="00B51510"/>
    <w:rsid w:val="00B519C1"/>
    <w:rsid w:val="00B57AB9"/>
    <w:rsid w:val="00B679EF"/>
    <w:rsid w:val="00B71A6F"/>
    <w:rsid w:val="00B740C9"/>
    <w:rsid w:val="00B761D1"/>
    <w:rsid w:val="00B80BE5"/>
    <w:rsid w:val="00B84402"/>
    <w:rsid w:val="00B90B7A"/>
    <w:rsid w:val="00B970AB"/>
    <w:rsid w:val="00BA7BDC"/>
    <w:rsid w:val="00BB2B79"/>
    <w:rsid w:val="00BB3D31"/>
    <w:rsid w:val="00BB44ED"/>
    <w:rsid w:val="00BB560A"/>
    <w:rsid w:val="00BB6B5D"/>
    <w:rsid w:val="00BB797C"/>
    <w:rsid w:val="00BC3ACD"/>
    <w:rsid w:val="00BD3DE1"/>
    <w:rsid w:val="00BE33ED"/>
    <w:rsid w:val="00BE3A7A"/>
    <w:rsid w:val="00BE695E"/>
    <w:rsid w:val="00BE719C"/>
    <w:rsid w:val="00BE7E25"/>
    <w:rsid w:val="00BF21A1"/>
    <w:rsid w:val="00BF2580"/>
    <w:rsid w:val="00BF3CCD"/>
    <w:rsid w:val="00BF4EDC"/>
    <w:rsid w:val="00C02876"/>
    <w:rsid w:val="00C041FD"/>
    <w:rsid w:val="00C06BE7"/>
    <w:rsid w:val="00C079FD"/>
    <w:rsid w:val="00C12098"/>
    <w:rsid w:val="00C20E42"/>
    <w:rsid w:val="00C225A6"/>
    <w:rsid w:val="00C22BB7"/>
    <w:rsid w:val="00C238F8"/>
    <w:rsid w:val="00C24012"/>
    <w:rsid w:val="00C25009"/>
    <w:rsid w:val="00C2777D"/>
    <w:rsid w:val="00C35378"/>
    <w:rsid w:val="00C402A7"/>
    <w:rsid w:val="00C42DBA"/>
    <w:rsid w:val="00C54991"/>
    <w:rsid w:val="00C5606C"/>
    <w:rsid w:val="00C56874"/>
    <w:rsid w:val="00C67F9B"/>
    <w:rsid w:val="00C70861"/>
    <w:rsid w:val="00C73D30"/>
    <w:rsid w:val="00C8155C"/>
    <w:rsid w:val="00C84970"/>
    <w:rsid w:val="00C90E5B"/>
    <w:rsid w:val="00CA3876"/>
    <w:rsid w:val="00CB1E18"/>
    <w:rsid w:val="00CB70A4"/>
    <w:rsid w:val="00CC0346"/>
    <w:rsid w:val="00CD08E3"/>
    <w:rsid w:val="00CD2074"/>
    <w:rsid w:val="00CD37F9"/>
    <w:rsid w:val="00CD4F46"/>
    <w:rsid w:val="00CE2F6B"/>
    <w:rsid w:val="00CE3785"/>
    <w:rsid w:val="00CF149B"/>
    <w:rsid w:val="00CF565D"/>
    <w:rsid w:val="00D01ED9"/>
    <w:rsid w:val="00D0208C"/>
    <w:rsid w:val="00D06540"/>
    <w:rsid w:val="00D105FC"/>
    <w:rsid w:val="00D11CEC"/>
    <w:rsid w:val="00D31FAA"/>
    <w:rsid w:val="00D327C3"/>
    <w:rsid w:val="00D429AF"/>
    <w:rsid w:val="00D42F9B"/>
    <w:rsid w:val="00D460D5"/>
    <w:rsid w:val="00D47247"/>
    <w:rsid w:val="00D50BE1"/>
    <w:rsid w:val="00D53D96"/>
    <w:rsid w:val="00D6560F"/>
    <w:rsid w:val="00D67772"/>
    <w:rsid w:val="00D70F69"/>
    <w:rsid w:val="00D72DDF"/>
    <w:rsid w:val="00D8216B"/>
    <w:rsid w:val="00D831E2"/>
    <w:rsid w:val="00D9717A"/>
    <w:rsid w:val="00D97419"/>
    <w:rsid w:val="00DA6C81"/>
    <w:rsid w:val="00DA774B"/>
    <w:rsid w:val="00DB138E"/>
    <w:rsid w:val="00DC26BC"/>
    <w:rsid w:val="00DD29C8"/>
    <w:rsid w:val="00DD5D3F"/>
    <w:rsid w:val="00DE186C"/>
    <w:rsid w:val="00DE720D"/>
    <w:rsid w:val="00DE793A"/>
    <w:rsid w:val="00E072C8"/>
    <w:rsid w:val="00E1043D"/>
    <w:rsid w:val="00E10FE3"/>
    <w:rsid w:val="00E11393"/>
    <w:rsid w:val="00E122D4"/>
    <w:rsid w:val="00E155B6"/>
    <w:rsid w:val="00E174F5"/>
    <w:rsid w:val="00E236CC"/>
    <w:rsid w:val="00E237B2"/>
    <w:rsid w:val="00E25174"/>
    <w:rsid w:val="00E325C3"/>
    <w:rsid w:val="00E37C3B"/>
    <w:rsid w:val="00E40395"/>
    <w:rsid w:val="00E50EA4"/>
    <w:rsid w:val="00E65290"/>
    <w:rsid w:val="00E669B6"/>
    <w:rsid w:val="00E74ED5"/>
    <w:rsid w:val="00E76C7B"/>
    <w:rsid w:val="00E77BD3"/>
    <w:rsid w:val="00E81525"/>
    <w:rsid w:val="00E93E17"/>
    <w:rsid w:val="00E94767"/>
    <w:rsid w:val="00E97FB1"/>
    <w:rsid w:val="00EA27D0"/>
    <w:rsid w:val="00EA3652"/>
    <w:rsid w:val="00EA488B"/>
    <w:rsid w:val="00EA4DC6"/>
    <w:rsid w:val="00EB0BD1"/>
    <w:rsid w:val="00EC5A43"/>
    <w:rsid w:val="00ED1563"/>
    <w:rsid w:val="00ED5081"/>
    <w:rsid w:val="00ED6142"/>
    <w:rsid w:val="00EE0070"/>
    <w:rsid w:val="00EE0C2D"/>
    <w:rsid w:val="00EE11F6"/>
    <w:rsid w:val="00EF1EC6"/>
    <w:rsid w:val="00EF28B8"/>
    <w:rsid w:val="00EF4D05"/>
    <w:rsid w:val="00F02CEB"/>
    <w:rsid w:val="00F119B9"/>
    <w:rsid w:val="00F136E8"/>
    <w:rsid w:val="00F17009"/>
    <w:rsid w:val="00F240D3"/>
    <w:rsid w:val="00F314D5"/>
    <w:rsid w:val="00F34F14"/>
    <w:rsid w:val="00F35EAA"/>
    <w:rsid w:val="00F4053F"/>
    <w:rsid w:val="00F40CF7"/>
    <w:rsid w:val="00F427A0"/>
    <w:rsid w:val="00F43065"/>
    <w:rsid w:val="00F5038B"/>
    <w:rsid w:val="00F516FF"/>
    <w:rsid w:val="00F522E2"/>
    <w:rsid w:val="00F54496"/>
    <w:rsid w:val="00F564BE"/>
    <w:rsid w:val="00F61823"/>
    <w:rsid w:val="00F61E8F"/>
    <w:rsid w:val="00F638A3"/>
    <w:rsid w:val="00F63B40"/>
    <w:rsid w:val="00F63FAB"/>
    <w:rsid w:val="00F6499B"/>
    <w:rsid w:val="00F73961"/>
    <w:rsid w:val="00F80001"/>
    <w:rsid w:val="00F80EBB"/>
    <w:rsid w:val="00F828F4"/>
    <w:rsid w:val="00F878FB"/>
    <w:rsid w:val="00F90494"/>
    <w:rsid w:val="00F90C82"/>
    <w:rsid w:val="00F91909"/>
    <w:rsid w:val="00F97D17"/>
    <w:rsid w:val="00FA04C2"/>
    <w:rsid w:val="00FA2EFE"/>
    <w:rsid w:val="00FA4885"/>
    <w:rsid w:val="00FB6025"/>
    <w:rsid w:val="00FB620C"/>
    <w:rsid w:val="00FC37BF"/>
    <w:rsid w:val="00FC4A4A"/>
    <w:rsid w:val="00FD18DD"/>
    <w:rsid w:val="00FD2624"/>
    <w:rsid w:val="00FD6152"/>
    <w:rsid w:val="00FD79E8"/>
    <w:rsid w:val="00FE09BB"/>
    <w:rsid w:val="00FE19B4"/>
    <w:rsid w:val="00FE537C"/>
    <w:rsid w:val="00FE694D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3A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2C8"/>
  </w:style>
  <w:style w:type="paragraph" w:styleId="Footer">
    <w:name w:val="footer"/>
    <w:basedOn w:val="Normal"/>
    <w:link w:val="FooterChar"/>
    <w:uiPriority w:val="99"/>
    <w:unhideWhenUsed/>
    <w:rsid w:val="00E0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2C8"/>
  </w:style>
  <w:style w:type="paragraph" w:styleId="BalloonText">
    <w:name w:val="Balloon Text"/>
    <w:basedOn w:val="Normal"/>
    <w:link w:val="BalloonTextChar"/>
    <w:uiPriority w:val="99"/>
    <w:semiHidden/>
    <w:unhideWhenUsed/>
    <w:rsid w:val="00CF14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49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06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6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6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6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6F2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84402"/>
  </w:style>
  <w:style w:type="paragraph" w:styleId="Revision">
    <w:name w:val="Revision"/>
    <w:hidden/>
    <w:uiPriority w:val="99"/>
    <w:semiHidden/>
    <w:rsid w:val="002B7C26"/>
  </w:style>
  <w:style w:type="character" w:styleId="PlaceholderText">
    <w:name w:val="Placeholder Text"/>
    <w:basedOn w:val="DefaultParagraphFont"/>
    <w:uiPriority w:val="99"/>
    <w:semiHidden/>
    <w:rsid w:val="00B80BE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45C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5217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6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mackanec@oregonstate.edu" TargetMode="Externa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edar/Desktop/Thesis/Bugs/Data/2017-18%20bug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Number of Lower Taxa Within Each Family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130796150481"/>
          <c:y val="0.27016303743791"/>
          <c:w val="0.845653644256006"/>
          <c:h val="0.42877974129455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Lower Taxa Within Each Family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Sheet1!$A$2:$A$39</c:f>
              <c:strCache>
                <c:ptCount val="38"/>
                <c:pt idx="0">
                  <c:v>Ameletidae Total</c:v>
                </c:pt>
                <c:pt idx="1">
                  <c:v>Amphizoidae Total</c:v>
                </c:pt>
                <c:pt idx="2">
                  <c:v>Baetidae Total</c:v>
                </c:pt>
                <c:pt idx="3">
                  <c:v>Ceratapogonidae Total</c:v>
                </c:pt>
                <c:pt idx="4">
                  <c:v>Chironomidae Total</c:v>
                </c:pt>
                <c:pt idx="5">
                  <c:v>Collembola Total</c:v>
                </c:pt>
                <c:pt idx="6">
                  <c:v>Copepod Total</c:v>
                </c:pt>
                <c:pt idx="7">
                  <c:v>Corydalidae Total</c:v>
                </c:pt>
                <c:pt idx="8">
                  <c:v>Dyticidae Total</c:v>
                </c:pt>
                <c:pt idx="9">
                  <c:v>Glossostomatidae Total</c:v>
                </c:pt>
                <c:pt idx="10">
                  <c:v>Gomphidae Total</c:v>
                </c:pt>
                <c:pt idx="11">
                  <c:v>Hydrophilidae Total</c:v>
                </c:pt>
                <c:pt idx="12">
                  <c:v>Hydropsychidae Total</c:v>
                </c:pt>
                <c:pt idx="13">
                  <c:v>Juga Total</c:v>
                </c:pt>
                <c:pt idx="14">
                  <c:v>Lepidostomatidae Total</c:v>
                </c:pt>
                <c:pt idx="15">
                  <c:v>Leptophlebiidae Total</c:v>
                </c:pt>
                <c:pt idx="16">
                  <c:v>Mite Total</c:v>
                </c:pt>
                <c:pt idx="17">
                  <c:v>Ostrocod Total</c:v>
                </c:pt>
                <c:pt idx="18">
                  <c:v>Peltoperlidae Total</c:v>
                </c:pt>
                <c:pt idx="19">
                  <c:v>Philopotamidae Total</c:v>
                </c:pt>
                <c:pt idx="20">
                  <c:v>Psephenidae Total</c:v>
                </c:pt>
                <c:pt idx="21">
                  <c:v>Rhyacophilidae Total</c:v>
                </c:pt>
                <c:pt idx="22">
                  <c:v>Sialidae Total</c:v>
                </c:pt>
                <c:pt idx="23">
                  <c:v>Simuliidae Total</c:v>
                </c:pt>
                <c:pt idx="24">
                  <c:v>Uenoidae Total</c:v>
                </c:pt>
                <c:pt idx="25">
                  <c:v>Brachycentridae Total</c:v>
                </c:pt>
                <c:pt idx="26">
                  <c:v>Chloroperlidae Total</c:v>
                </c:pt>
                <c:pt idx="27">
                  <c:v>Dixidae Total</c:v>
                </c:pt>
                <c:pt idx="28">
                  <c:v>Gerridae Total</c:v>
                </c:pt>
                <c:pt idx="29">
                  <c:v>Leuctridae Total</c:v>
                </c:pt>
                <c:pt idx="30">
                  <c:v>Limnephilidae Total</c:v>
                </c:pt>
                <c:pt idx="31">
                  <c:v>Pteronarcidae Total</c:v>
                </c:pt>
                <c:pt idx="32">
                  <c:v>Perlidae Total</c:v>
                </c:pt>
                <c:pt idx="33">
                  <c:v>Tipulidae Total</c:v>
                </c:pt>
                <c:pt idx="34">
                  <c:v>Elmidae Total</c:v>
                </c:pt>
                <c:pt idx="35">
                  <c:v>Ephemerellidae Total</c:v>
                </c:pt>
                <c:pt idx="36">
                  <c:v>Heptageniidae Total</c:v>
                </c:pt>
                <c:pt idx="37">
                  <c:v>Nemouridae Total</c:v>
                </c:pt>
              </c:strCache>
            </c:strRef>
          </c:cat>
          <c:val>
            <c:numRef>
              <c:f>Sheet1!$B$2:$B$39</c:f>
              <c:numCache>
                <c:formatCode>General</c:formatCode>
                <c:ptCount val="38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2.0</c:v>
                </c:pt>
                <c:pt idx="26">
                  <c:v>2.0</c:v>
                </c:pt>
                <c:pt idx="27">
                  <c:v>2.0</c:v>
                </c:pt>
                <c:pt idx="28">
                  <c:v>2.0</c:v>
                </c:pt>
                <c:pt idx="29">
                  <c:v>2.0</c:v>
                </c:pt>
                <c:pt idx="30">
                  <c:v>2.0</c:v>
                </c:pt>
                <c:pt idx="31">
                  <c:v>2.0</c:v>
                </c:pt>
                <c:pt idx="32">
                  <c:v>3.0</c:v>
                </c:pt>
                <c:pt idx="33">
                  <c:v>3.0</c:v>
                </c:pt>
                <c:pt idx="34">
                  <c:v>4.0</c:v>
                </c:pt>
                <c:pt idx="35">
                  <c:v>4.0</c:v>
                </c:pt>
                <c:pt idx="36">
                  <c:v>4.0</c:v>
                </c:pt>
                <c:pt idx="37">
                  <c:v>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114403856"/>
        <c:axId val="-1114401312"/>
      </c:lineChart>
      <c:catAx>
        <c:axId val="-1114403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Family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14401312"/>
        <c:crosses val="autoZero"/>
        <c:auto val="1"/>
        <c:lblAlgn val="ctr"/>
        <c:lblOffset val="100"/>
        <c:tickLblSkip val="1"/>
        <c:noMultiLvlLbl val="0"/>
      </c:catAx>
      <c:valAx>
        <c:axId val="-1114401312"/>
        <c:scaling>
          <c:orientation val="minMax"/>
          <c:max val="5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Number of Lower Taxa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14403856"/>
        <c:crossesAt val="1.0"/>
        <c:crossBetween val="midCat"/>
        <c:majorUnit val="1.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2553</Words>
  <Characters>14556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Mackaness, Cedar</dc:creator>
  <cp:keywords/>
  <dc:description/>
  <cp:lastModifiedBy>Cedar Mackaness</cp:lastModifiedBy>
  <cp:revision>9</cp:revision>
  <cp:lastPrinted>2019-03-11T00:19:00Z</cp:lastPrinted>
  <dcterms:created xsi:type="dcterms:W3CDTF">2019-03-11T00:19:00Z</dcterms:created>
  <dcterms:modified xsi:type="dcterms:W3CDTF">2019-03-11T00:31:00Z</dcterms:modified>
</cp:coreProperties>
</file>