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C19221" w14:textId="77777777" w:rsidR="00DA7546" w:rsidRPr="007775EA" w:rsidRDefault="00DA7546" w:rsidP="00DA7546">
      <w:pPr>
        <w:spacing w:after="0" w:line="240" w:lineRule="auto"/>
        <w:jc w:val="center"/>
        <w:rPr>
          <w:rFonts w:ascii="Times New Roman" w:hAnsi="Times New Roman" w:cs="Times New Roman"/>
          <w:b/>
          <w:bCs/>
          <w:sz w:val="32"/>
          <w:szCs w:val="32"/>
        </w:rPr>
      </w:pPr>
      <w:r w:rsidRPr="007775EA">
        <w:rPr>
          <w:rFonts w:ascii="Times New Roman" w:hAnsi="Times New Roman" w:cs="Times New Roman"/>
          <w:b/>
          <w:bCs/>
          <w:sz w:val="32"/>
          <w:szCs w:val="32"/>
        </w:rPr>
        <w:t>Ginseng King Midterm Project Report</w:t>
      </w:r>
    </w:p>
    <w:p w14:paraId="4E0FF3F3" w14:textId="77777777" w:rsidR="00DA7546" w:rsidRDefault="00DA7546" w:rsidP="00DA7546">
      <w:pPr>
        <w:spacing w:line="240" w:lineRule="auto"/>
        <w:jc w:val="center"/>
        <w:rPr>
          <w:rFonts w:ascii="Times New Roman" w:hAnsi="Times New Roman" w:cs="Times New Roman"/>
          <w:szCs w:val="22"/>
        </w:rPr>
      </w:pPr>
      <w:r w:rsidRPr="00DA7546">
        <w:rPr>
          <w:rFonts w:ascii="Times New Roman" w:hAnsi="Times New Roman" w:cs="Times New Roman"/>
          <w:szCs w:val="22"/>
        </w:rPr>
        <w:t>Heming Bai | Cedar Huang | Haiyue Liu</w:t>
      </w:r>
    </w:p>
    <w:p w14:paraId="550E83B3" w14:textId="77777777" w:rsidR="00726BD2" w:rsidRPr="007775EA" w:rsidRDefault="00DA7546" w:rsidP="00726BD2">
      <w:pPr>
        <w:spacing w:after="120" w:line="240" w:lineRule="auto"/>
        <w:rPr>
          <w:rFonts w:ascii="Times New Roman" w:hAnsi="Times New Roman" w:cs="Times New Roman"/>
          <w:b/>
          <w:bCs/>
          <w:sz w:val="28"/>
          <w:szCs w:val="28"/>
        </w:rPr>
      </w:pPr>
      <w:r w:rsidRPr="007775EA">
        <w:rPr>
          <w:rFonts w:ascii="Times New Roman" w:hAnsi="Times New Roman" w:cs="Times New Roman"/>
          <w:b/>
          <w:bCs/>
          <w:sz w:val="28"/>
          <w:szCs w:val="28"/>
        </w:rPr>
        <w:t>1 Introduction</w:t>
      </w:r>
    </w:p>
    <w:p w14:paraId="28DF3C60" w14:textId="77777777" w:rsidR="00726BD2" w:rsidRDefault="00726BD2" w:rsidP="00726BD2">
      <w:pPr>
        <w:spacing w:after="120" w:line="240" w:lineRule="auto"/>
        <w:rPr>
          <w:rFonts w:ascii="Times New Roman" w:hAnsi="Times New Roman" w:cs="Times New Roman"/>
          <w:sz w:val="24"/>
        </w:rPr>
      </w:pPr>
      <w:r w:rsidRPr="00726BD2">
        <w:rPr>
          <w:rFonts w:ascii="Times New Roman" w:hAnsi="Times New Roman" w:cs="Times New Roman"/>
          <w:sz w:val="24"/>
        </w:rPr>
        <w:t>American ginseng is an important specialty crop in Wisconsin, particularly in Marathon County. This project examines historical heat, freezing, and wet-weather exposure using daily temperature and precipitation data from 2004–2025. We use Daymet estimates at five sampling points within the county and observations from five nearby NOAA stations to compare weather patterns across locations and years. Our goal is to produce a reproducible dataset and accessible visualizations that support future agricultural research. The analysis describes outdoor weather exposure rather than predicting disease, yield, or root quality.</w:t>
      </w:r>
    </w:p>
    <w:p w14:paraId="171BFA41" w14:textId="77777777" w:rsidR="00726BD2" w:rsidRPr="00DA7546" w:rsidRDefault="00726BD2" w:rsidP="00726BD2">
      <w:pPr>
        <w:spacing w:after="120" w:line="240" w:lineRule="auto"/>
        <w:rPr>
          <w:rFonts w:ascii="Times New Roman" w:hAnsi="Times New Roman" w:cs="Times New Roman"/>
          <w:sz w:val="24"/>
        </w:rPr>
      </w:pPr>
    </w:p>
    <w:p w14:paraId="275C5F1D" w14:textId="77777777" w:rsidR="00DA7546" w:rsidRPr="007775EA" w:rsidRDefault="00DA7546" w:rsidP="00726BD2">
      <w:pPr>
        <w:spacing w:after="120" w:line="240" w:lineRule="auto"/>
        <w:rPr>
          <w:rFonts w:ascii="Times New Roman" w:hAnsi="Times New Roman" w:cs="Times New Roman"/>
          <w:b/>
          <w:bCs/>
          <w:sz w:val="28"/>
          <w:szCs w:val="28"/>
        </w:rPr>
      </w:pPr>
      <w:r w:rsidRPr="007775EA">
        <w:rPr>
          <w:rFonts w:ascii="Times New Roman" w:hAnsi="Times New Roman" w:cs="Times New Roman"/>
          <w:b/>
          <w:bCs/>
          <w:sz w:val="28"/>
          <w:szCs w:val="28"/>
        </w:rPr>
        <w:t>2 Work Completed and Deliverables</w:t>
      </w:r>
    </w:p>
    <w:p w14:paraId="1DB9AAA9" w14:textId="77777777" w:rsidR="00726BD2" w:rsidRPr="00726BD2" w:rsidRDefault="00726BD2" w:rsidP="00726BD2">
      <w:pPr>
        <w:spacing w:after="120" w:line="240" w:lineRule="auto"/>
        <w:rPr>
          <w:rFonts w:ascii="Times New Roman" w:hAnsi="Times New Roman" w:cs="Times New Roman"/>
          <w:sz w:val="24"/>
        </w:rPr>
      </w:pPr>
      <w:r>
        <w:rPr>
          <w:rFonts w:ascii="Times New Roman" w:hAnsi="Times New Roman" w:cs="Times New Roman" w:hint="eastAsia"/>
          <w:sz w:val="24"/>
        </w:rPr>
        <w:t>Our</w:t>
      </w:r>
      <w:r w:rsidRPr="00726BD2">
        <w:rPr>
          <w:rFonts w:ascii="Times New Roman" w:hAnsi="Times New Roman" w:cs="Times New Roman" w:hint="eastAsia"/>
          <w:sz w:val="24"/>
        </w:rPr>
        <w:t xml:space="preserve"> team has completed data acquisition and processing for the 22-year study period. Deliverables include cleaned NOAA observations from five stations, Daymet estimates for five Marathon County sampling points, and Daymet reference data at the five NOAA station coordinates. Each five-location dataset contains 40,180 daily calendar records and 220 annual and growing-season summary records. Raw data, processing scripts, quality-checking tools, and supporting documentation are organized in the shared repository.</w:t>
      </w:r>
    </w:p>
    <w:p w14:paraId="76D4E80A" w14:textId="77777777" w:rsidR="00726BD2" w:rsidRPr="00726BD2" w:rsidRDefault="00726BD2" w:rsidP="00726BD2">
      <w:pPr>
        <w:spacing w:after="120" w:line="240" w:lineRule="auto"/>
        <w:rPr>
          <w:rFonts w:ascii="Times New Roman" w:hAnsi="Times New Roman" w:cs="Times New Roman"/>
          <w:sz w:val="24"/>
        </w:rPr>
      </w:pPr>
      <w:r w:rsidRPr="00726BD2">
        <w:rPr>
          <w:rFonts w:ascii="Times New Roman" w:hAnsi="Times New Roman" w:cs="Times New Roman" w:hint="eastAsia"/>
          <w:sz w:val="24"/>
        </w:rPr>
        <w:t>We have implemented freezing-day, hot-day, wet-day, heavy-precipitation, and prolonged-wet-day indicators. The Daymet summaries also include the longest observed wet spell. Preliminary tables and figures compare exposure across years and county sampling points, identifying years with the highest counts for different indicators.</w:t>
      </w:r>
    </w:p>
    <w:p w14:paraId="60D6AEE2" w14:textId="77777777" w:rsidR="00726BD2" w:rsidRDefault="00726BD2" w:rsidP="00726BD2">
      <w:pPr>
        <w:spacing w:after="120" w:line="240" w:lineRule="auto"/>
        <w:rPr>
          <w:rFonts w:ascii="Times New Roman" w:hAnsi="Times New Roman" w:cs="Times New Roman"/>
          <w:sz w:val="24"/>
        </w:rPr>
      </w:pPr>
      <w:r w:rsidRPr="00726BD2">
        <w:rPr>
          <w:rFonts w:ascii="Times New Roman" w:hAnsi="Times New Roman" w:cs="Times New Roman" w:hint="eastAsia"/>
          <w:sz w:val="24"/>
        </w:rPr>
        <w:t>The team has also developed an interactive website that presents NOAA and Daymet results through charts, maps, heatmaps, and summary tables. It supports location and year filtering, daily weather inspection, exploratory changes to thresholds and growing-season settings, and figure and data exports. A reference-coordinate comparison view displays matching NOAA and Daymet summary indicators. These features provide a foundation for the remaining quantitative comparison and systematic sensitivity analysis.</w:t>
      </w:r>
    </w:p>
    <w:p w14:paraId="26FFF9A2" w14:textId="77777777" w:rsidR="00726BD2" w:rsidRPr="00DA7546" w:rsidRDefault="00726BD2" w:rsidP="00726BD2">
      <w:pPr>
        <w:spacing w:after="120" w:line="240" w:lineRule="auto"/>
        <w:rPr>
          <w:rFonts w:ascii="Times New Roman" w:hAnsi="Times New Roman" w:cs="Times New Roman"/>
          <w:sz w:val="24"/>
        </w:rPr>
      </w:pPr>
    </w:p>
    <w:p w14:paraId="4518740C" w14:textId="77777777" w:rsidR="00DA7546" w:rsidRPr="007775EA" w:rsidRDefault="00DA7546" w:rsidP="00726BD2">
      <w:pPr>
        <w:spacing w:after="120" w:line="240" w:lineRule="auto"/>
        <w:rPr>
          <w:rFonts w:ascii="Times New Roman" w:hAnsi="Times New Roman" w:cs="Times New Roman"/>
          <w:b/>
          <w:bCs/>
          <w:sz w:val="28"/>
          <w:szCs w:val="28"/>
        </w:rPr>
      </w:pPr>
      <w:r w:rsidRPr="007775EA">
        <w:rPr>
          <w:rFonts w:ascii="Times New Roman" w:hAnsi="Times New Roman" w:cs="Times New Roman"/>
          <w:b/>
          <w:bCs/>
          <w:sz w:val="28"/>
          <w:szCs w:val="28"/>
        </w:rPr>
        <w:t>3 Data and Method</w:t>
      </w:r>
    </w:p>
    <w:p w14:paraId="5628D30A" w14:textId="77777777" w:rsidR="00DA7546" w:rsidRPr="00DA7546" w:rsidRDefault="00DA7546" w:rsidP="00726BD2">
      <w:pPr>
        <w:spacing w:after="120" w:line="240" w:lineRule="auto"/>
        <w:rPr>
          <w:rFonts w:ascii="Times New Roman" w:hAnsi="Times New Roman" w:cs="Times New Roman"/>
          <w:b/>
          <w:bCs/>
          <w:sz w:val="24"/>
        </w:rPr>
      </w:pPr>
      <w:r w:rsidRPr="00DA7546">
        <w:rPr>
          <w:rFonts w:ascii="Times New Roman" w:hAnsi="Times New Roman" w:cs="Times New Roman"/>
          <w:b/>
          <w:bCs/>
          <w:sz w:val="24"/>
        </w:rPr>
        <w:t>3.1 Daymet Data</w:t>
      </w:r>
    </w:p>
    <w:p w14:paraId="773508F0" w14:textId="77777777" w:rsidR="0059701F" w:rsidRDefault="00000000">
      <w:pPr>
        <w:spacing w:after="120" w:line="240" w:lineRule="auto"/>
        <w:rPr>
          <w:rFonts w:ascii="Times New Roman" w:hAnsi="Times New Roman" w:cs="Times New Roman"/>
          <w:sz w:val="24"/>
        </w:rPr>
      </w:pPr>
      <w:r>
        <w:rPr>
          <w:rFonts w:ascii="Times New Roman" w:hAnsi="Times New Roman" w:cs="Times New Roman"/>
          <w:b/>
          <w:color w:val="000000"/>
          <w:sz w:val="24"/>
        </w:rPr>
        <w:t>Data scope and sampling locations</w:t>
      </w:r>
    </w:p>
    <w:p w14:paraId="48A4C504" w14:textId="77777777" w:rsidR="0059701F"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lastRenderedPageBreak/>
        <w:t>We acquired and processed Daymet daily maximum temperature, minimum temperature, and precipitation from January 1, 2004 through December 31, 2025 at ten coordinates. Five geographic sampling points within Marathon County support spatial comparisons, while five separate reference points at NOAA station coordinates support NOAA-Daymet comparison.</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16"/>
        <w:gridCol w:w="3600"/>
        <w:gridCol w:w="3744"/>
      </w:tblGrid>
      <w:tr w:rsidR="0059701F" w14:paraId="2979D966" w14:textId="77777777">
        <w:trPr>
          <w:cantSplit/>
          <w:tblHeader/>
        </w:trPr>
        <w:tc>
          <w:tcPr>
            <w:tcW w:w="2016" w:type="dxa"/>
          </w:tcPr>
          <w:p w14:paraId="7426FE98" w14:textId="77777777" w:rsidR="0059701F" w:rsidRDefault="00000000">
            <w:pPr>
              <w:spacing w:after="120" w:line="240" w:lineRule="auto"/>
              <w:rPr>
                <w:rFonts w:ascii="Times New Roman" w:hAnsi="Times New Roman" w:cs="Times New Roman"/>
                <w:sz w:val="24"/>
              </w:rPr>
            </w:pPr>
            <w:r>
              <w:rPr>
                <w:rFonts w:ascii="Times New Roman" w:hAnsi="Times New Roman" w:cs="Times New Roman"/>
                <w:b/>
                <w:color w:val="000000"/>
                <w:sz w:val="24"/>
              </w:rPr>
              <w:t>Dataset</w:t>
            </w:r>
          </w:p>
        </w:tc>
        <w:tc>
          <w:tcPr>
            <w:tcW w:w="3600" w:type="dxa"/>
          </w:tcPr>
          <w:p w14:paraId="17020CC0" w14:textId="77777777" w:rsidR="0059701F" w:rsidRDefault="00000000">
            <w:pPr>
              <w:spacing w:after="120" w:line="240" w:lineRule="auto"/>
              <w:rPr>
                <w:rFonts w:ascii="Times New Roman" w:hAnsi="Times New Roman" w:cs="Times New Roman"/>
                <w:sz w:val="24"/>
              </w:rPr>
            </w:pPr>
            <w:r>
              <w:rPr>
                <w:rFonts w:ascii="Times New Roman" w:hAnsi="Times New Roman" w:cs="Times New Roman"/>
                <w:b/>
                <w:color w:val="000000"/>
                <w:sz w:val="24"/>
              </w:rPr>
              <w:t>Locations</w:t>
            </w:r>
          </w:p>
        </w:tc>
        <w:tc>
          <w:tcPr>
            <w:tcW w:w="3744" w:type="dxa"/>
          </w:tcPr>
          <w:p w14:paraId="44AFDB38" w14:textId="77777777" w:rsidR="0059701F" w:rsidRDefault="00000000">
            <w:pPr>
              <w:spacing w:after="120" w:line="240" w:lineRule="auto"/>
              <w:rPr>
                <w:rFonts w:ascii="Times New Roman" w:hAnsi="Times New Roman" w:cs="Times New Roman"/>
                <w:sz w:val="24"/>
              </w:rPr>
            </w:pPr>
            <w:r>
              <w:rPr>
                <w:rFonts w:ascii="Times New Roman" w:hAnsi="Times New Roman" w:cs="Times New Roman"/>
                <w:b/>
                <w:color w:val="000000"/>
                <w:sz w:val="24"/>
              </w:rPr>
              <w:t>Purpose</w:t>
            </w:r>
          </w:p>
        </w:tc>
      </w:tr>
      <w:tr w:rsidR="0059701F" w14:paraId="5C1BDC37" w14:textId="77777777">
        <w:trPr>
          <w:cantSplit/>
        </w:trPr>
        <w:tc>
          <w:tcPr>
            <w:tcW w:w="2016" w:type="dxa"/>
          </w:tcPr>
          <w:p w14:paraId="4295E0AB" w14:textId="77777777" w:rsidR="0059701F"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County sampling points</w:t>
            </w:r>
          </w:p>
        </w:tc>
        <w:tc>
          <w:tcPr>
            <w:tcW w:w="3600" w:type="dxa"/>
          </w:tcPr>
          <w:p w14:paraId="0AD8C5F5" w14:textId="77777777" w:rsidR="0059701F"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Central, northern, southern, western, and eastern Marathon County</w:t>
            </w:r>
          </w:p>
        </w:tc>
        <w:tc>
          <w:tcPr>
            <w:tcW w:w="3744" w:type="dxa"/>
          </w:tcPr>
          <w:p w14:paraId="392F0692" w14:textId="77777777" w:rsidR="0059701F"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Compare weather exposure across county points and years</w:t>
            </w:r>
          </w:p>
        </w:tc>
      </w:tr>
      <w:tr w:rsidR="0059701F" w14:paraId="5241C807" w14:textId="77777777">
        <w:trPr>
          <w:cantSplit/>
        </w:trPr>
        <w:tc>
          <w:tcPr>
            <w:tcW w:w="2016" w:type="dxa"/>
          </w:tcPr>
          <w:p w14:paraId="33DC0744" w14:textId="77777777" w:rsidR="0059701F"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NOAA reference coordinates</w:t>
            </w:r>
          </w:p>
        </w:tc>
        <w:tc>
          <w:tcPr>
            <w:tcW w:w="3600" w:type="dxa"/>
          </w:tcPr>
          <w:p w14:paraId="1B0F9B04" w14:textId="77777777" w:rsidR="0059701F"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Five selected NOAA station coordinates</w:t>
            </w:r>
          </w:p>
        </w:tc>
        <w:tc>
          <w:tcPr>
            <w:tcW w:w="3744" w:type="dxa"/>
          </w:tcPr>
          <w:p w14:paraId="40BA9DBA" w14:textId="77777777" w:rsidR="0059701F"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Match NOAA and Daymet records by station ID and calendar date</w:t>
            </w:r>
          </w:p>
        </w:tc>
      </w:tr>
    </w:tbl>
    <w:p w14:paraId="40A39E1E" w14:textId="77777777" w:rsidR="0059701F"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The county coordinates were checked against the U.S. Census Bureau TIGERweb county boundary, GEOID 55073. They are geographic sampling locations, not verified ginseng farms or a random sample of agricultural land. Each download records its source URL, requested coordinates, retrieval time, source header, and SHA-256 checksum. Processing verifies the raw checksum and records the thresholds used.</w:t>
      </w:r>
    </w:p>
    <w:p w14:paraId="5FF5BC1D" w14:textId="77777777" w:rsidR="0059701F" w:rsidRDefault="00000000">
      <w:pPr>
        <w:spacing w:after="120" w:line="240" w:lineRule="auto"/>
        <w:rPr>
          <w:rFonts w:ascii="Times New Roman" w:hAnsi="Times New Roman" w:cs="Times New Roman"/>
          <w:sz w:val="24"/>
        </w:rPr>
      </w:pPr>
      <w:r>
        <w:rPr>
          <w:rFonts w:ascii="Times New Roman" w:hAnsi="Times New Roman" w:cs="Times New Roman"/>
          <w:b/>
          <w:color w:val="000000"/>
          <w:sz w:val="24"/>
        </w:rPr>
        <w:t>Calendar handling and output structure</w:t>
      </w:r>
    </w:p>
    <w:p w14:paraId="713E8EDB" w14:textId="77777777" w:rsidR="0059701F"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Each downloaded location file contains 8,030 records: 22 years of 365 Daymet days. Daymet includes February 29 but omits December 31 in leap years. The pipeline inserts the six omitted dates per location, keeping weather values and labels unknown. No interpolation or substitution with dry days is performed.</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752"/>
        <w:gridCol w:w="2304"/>
        <w:gridCol w:w="2304"/>
      </w:tblGrid>
      <w:tr w:rsidR="0059701F" w14:paraId="43F80409" w14:textId="77777777">
        <w:trPr>
          <w:cantSplit/>
          <w:tblHeader/>
        </w:trPr>
        <w:tc>
          <w:tcPr>
            <w:tcW w:w="4752" w:type="dxa"/>
          </w:tcPr>
          <w:p w14:paraId="07FB5E19" w14:textId="77777777" w:rsidR="0059701F" w:rsidRDefault="00000000">
            <w:pPr>
              <w:spacing w:after="120" w:line="240" w:lineRule="auto"/>
              <w:rPr>
                <w:rFonts w:ascii="Times New Roman" w:hAnsi="Times New Roman" w:cs="Times New Roman"/>
                <w:sz w:val="24"/>
              </w:rPr>
            </w:pPr>
            <w:r>
              <w:rPr>
                <w:rFonts w:ascii="Times New Roman" w:hAnsi="Times New Roman" w:cs="Times New Roman"/>
                <w:b/>
                <w:color w:val="000000"/>
                <w:sz w:val="24"/>
              </w:rPr>
              <w:t>Output measure</w:t>
            </w:r>
          </w:p>
        </w:tc>
        <w:tc>
          <w:tcPr>
            <w:tcW w:w="2304" w:type="dxa"/>
          </w:tcPr>
          <w:p w14:paraId="5155A658" w14:textId="77777777" w:rsidR="0059701F" w:rsidRDefault="00000000">
            <w:pPr>
              <w:spacing w:after="120" w:line="240" w:lineRule="auto"/>
              <w:rPr>
                <w:rFonts w:ascii="Times New Roman" w:hAnsi="Times New Roman" w:cs="Times New Roman"/>
                <w:sz w:val="24"/>
              </w:rPr>
            </w:pPr>
            <w:r>
              <w:rPr>
                <w:rFonts w:ascii="Times New Roman" w:hAnsi="Times New Roman" w:cs="Times New Roman"/>
                <w:b/>
                <w:color w:val="000000"/>
                <w:sz w:val="24"/>
              </w:rPr>
              <w:t>Per location</w:t>
            </w:r>
          </w:p>
        </w:tc>
        <w:tc>
          <w:tcPr>
            <w:tcW w:w="2304" w:type="dxa"/>
          </w:tcPr>
          <w:p w14:paraId="5DDB5FD3" w14:textId="77777777" w:rsidR="0059701F" w:rsidRDefault="00000000">
            <w:pPr>
              <w:spacing w:after="120" w:line="240" w:lineRule="auto"/>
              <w:rPr>
                <w:rFonts w:ascii="Times New Roman" w:hAnsi="Times New Roman" w:cs="Times New Roman"/>
                <w:sz w:val="24"/>
              </w:rPr>
            </w:pPr>
            <w:r>
              <w:rPr>
                <w:rFonts w:ascii="Times New Roman" w:hAnsi="Times New Roman" w:cs="Times New Roman"/>
                <w:b/>
                <w:color w:val="000000"/>
                <w:sz w:val="24"/>
              </w:rPr>
              <w:t>Per five-point group</w:t>
            </w:r>
          </w:p>
        </w:tc>
      </w:tr>
      <w:tr w:rsidR="0059701F" w14:paraId="56583AC8" w14:textId="77777777">
        <w:trPr>
          <w:cantSplit/>
        </w:trPr>
        <w:tc>
          <w:tcPr>
            <w:tcW w:w="4752" w:type="dxa"/>
          </w:tcPr>
          <w:p w14:paraId="1CBF93B4" w14:textId="77777777" w:rsidR="0059701F"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Daily calendar rows</w:t>
            </w:r>
          </w:p>
        </w:tc>
        <w:tc>
          <w:tcPr>
            <w:tcW w:w="2304" w:type="dxa"/>
          </w:tcPr>
          <w:p w14:paraId="7C923056" w14:textId="77777777" w:rsidR="0059701F"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8,036</w:t>
            </w:r>
          </w:p>
        </w:tc>
        <w:tc>
          <w:tcPr>
            <w:tcW w:w="2304" w:type="dxa"/>
          </w:tcPr>
          <w:p w14:paraId="0F554C2E" w14:textId="77777777" w:rsidR="0059701F"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40,180</w:t>
            </w:r>
          </w:p>
        </w:tc>
      </w:tr>
      <w:tr w:rsidR="0059701F" w14:paraId="00A0425C" w14:textId="77777777">
        <w:trPr>
          <w:cantSplit/>
        </w:trPr>
        <w:tc>
          <w:tcPr>
            <w:tcW w:w="4752" w:type="dxa"/>
          </w:tcPr>
          <w:p w14:paraId="11D3DBBB" w14:textId="77777777" w:rsidR="0059701F"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Annual and April-October summary rows</w:t>
            </w:r>
          </w:p>
        </w:tc>
        <w:tc>
          <w:tcPr>
            <w:tcW w:w="2304" w:type="dxa"/>
          </w:tcPr>
          <w:p w14:paraId="07A15CF2" w14:textId="77777777" w:rsidR="0059701F"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44</w:t>
            </w:r>
          </w:p>
        </w:tc>
        <w:tc>
          <w:tcPr>
            <w:tcW w:w="2304" w:type="dxa"/>
          </w:tcPr>
          <w:p w14:paraId="54775261" w14:textId="77777777" w:rsidR="0059701F"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220</w:t>
            </w:r>
          </w:p>
        </w:tc>
      </w:tr>
      <w:tr w:rsidR="0059701F" w14:paraId="7DE45101" w14:textId="77777777">
        <w:trPr>
          <w:cantSplit/>
        </w:trPr>
        <w:tc>
          <w:tcPr>
            <w:tcW w:w="4752" w:type="dxa"/>
          </w:tcPr>
          <w:p w14:paraId="1F1E8536" w14:textId="77777777" w:rsidR="0059701F"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Calendar omissions retained as unknown</w:t>
            </w:r>
          </w:p>
        </w:tc>
        <w:tc>
          <w:tcPr>
            <w:tcW w:w="2304" w:type="dxa"/>
          </w:tcPr>
          <w:p w14:paraId="70E92E86" w14:textId="77777777" w:rsidR="0059701F"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6</w:t>
            </w:r>
          </w:p>
        </w:tc>
        <w:tc>
          <w:tcPr>
            <w:tcW w:w="2304" w:type="dxa"/>
          </w:tcPr>
          <w:p w14:paraId="3CAAC214" w14:textId="77777777" w:rsidR="0059701F"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30</w:t>
            </w:r>
          </w:p>
        </w:tc>
      </w:tr>
      <w:tr w:rsidR="0059701F" w14:paraId="61014A30" w14:textId="77777777">
        <w:trPr>
          <w:cantSplit/>
        </w:trPr>
        <w:tc>
          <w:tcPr>
            <w:tcW w:w="4752" w:type="dxa"/>
          </w:tcPr>
          <w:p w14:paraId="3B04881A" w14:textId="77777777" w:rsidR="0059701F"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Days in each April-October season</w:t>
            </w:r>
          </w:p>
        </w:tc>
        <w:tc>
          <w:tcPr>
            <w:tcW w:w="2304" w:type="dxa"/>
          </w:tcPr>
          <w:p w14:paraId="37E62749" w14:textId="77777777" w:rsidR="0059701F"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214</w:t>
            </w:r>
          </w:p>
        </w:tc>
        <w:tc>
          <w:tcPr>
            <w:tcW w:w="2304" w:type="dxa"/>
          </w:tcPr>
          <w:p w14:paraId="137DED32" w14:textId="77777777" w:rsidR="0059701F"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214 per location</w:t>
            </w:r>
          </w:p>
        </w:tc>
      </w:tr>
    </w:tbl>
    <w:p w14:paraId="09880808" w14:textId="77777777" w:rsidR="0059701F"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Outputs include cleaned daily files, annual and April-October summaries, combined datasets, simple five-point yearly means, processing metadata, and audit results. Raw downloads, processing scripts, and progress documentation are stored in the shared repository.</w:t>
      </w:r>
    </w:p>
    <w:p w14:paraId="42A8C04C" w14:textId="77777777" w:rsidR="0059701F" w:rsidRDefault="00000000">
      <w:pPr>
        <w:spacing w:after="120" w:line="240" w:lineRule="auto"/>
        <w:rPr>
          <w:rFonts w:ascii="Times New Roman" w:hAnsi="Times New Roman" w:cs="Times New Roman"/>
          <w:sz w:val="24"/>
        </w:rPr>
      </w:pPr>
      <w:r>
        <w:rPr>
          <w:rFonts w:ascii="Times New Roman" w:hAnsi="Times New Roman" w:cs="Times New Roman"/>
          <w:b/>
          <w:color w:val="000000"/>
          <w:sz w:val="24"/>
        </w:rPr>
        <w:t>Weather indicators and wet-spell calculations</w:t>
      </w:r>
    </w:p>
    <w:p w14:paraId="5EE5EF96" w14:textId="77777777" w:rsidR="0059701F"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The baseline growing season is April through October. Temperatures are already in degrees Celsius. Daily precipitation is expressed as water-equivalent millimeters, including forms other than rain.</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24"/>
        <w:gridCol w:w="6336"/>
      </w:tblGrid>
      <w:tr w:rsidR="0059701F" w14:paraId="46501156" w14:textId="77777777">
        <w:trPr>
          <w:cantSplit/>
          <w:tblHeader/>
        </w:trPr>
        <w:tc>
          <w:tcPr>
            <w:tcW w:w="3024" w:type="dxa"/>
          </w:tcPr>
          <w:p w14:paraId="36252E60" w14:textId="77777777" w:rsidR="0059701F" w:rsidRDefault="00000000">
            <w:pPr>
              <w:spacing w:after="120" w:line="240" w:lineRule="auto"/>
              <w:rPr>
                <w:rFonts w:ascii="Times New Roman" w:hAnsi="Times New Roman" w:cs="Times New Roman"/>
                <w:sz w:val="24"/>
              </w:rPr>
            </w:pPr>
            <w:r>
              <w:rPr>
                <w:rFonts w:ascii="Times New Roman" w:hAnsi="Times New Roman" w:cs="Times New Roman"/>
                <w:b/>
                <w:color w:val="000000"/>
                <w:sz w:val="24"/>
              </w:rPr>
              <w:t>Indicator</w:t>
            </w:r>
          </w:p>
        </w:tc>
        <w:tc>
          <w:tcPr>
            <w:tcW w:w="6336" w:type="dxa"/>
          </w:tcPr>
          <w:p w14:paraId="4B70ED65" w14:textId="77777777" w:rsidR="0059701F" w:rsidRDefault="00000000">
            <w:pPr>
              <w:spacing w:after="120" w:line="240" w:lineRule="auto"/>
              <w:rPr>
                <w:rFonts w:ascii="Times New Roman" w:hAnsi="Times New Roman" w:cs="Times New Roman"/>
                <w:sz w:val="24"/>
              </w:rPr>
            </w:pPr>
            <w:r>
              <w:rPr>
                <w:rFonts w:ascii="Times New Roman" w:hAnsi="Times New Roman" w:cs="Times New Roman"/>
                <w:b/>
                <w:color w:val="000000"/>
                <w:sz w:val="24"/>
              </w:rPr>
              <w:t>Operational definition</w:t>
            </w:r>
          </w:p>
        </w:tc>
      </w:tr>
      <w:tr w:rsidR="0059701F" w14:paraId="2CF65BE7" w14:textId="77777777">
        <w:trPr>
          <w:cantSplit/>
        </w:trPr>
        <w:tc>
          <w:tcPr>
            <w:tcW w:w="3024" w:type="dxa"/>
          </w:tcPr>
          <w:p w14:paraId="08B5DB53" w14:textId="77777777" w:rsidR="0059701F"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Freezing day</w:t>
            </w:r>
          </w:p>
        </w:tc>
        <w:tc>
          <w:tcPr>
            <w:tcW w:w="6336" w:type="dxa"/>
          </w:tcPr>
          <w:p w14:paraId="43ABB2C7" w14:textId="77777777" w:rsidR="0059701F"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TMIN &lt; 0 degrees Celsius</w:t>
            </w:r>
          </w:p>
        </w:tc>
      </w:tr>
      <w:tr w:rsidR="0059701F" w14:paraId="3E4199E1" w14:textId="77777777">
        <w:trPr>
          <w:cantSplit/>
        </w:trPr>
        <w:tc>
          <w:tcPr>
            <w:tcW w:w="3024" w:type="dxa"/>
          </w:tcPr>
          <w:p w14:paraId="02307E12" w14:textId="77777777" w:rsidR="0059701F"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lastRenderedPageBreak/>
              <w:t>Hot day</w:t>
            </w:r>
          </w:p>
        </w:tc>
        <w:tc>
          <w:tcPr>
            <w:tcW w:w="6336" w:type="dxa"/>
          </w:tcPr>
          <w:p w14:paraId="19612127" w14:textId="77777777" w:rsidR="0059701F"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TMAX &gt;= 30 degrees Celsius</w:t>
            </w:r>
          </w:p>
        </w:tc>
      </w:tr>
      <w:tr w:rsidR="0059701F" w14:paraId="5135DA0B" w14:textId="77777777">
        <w:trPr>
          <w:cantSplit/>
        </w:trPr>
        <w:tc>
          <w:tcPr>
            <w:tcW w:w="3024" w:type="dxa"/>
          </w:tcPr>
          <w:p w14:paraId="75B92CDE" w14:textId="77777777" w:rsidR="0059701F"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Wet day</w:t>
            </w:r>
          </w:p>
        </w:tc>
        <w:tc>
          <w:tcPr>
            <w:tcW w:w="6336" w:type="dxa"/>
          </w:tcPr>
          <w:p w14:paraId="5BFB4293" w14:textId="77777777" w:rsidR="0059701F"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Precipitation &gt;= 1 mm</w:t>
            </w:r>
          </w:p>
        </w:tc>
      </w:tr>
      <w:tr w:rsidR="0059701F" w14:paraId="66D7F091" w14:textId="77777777">
        <w:trPr>
          <w:cantSplit/>
        </w:trPr>
        <w:tc>
          <w:tcPr>
            <w:tcW w:w="3024" w:type="dxa"/>
          </w:tcPr>
          <w:p w14:paraId="19FAAD44" w14:textId="77777777" w:rsidR="0059701F"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Heavy-precipitation day</w:t>
            </w:r>
          </w:p>
        </w:tc>
        <w:tc>
          <w:tcPr>
            <w:tcW w:w="6336" w:type="dxa"/>
          </w:tcPr>
          <w:p w14:paraId="40D5D84E" w14:textId="77777777" w:rsidR="0059701F"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Precipitation &gt;= 20 mm</w:t>
            </w:r>
          </w:p>
        </w:tc>
      </w:tr>
      <w:tr w:rsidR="0059701F" w14:paraId="7A21CED3" w14:textId="77777777">
        <w:trPr>
          <w:cantSplit/>
        </w:trPr>
        <w:tc>
          <w:tcPr>
            <w:tcW w:w="3024" w:type="dxa"/>
          </w:tcPr>
          <w:p w14:paraId="0534C86A" w14:textId="77777777" w:rsidR="0059701F"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Prolonged-wet day</w:t>
            </w:r>
          </w:p>
        </w:tc>
        <w:tc>
          <w:tcPr>
            <w:tcW w:w="6336" w:type="dxa"/>
          </w:tcPr>
          <w:p w14:paraId="54F946E6" w14:textId="77777777" w:rsidR="0059701F"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A day belonging to an observed run of at least three consecutive wet days</w:t>
            </w:r>
          </w:p>
        </w:tc>
      </w:tr>
      <w:tr w:rsidR="0059701F" w14:paraId="3A046A6B" w14:textId="77777777">
        <w:trPr>
          <w:cantSplit/>
        </w:trPr>
        <w:tc>
          <w:tcPr>
            <w:tcW w:w="3024" w:type="dxa"/>
          </w:tcPr>
          <w:p w14:paraId="7E087CB8" w14:textId="77777777" w:rsidR="0059701F"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Longest observed wet spell</w:t>
            </w:r>
          </w:p>
        </w:tc>
        <w:tc>
          <w:tcPr>
            <w:tcW w:w="6336" w:type="dxa"/>
          </w:tcPr>
          <w:p w14:paraId="26A599A7" w14:textId="77777777" w:rsidR="0059701F"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Longest observed consecutive wet-day run within the annual or growing-season period</w:t>
            </w:r>
          </w:p>
        </w:tc>
      </w:tr>
    </w:tbl>
    <w:p w14:paraId="5673610A" w14:textId="77777777" w:rsidR="0059701F"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The heat threshold and three-day duration are project screening choices rather than validated crop-damage thresholds. Wet-spell membership is calculated on the complete continuous calendar before filtering by season or year. Every day in a confirmed run is labeled true. Missing precipitation interrupts confirmation; short runs adjoining missing data or dataset boundaries remain unknown when their full duration cannot be established. Runs never bridge missing precipitation. The longest observed wet spell is reported separately from cumulative prolonged-wet-day membership. With missing observations, it is an observed lower bound.</w:t>
      </w:r>
    </w:p>
    <w:p w14:paraId="235E9221" w14:textId="77777777" w:rsidR="0059701F" w:rsidRDefault="00000000">
      <w:pPr>
        <w:spacing w:after="120" w:line="240" w:lineRule="auto"/>
        <w:rPr>
          <w:rFonts w:ascii="Times New Roman" w:hAnsi="Times New Roman" w:cs="Times New Roman"/>
          <w:sz w:val="24"/>
        </w:rPr>
      </w:pPr>
      <w:r>
        <w:rPr>
          <w:rFonts w:ascii="Times New Roman" w:hAnsi="Times New Roman" w:cs="Times New Roman"/>
          <w:b/>
          <w:color w:val="000000"/>
          <w:sz w:val="24"/>
        </w:rPr>
        <w:t>Quality checks</w:t>
      </w:r>
    </w:p>
    <w:p w14:paraId="7E18B920" w14:textId="77777777" w:rsidR="0059701F"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Both five-point groups passed calendar and summary-accounting checks. These covered expected row counts, unique location-date keys, complete calendars, growing-season flags, valid true/false/unknown labels, agreement between daily label counts and summary counts, and agreement between nonmissing values and reported coverage. The pipeline rejects negative precipitation and TMAX below TMIN when both temperatures are available. All three variables had 100% availability in every April-October location-year period. Raw-data checksums were also verified against the staged Git files. These checks support reproducibility and internal consistency; they do not establish the accuracy of gridded estimates against field conditions.</w:t>
      </w:r>
    </w:p>
    <w:p w14:paraId="15830939" w14:textId="77777777" w:rsidR="0059701F" w:rsidRDefault="00000000">
      <w:pPr>
        <w:spacing w:after="120" w:line="240" w:lineRule="auto"/>
        <w:rPr>
          <w:rFonts w:ascii="Times New Roman" w:hAnsi="Times New Roman" w:cs="Times New Roman"/>
          <w:sz w:val="24"/>
        </w:rPr>
      </w:pPr>
      <w:r>
        <w:rPr>
          <w:rFonts w:ascii="Times New Roman" w:hAnsi="Times New Roman" w:cs="Times New Roman"/>
          <w:b/>
          <w:color w:val="000000"/>
          <w:sz w:val="24"/>
        </w:rPr>
        <w:t>Preliminary county sampling-point results</w:t>
      </w:r>
    </w:p>
    <w:p w14:paraId="5F058847" w14:textId="77777777" w:rsidR="0059701F"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Three preliminary figures compare hot-day counts, freezing-day counts, and the longest observed wet spell across county points and years. The table below reports the highest mean year for each count indicator during April-October. Values are simple means across the five county sampling points, not area-weighted county averages or counts of dates when an event occurred at every point.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08"/>
        <w:gridCol w:w="2592"/>
        <w:gridCol w:w="2160"/>
      </w:tblGrid>
      <w:tr w:rsidR="0059701F" w14:paraId="13B86609" w14:textId="77777777">
        <w:trPr>
          <w:cantSplit/>
          <w:tblHeader/>
        </w:trPr>
        <w:tc>
          <w:tcPr>
            <w:tcW w:w="4608" w:type="dxa"/>
          </w:tcPr>
          <w:p w14:paraId="7249EAF3" w14:textId="77777777" w:rsidR="0059701F" w:rsidRDefault="00000000">
            <w:pPr>
              <w:spacing w:after="120" w:line="240" w:lineRule="auto"/>
              <w:rPr>
                <w:rFonts w:ascii="Times New Roman" w:hAnsi="Times New Roman" w:cs="Times New Roman"/>
                <w:sz w:val="24"/>
              </w:rPr>
            </w:pPr>
            <w:r>
              <w:rPr>
                <w:rFonts w:ascii="Times New Roman" w:hAnsi="Times New Roman" w:cs="Times New Roman"/>
                <w:b/>
                <w:color w:val="000000"/>
                <w:sz w:val="24"/>
              </w:rPr>
              <w:t>Indicator</w:t>
            </w:r>
          </w:p>
        </w:tc>
        <w:tc>
          <w:tcPr>
            <w:tcW w:w="2592" w:type="dxa"/>
          </w:tcPr>
          <w:p w14:paraId="18C76058" w14:textId="77777777" w:rsidR="0059701F" w:rsidRDefault="00000000">
            <w:pPr>
              <w:spacing w:after="120" w:line="240" w:lineRule="auto"/>
              <w:rPr>
                <w:rFonts w:ascii="Times New Roman" w:hAnsi="Times New Roman" w:cs="Times New Roman"/>
                <w:sz w:val="24"/>
              </w:rPr>
            </w:pPr>
            <w:r>
              <w:rPr>
                <w:rFonts w:ascii="Times New Roman" w:hAnsi="Times New Roman" w:cs="Times New Roman"/>
                <w:b/>
                <w:color w:val="000000"/>
                <w:sz w:val="24"/>
              </w:rPr>
              <w:t>Highest mean year</w:t>
            </w:r>
          </w:p>
        </w:tc>
        <w:tc>
          <w:tcPr>
            <w:tcW w:w="2160" w:type="dxa"/>
          </w:tcPr>
          <w:p w14:paraId="33C7D162" w14:textId="77777777" w:rsidR="0059701F" w:rsidRDefault="00000000">
            <w:pPr>
              <w:spacing w:after="120" w:line="240" w:lineRule="auto"/>
              <w:rPr>
                <w:rFonts w:ascii="Times New Roman" w:hAnsi="Times New Roman" w:cs="Times New Roman"/>
                <w:sz w:val="24"/>
              </w:rPr>
            </w:pPr>
            <w:r>
              <w:rPr>
                <w:rFonts w:ascii="Times New Roman" w:hAnsi="Times New Roman" w:cs="Times New Roman"/>
                <w:b/>
                <w:color w:val="000000"/>
                <w:sz w:val="24"/>
              </w:rPr>
              <w:t>Mean days</w:t>
            </w:r>
          </w:p>
        </w:tc>
      </w:tr>
      <w:tr w:rsidR="0059701F" w14:paraId="649C3A24" w14:textId="77777777">
        <w:trPr>
          <w:cantSplit/>
        </w:trPr>
        <w:tc>
          <w:tcPr>
            <w:tcW w:w="4608" w:type="dxa"/>
          </w:tcPr>
          <w:p w14:paraId="242F1B0C" w14:textId="77777777" w:rsidR="0059701F"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Freezing days</w:t>
            </w:r>
          </w:p>
        </w:tc>
        <w:tc>
          <w:tcPr>
            <w:tcW w:w="2592" w:type="dxa"/>
          </w:tcPr>
          <w:p w14:paraId="3E2D628B" w14:textId="77777777" w:rsidR="0059701F"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2018</w:t>
            </w:r>
          </w:p>
        </w:tc>
        <w:tc>
          <w:tcPr>
            <w:tcW w:w="2160" w:type="dxa"/>
          </w:tcPr>
          <w:p w14:paraId="6E2A3766" w14:textId="77777777" w:rsidR="0059701F"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43.8</w:t>
            </w:r>
          </w:p>
        </w:tc>
      </w:tr>
      <w:tr w:rsidR="0059701F" w14:paraId="7DCD03C3" w14:textId="77777777">
        <w:trPr>
          <w:cantSplit/>
        </w:trPr>
        <w:tc>
          <w:tcPr>
            <w:tcW w:w="4608" w:type="dxa"/>
          </w:tcPr>
          <w:p w14:paraId="586F5B1B" w14:textId="77777777" w:rsidR="0059701F"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Hot days</w:t>
            </w:r>
          </w:p>
        </w:tc>
        <w:tc>
          <w:tcPr>
            <w:tcW w:w="2592" w:type="dxa"/>
          </w:tcPr>
          <w:p w14:paraId="43070774" w14:textId="77777777" w:rsidR="0059701F"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2012</w:t>
            </w:r>
          </w:p>
        </w:tc>
        <w:tc>
          <w:tcPr>
            <w:tcW w:w="2160" w:type="dxa"/>
          </w:tcPr>
          <w:p w14:paraId="7FB5D583" w14:textId="77777777" w:rsidR="0059701F"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32.2</w:t>
            </w:r>
          </w:p>
        </w:tc>
      </w:tr>
      <w:tr w:rsidR="0059701F" w14:paraId="5C249D1D" w14:textId="77777777">
        <w:trPr>
          <w:cantSplit/>
        </w:trPr>
        <w:tc>
          <w:tcPr>
            <w:tcW w:w="4608" w:type="dxa"/>
          </w:tcPr>
          <w:p w14:paraId="3D1655BD" w14:textId="77777777" w:rsidR="0059701F"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Wet days</w:t>
            </w:r>
          </w:p>
        </w:tc>
        <w:tc>
          <w:tcPr>
            <w:tcW w:w="2592" w:type="dxa"/>
          </w:tcPr>
          <w:p w14:paraId="1CE3FDEB" w14:textId="77777777" w:rsidR="0059701F"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2014</w:t>
            </w:r>
          </w:p>
        </w:tc>
        <w:tc>
          <w:tcPr>
            <w:tcW w:w="2160" w:type="dxa"/>
          </w:tcPr>
          <w:p w14:paraId="7190D412" w14:textId="77777777" w:rsidR="0059701F"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88.2</w:t>
            </w:r>
          </w:p>
        </w:tc>
      </w:tr>
      <w:tr w:rsidR="0059701F" w14:paraId="4F0089D2" w14:textId="77777777">
        <w:trPr>
          <w:cantSplit/>
        </w:trPr>
        <w:tc>
          <w:tcPr>
            <w:tcW w:w="4608" w:type="dxa"/>
          </w:tcPr>
          <w:p w14:paraId="03AC5501" w14:textId="77777777" w:rsidR="0059701F"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Heavy-precipitation days</w:t>
            </w:r>
          </w:p>
        </w:tc>
        <w:tc>
          <w:tcPr>
            <w:tcW w:w="2592" w:type="dxa"/>
          </w:tcPr>
          <w:p w14:paraId="0545B752" w14:textId="77777777" w:rsidR="0059701F"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2019</w:t>
            </w:r>
          </w:p>
        </w:tc>
        <w:tc>
          <w:tcPr>
            <w:tcW w:w="2160" w:type="dxa"/>
          </w:tcPr>
          <w:p w14:paraId="5E9681DB" w14:textId="77777777" w:rsidR="0059701F"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14.4</w:t>
            </w:r>
          </w:p>
        </w:tc>
      </w:tr>
      <w:tr w:rsidR="0059701F" w14:paraId="2454AFFC" w14:textId="77777777">
        <w:trPr>
          <w:cantSplit/>
        </w:trPr>
        <w:tc>
          <w:tcPr>
            <w:tcW w:w="4608" w:type="dxa"/>
          </w:tcPr>
          <w:p w14:paraId="62B42044" w14:textId="77777777" w:rsidR="0059701F"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lastRenderedPageBreak/>
              <w:t>Prolonged-wet-day membership</w:t>
            </w:r>
          </w:p>
        </w:tc>
        <w:tc>
          <w:tcPr>
            <w:tcW w:w="2592" w:type="dxa"/>
          </w:tcPr>
          <w:p w14:paraId="3346CEE2" w14:textId="77777777" w:rsidR="0059701F"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2014</w:t>
            </w:r>
          </w:p>
        </w:tc>
        <w:tc>
          <w:tcPr>
            <w:tcW w:w="2160" w:type="dxa"/>
          </w:tcPr>
          <w:p w14:paraId="3E7B8972" w14:textId="77777777" w:rsidR="0059701F"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47.8</w:t>
            </w:r>
          </w:p>
        </w:tc>
      </w:tr>
    </w:tbl>
    <w:p w14:paraId="5FF01AA8" w14:textId="77777777" w:rsidR="0059701F"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Yearly means are calculated only when all five points have complete labels for the indicator and period. Different peak years show why a single weather measure cannot summarize a growing season. For example, 2014 had the highest mean wet-day count, while 2019 had the highest mean heavy-precipitation count. Rainfall frequency and heavy-event frequency describe different aspects of exposure. The 47.8-day value is cumulative prolonged-wet-day membership, not one continuous spell.</w:t>
      </w:r>
    </w:p>
    <w:p w14:paraId="193B7D25" w14:textId="77777777" w:rsidR="0059701F"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Freezing-day totals also require timing information because April and October freezes may have different agricultural implications. These descriptive results do not establish a long-term trend, statistical significance, or effects on disease, yield, or root quality. Outdoor weather estimates do not directly represent shaded-canopy temperature, leaf wetness, or soil moisture.</w:t>
      </w:r>
    </w:p>
    <w:p w14:paraId="1A3CAD51" w14:textId="77777777" w:rsidR="00DA7546" w:rsidRPr="00DA7546" w:rsidRDefault="00DA7546" w:rsidP="00726BD2">
      <w:pPr>
        <w:spacing w:after="120" w:line="240" w:lineRule="auto"/>
        <w:rPr>
          <w:rFonts w:ascii="Times New Roman" w:hAnsi="Times New Roman" w:cs="Times New Roman"/>
          <w:b/>
          <w:bCs/>
          <w:sz w:val="24"/>
        </w:rPr>
      </w:pPr>
      <w:r w:rsidRPr="00DA7546">
        <w:rPr>
          <w:rFonts w:ascii="Times New Roman" w:hAnsi="Times New Roman" w:cs="Times New Roman"/>
          <w:b/>
          <w:bCs/>
          <w:sz w:val="24"/>
        </w:rPr>
        <w:t>3.2 NOAA Data</w:t>
      </w:r>
    </w:p>
    <w:p w14:paraId="24D1AABC"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b/>
          <w:color w:val="000000"/>
          <w:sz w:val="24"/>
        </w:rPr>
        <w:t>Data source and station screening</w:t>
      </w:r>
    </w:p>
    <w:p w14:paraId="1A8FAB84"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We obtained NOAA GHCN-Daily daily maximum temperature (TMAX), minimum temperature (TMIN), and precipitation (PRCP) for January 1, 2004 through December 31, 2025. Station metadata and variable-specific record years were checked using NOAA station and element inventories. Inventory endpoints indicate listed record years, not continuous daily coverage.</w:t>
      </w:r>
    </w:p>
    <w:p w14:paraId="14B3A9CB"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Candidates were first checked for recent availability of all three required variables. Antigo was excluded from the recent three-variable screen because its temperature records end in 2010. Stratford 1 NW and Wausau WSAW TV lack the required recent temperature records.</w:t>
      </w:r>
    </w:p>
    <w:p w14:paraId="4B85851F"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Daily records for calendar year 2025, the latest complete calendar year at the time of selection, were downloaded for ten candidates across two screening rounds. Coverage was checked for the full year (365 days) and the initial April–October growing season (214 days). A usable daily value was defined as nonmissing and having a blank NOAA quality flag. Checks also included duplicate records, consecutive missing-day gaps, negative precipitation, and daily maximum temperature below daily minimum temperature. Missing values were not filled.</w:t>
      </w:r>
    </w:p>
    <w:p w14:paraId="5C50CED3"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Selection emphasized PRCP completeness because missing precipitation can substantially distort rainy-day counts and the longest consecutive rainy period. Temperature completeness and geographic distribution were also considered. A proposed screening threshold was at least 95% usable growing-season observations for each variable; this was a project screening choice, not a NOAA standard. Blank quality flags and high coverage do not independently establish measurement accuracy.</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04"/>
        <w:gridCol w:w="1224"/>
        <w:gridCol w:w="1224"/>
        <w:gridCol w:w="1224"/>
        <w:gridCol w:w="3096"/>
      </w:tblGrid>
      <w:tr w:rsidR="003547FD" w14:paraId="7034220C" w14:textId="77777777">
        <w:trPr>
          <w:cantSplit/>
          <w:tblHeader/>
        </w:trPr>
        <w:tc>
          <w:tcPr>
            <w:tcW w:w="2304" w:type="dxa"/>
          </w:tcPr>
          <w:p w14:paraId="231B6951"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b/>
                <w:color w:val="000000"/>
                <w:sz w:val="24"/>
              </w:rPr>
              <w:lastRenderedPageBreak/>
              <w:t>Screened station</w:t>
            </w:r>
          </w:p>
        </w:tc>
        <w:tc>
          <w:tcPr>
            <w:tcW w:w="1224" w:type="dxa"/>
          </w:tcPr>
          <w:p w14:paraId="6DA41B25"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b/>
                <w:color w:val="000000"/>
                <w:sz w:val="24"/>
              </w:rPr>
              <w:t>Usable growing-season TMAX</w:t>
            </w:r>
          </w:p>
        </w:tc>
        <w:tc>
          <w:tcPr>
            <w:tcW w:w="1224" w:type="dxa"/>
          </w:tcPr>
          <w:p w14:paraId="4BB248A9"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b/>
                <w:color w:val="000000"/>
                <w:sz w:val="24"/>
              </w:rPr>
              <w:t>Usable growing-season TMIN</w:t>
            </w:r>
          </w:p>
        </w:tc>
        <w:tc>
          <w:tcPr>
            <w:tcW w:w="1224" w:type="dxa"/>
          </w:tcPr>
          <w:p w14:paraId="119A5CBB"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b/>
                <w:color w:val="000000"/>
                <w:sz w:val="24"/>
              </w:rPr>
              <w:t>Usable growing-season PRCP</w:t>
            </w:r>
          </w:p>
        </w:tc>
        <w:tc>
          <w:tcPr>
            <w:tcW w:w="3096" w:type="dxa"/>
          </w:tcPr>
          <w:p w14:paraId="69E42389"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b/>
                <w:color w:val="000000"/>
                <w:sz w:val="24"/>
              </w:rPr>
              <w:t>Selection decision</w:t>
            </w:r>
          </w:p>
        </w:tc>
      </w:tr>
      <w:tr w:rsidR="003547FD" w14:paraId="222DA2E4" w14:textId="77777777">
        <w:trPr>
          <w:cantSplit/>
        </w:trPr>
        <w:tc>
          <w:tcPr>
            <w:tcW w:w="2304" w:type="dxa"/>
          </w:tcPr>
          <w:p w14:paraId="1B0B1A0D"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WAUSAU ASOS</w:t>
            </w:r>
          </w:p>
        </w:tc>
        <w:tc>
          <w:tcPr>
            <w:tcW w:w="1224" w:type="dxa"/>
          </w:tcPr>
          <w:p w14:paraId="13F32996"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214/214</w:t>
            </w:r>
          </w:p>
        </w:tc>
        <w:tc>
          <w:tcPr>
            <w:tcW w:w="1224" w:type="dxa"/>
          </w:tcPr>
          <w:p w14:paraId="728F1031"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214/214</w:t>
            </w:r>
          </w:p>
        </w:tc>
        <w:tc>
          <w:tcPr>
            <w:tcW w:w="1224" w:type="dxa"/>
          </w:tcPr>
          <w:p w14:paraId="756D2A8C"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214/214</w:t>
            </w:r>
          </w:p>
        </w:tc>
        <w:tc>
          <w:tcPr>
            <w:tcW w:w="3096" w:type="dxa"/>
          </w:tcPr>
          <w:p w14:paraId="78063BB6"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Selected</w:t>
            </w:r>
          </w:p>
        </w:tc>
      </w:tr>
      <w:tr w:rsidR="003547FD" w14:paraId="33ABFA2A" w14:textId="77777777">
        <w:trPr>
          <w:cantSplit/>
        </w:trPr>
        <w:tc>
          <w:tcPr>
            <w:tcW w:w="2304" w:type="dxa"/>
          </w:tcPr>
          <w:p w14:paraId="4BCEBC59"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MERRILL</w:t>
            </w:r>
          </w:p>
        </w:tc>
        <w:tc>
          <w:tcPr>
            <w:tcW w:w="1224" w:type="dxa"/>
          </w:tcPr>
          <w:p w14:paraId="551C9306"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214/214</w:t>
            </w:r>
          </w:p>
        </w:tc>
        <w:tc>
          <w:tcPr>
            <w:tcW w:w="1224" w:type="dxa"/>
          </w:tcPr>
          <w:p w14:paraId="44412E36"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214/214</w:t>
            </w:r>
          </w:p>
        </w:tc>
        <w:tc>
          <w:tcPr>
            <w:tcW w:w="1224" w:type="dxa"/>
          </w:tcPr>
          <w:p w14:paraId="1396B013"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214/214</w:t>
            </w:r>
          </w:p>
        </w:tc>
        <w:tc>
          <w:tcPr>
            <w:tcW w:w="3096" w:type="dxa"/>
          </w:tcPr>
          <w:p w14:paraId="16ED964E"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Selected</w:t>
            </w:r>
          </w:p>
        </w:tc>
      </w:tr>
      <w:tr w:rsidR="003547FD" w14:paraId="317D07C2" w14:textId="77777777">
        <w:trPr>
          <w:cantSplit/>
        </w:trPr>
        <w:tc>
          <w:tcPr>
            <w:tcW w:w="2304" w:type="dxa"/>
          </w:tcPr>
          <w:p w14:paraId="67A8F034"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MARSHFIELD EXP FARM</w:t>
            </w:r>
          </w:p>
        </w:tc>
        <w:tc>
          <w:tcPr>
            <w:tcW w:w="1224" w:type="dxa"/>
          </w:tcPr>
          <w:p w14:paraId="5713D7A7"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214/214</w:t>
            </w:r>
          </w:p>
        </w:tc>
        <w:tc>
          <w:tcPr>
            <w:tcW w:w="1224" w:type="dxa"/>
          </w:tcPr>
          <w:p w14:paraId="2F44F690"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214/214</w:t>
            </w:r>
          </w:p>
        </w:tc>
        <w:tc>
          <w:tcPr>
            <w:tcW w:w="1224" w:type="dxa"/>
          </w:tcPr>
          <w:p w14:paraId="03B3C470"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214/214</w:t>
            </w:r>
          </w:p>
        </w:tc>
        <w:tc>
          <w:tcPr>
            <w:tcW w:w="3096" w:type="dxa"/>
          </w:tcPr>
          <w:p w14:paraId="2283B32A"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Selected</w:t>
            </w:r>
          </w:p>
        </w:tc>
      </w:tr>
      <w:tr w:rsidR="003547FD" w14:paraId="5B8D9BC6" w14:textId="77777777">
        <w:trPr>
          <w:cantSplit/>
        </w:trPr>
        <w:tc>
          <w:tcPr>
            <w:tcW w:w="2304" w:type="dxa"/>
          </w:tcPr>
          <w:p w14:paraId="249F6B7B"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STEVENS PT</w:t>
            </w:r>
          </w:p>
        </w:tc>
        <w:tc>
          <w:tcPr>
            <w:tcW w:w="1224" w:type="dxa"/>
          </w:tcPr>
          <w:p w14:paraId="12EB0489"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214/214</w:t>
            </w:r>
          </w:p>
        </w:tc>
        <w:tc>
          <w:tcPr>
            <w:tcW w:w="1224" w:type="dxa"/>
          </w:tcPr>
          <w:p w14:paraId="5D19ADBF"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214/214</w:t>
            </w:r>
          </w:p>
        </w:tc>
        <w:tc>
          <w:tcPr>
            <w:tcW w:w="1224" w:type="dxa"/>
          </w:tcPr>
          <w:p w14:paraId="3D2B5825"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214/214</w:t>
            </w:r>
          </w:p>
        </w:tc>
        <w:tc>
          <w:tcPr>
            <w:tcW w:w="3096" w:type="dxa"/>
          </w:tcPr>
          <w:p w14:paraId="42E16287"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Selected</w:t>
            </w:r>
          </w:p>
        </w:tc>
      </w:tr>
      <w:tr w:rsidR="003547FD" w14:paraId="147F54EF" w14:textId="77777777">
        <w:trPr>
          <w:cantSplit/>
        </w:trPr>
        <w:tc>
          <w:tcPr>
            <w:tcW w:w="2304" w:type="dxa"/>
          </w:tcPr>
          <w:p w14:paraId="629DE6C0"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MARSHFIELD MUNI AP</w:t>
            </w:r>
          </w:p>
        </w:tc>
        <w:tc>
          <w:tcPr>
            <w:tcW w:w="1224" w:type="dxa"/>
          </w:tcPr>
          <w:p w14:paraId="5EAA3C33"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214/214</w:t>
            </w:r>
          </w:p>
        </w:tc>
        <w:tc>
          <w:tcPr>
            <w:tcW w:w="1224" w:type="dxa"/>
          </w:tcPr>
          <w:p w14:paraId="43D4524F"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214/214</w:t>
            </w:r>
          </w:p>
        </w:tc>
        <w:tc>
          <w:tcPr>
            <w:tcW w:w="1224" w:type="dxa"/>
          </w:tcPr>
          <w:p w14:paraId="43667C1D"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213/214</w:t>
            </w:r>
          </w:p>
        </w:tc>
        <w:tc>
          <w:tcPr>
            <w:tcW w:w="3096" w:type="dxa"/>
          </w:tcPr>
          <w:p w14:paraId="4DB42F17"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Selected; one missing precipitation day</w:t>
            </w:r>
          </w:p>
        </w:tc>
      </w:tr>
      <w:tr w:rsidR="003547FD" w14:paraId="06C188DD" w14:textId="77777777">
        <w:trPr>
          <w:cantSplit/>
        </w:trPr>
        <w:tc>
          <w:tcPr>
            <w:tcW w:w="2304" w:type="dxa"/>
          </w:tcPr>
          <w:p w14:paraId="73EA048D"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STOCKBRIDGE-MUNSEE RSVN</w:t>
            </w:r>
          </w:p>
        </w:tc>
        <w:tc>
          <w:tcPr>
            <w:tcW w:w="1224" w:type="dxa"/>
          </w:tcPr>
          <w:p w14:paraId="73BD8A1C"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214/214</w:t>
            </w:r>
          </w:p>
        </w:tc>
        <w:tc>
          <w:tcPr>
            <w:tcW w:w="1224" w:type="dxa"/>
          </w:tcPr>
          <w:p w14:paraId="49683BCC"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214/214</w:t>
            </w:r>
          </w:p>
        </w:tc>
        <w:tc>
          <w:tcPr>
            <w:tcW w:w="1224" w:type="dxa"/>
          </w:tcPr>
          <w:p w14:paraId="3ECAE30B"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206/214</w:t>
            </w:r>
          </w:p>
        </w:tc>
        <w:tc>
          <w:tcPr>
            <w:tcW w:w="3096" w:type="dxa"/>
          </w:tcPr>
          <w:p w14:paraId="0874DFFC"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Initially selected; subsequently removed after the full-period PRCP audit</w:t>
            </w:r>
          </w:p>
        </w:tc>
      </w:tr>
      <w:tr w:rsidR="003547FD" w14:paraId="43944558" w14:textId="77777777">
        <w:trPr>
          <w:cantSplit/>
        </w:trPr>
        <w:tc>
          <w:tcPr>
            <w:tcW w:w="2304" w:type="dxa"/>
          </w:tcPr>
          <w:p w14:paraId="49AC303F"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MEDFORD</w:t>
            </w:r>
          </w:p>
        </w:tc>
        <w:tc>
          <w:tcPr>
            <w:tcW w:w="1224" w:type="dxa"/>
          </w:tcPr>
          <w:p w14:paraId="6DC3AFEF"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120/214</w:t>
            </w:r>
          </w:p>
        </w:tc>
        <w:tc>
          <w:tcPr>
            <w:tcW w:w="1224" w:type="dxa"/>
          </w:tcPr>
          <w:p w14:paraId="074155DE"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119/214</w:t>
            </w:r>
          </w:p>
        </w:tc>
        <w:tc>
          <w:tcPr>
            <w:tcW w:w="1224" w:type="dxa"/>
          </w:tcPr>
          <w:p w14:paraId="7087EACE"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214/214</w:t>
            </w:r>
          </w:p>
        </w:tc>
        <w:tc>
          <w:tcPr>
            <w:tcW w:w="3096" w:type="dxa"/>
          </w:tcPr>
          <w:p w14:paraId="2947D3C7"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Not selected because of substantial temperature gaps</w:t>
            </w:r>
          </w:p>
        </w:tc>
      </w:tr>
      <w:tr w:rsidR="003547FD" w14:paraId="1A9AAA26" w14:textId="77777777">
        <w:trPr>
          <w:cantSplit/>
        </w:trPr>
        <w:tc>
          <w:tcPr>
            <w:tcW w:w="2304" w:type="dxa"/>
          </w:tcPr>
          <w:p w14:paraId="2A3528D2"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ROSHOLT</w:t>
            </w:r>
          </w:p>
        </w:tc>
        <w:tc>
          <w:tcPr>
            <w:tcW w:w="1224" w:type="dxa"/>
          </w:tcPr>
          <w:p w14:paraId="546BD0B0"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203/214</w:t>
            </w:r>
          </w:p>
        </w:tc>
        <w:tc>
          <w:tcPr>
            <w:tcW w:w="1224" w:type="dxa"/>
          </w:tcPr>
          <w:p w14:paraId="4731C5F4"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204/214</w:t>
            </w:r>
          </w:p>
        </w:tc>
        <w:tc>
          <w:tcPr>
            <w:tcW w:w="1224" w:type="dxa"/>
          </w:tcPr>
          <w:p w14:paraId="5B840F8F"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201/214</w:t>
            </w:r>
          </w:p>
        </w:tc>
        <w:tc>
          <w:tcPr>
            <w:tcW w:w="3096" w:type="dxa"/>
          </w:tcPr>
          <w:p w14:paraId="7455CCB1"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Not selected because of missing observations, particularly PRCP</w:t>
            </w:r>
          </w:p>
        </w:tc>
      </w:tr>
      <w:tr w:rsidR="003547FD" w14:paraId="74A58980" w14:textId="77777777">
        <w:trPr>
          <w:cantSplit/>
        </w:trPr>
        <w:tc>
          <w:tcPr>
            <w:tcW w:w="2304" w:type="dxa"/>
          </w:tcPr>
          <w:p w14:paraId="3A7E336B"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OWEN 1E</w:t>
            </w:r>
          </w:p>
        </w:tc>
        <w:tc>
          <w:tcPr>
            <w:tcW w:w="1224" w:type="dxa"/>
          </w:tcPr>
          <w:p w14:paraId="168771E1"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194/214</w:t>
            </w:r>
          </w:p>
        </w:tc>
        <w:tc>
          <w:tcPr>
            <w:tcW w:w="1224" w:type="dxa"/>
          </w:tcPr>
          <w:p w14:paraId="65288EB1"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205/214</w:t>
            </w:r>
          </w:p>
        </w:tc>
        <w:tc>
          <w:tcPr>
            <w:tcW w:w="1224" w:type="dxa"/>
          </w:tcPr>
          <w:p w14:paraId="5FF700DA"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196/214</w:t>
            </w:r>
          </w:p>
        </w:tc>
        <w:tc>
          <w:tcPr>
            <w:tcW w:w="3096" w:type="dxa"/>
          </w:tcPr>
          <w:p w14:paraId="21E8A242"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Not selected because of temperature and precipitation gaps</w:t>
            </w:r>
          </w:p>
        </w:tc>
      </w:tr>
      <w:tr w:rsidR="003547FD" w14:paraId="39160578" w14:textId="77777777">
        <w:trPr>
          <w:cantSplit/>
        </w:trPr>
        <w:tc>
          <w:tcPr>
            <w:tcW w:w="2304" w:type="dxa"/>
          </w:tcPr>
          <w:p w14:paraId="0D98F74D"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NEILLSVILLE 3ESE</w:t>
            </w:r>
          </w:p>
        </w:tc>
        <w:tc>
          <w:tcPr>
            <w:tcW w:w="1224" w:type="dxa"/>
          </w:tcPr>
          <w:p w14:paraId="40540BEE"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214/214</w:t>
            </w:r>
          </w:p>
        </w:tc>
        <w:tc>
          <w:tcPr>
            <w:tcW w:w="1224" w:type="dxa"/>
          </w:tcPr>
          <w:p w14:paraId="735A83D2"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214/214</w:t>
            </w:r>
          </w:p>
        </w:tc>
        <w:tc>
          <w:tcPr>
            <w:tcW w:w="1224" w:type="dxa"/>
          </w:tcPr>
          <w:p w14:paraId="728011BD"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193/214</w:t>
            </w:r>
          </w:p>
        </w:tc>
        <w:tc>
          <w:tcPr>
            <w:tcW w:w="3096" w:type="dxa"/>
          </w:tcPr>
          <w:p w14:paraId="363562A4"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Not selected because of precipitation gaps</w:t>
            </w:r>
          </w:p>
        </w:tc>
      </w:tr>
    </w:tbl>
    <w:p w14:paraId="1CDCA8E8"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Stockbridge-Munsee initially met the proposed screening threshold, with 96.26% usable growing-season PRCP in 2025. However, the 2004–2025 audit found that its PRCP coverage reached 95% in only one growing season (2025); its temperature variables each passed in 19 growing seasons. It was therefore removed from the final selection and raw delivery. Its candidate metadata and initial screening results remain above as selection history. Missing days must not be treated as dry days or automatically bridged in rainfall-spell calculations.</w:t>
      </w:r>
    </w:p>
    <w:p w14:paraId="58489DBA"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b/>
          <w:color w:val="000000"/>
          <w:sz w:val="24"/>
        </w:rPr>
        <w:t>Final station set and historical coverage</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72"/>
        <w:gridCol w:w="2448"/>
        <w:gridCol w:w="1080"/>
        <w:gridCol w:w="1224"/>
        <w:gridCol w:w="2448"/>
      </w:tblGrid>
      <w:tr w:rsidR="003547FD" w14:paraId="7E37B02C" w14:textId="77777777">
        <w:trPr>
          <w:cantSplit/>
          <w:tblHeader/>
        </w:trPr>
        <w:tc>
          <w:tcPr>
            <w:tcW w:w="1872" w:type="dxa"/>
          </w:tcPr>
          <w:p w14:paraId="74D7D36A"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b/>
                <w:color w:val="000000"/>
                <w:sz w:val="24"/>
              </w:rPr>
              <w:t>Station ID</w:t>
            </w:r>
          </w:p>
        </w:tc>
        <w:tc>
          <w:tcPr>
            <w:tcW w:w="2448" w:type="dxa"/>
          </w:tcPr>
          <w:p w14:paraId="16D68A76"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b/>
                <w:color w:val="000000"/>
                <w:sz w:val="24"/>
              </w:rPr>
              <w:t>NOAA name</w:t>
            </w:r>
          </w:p>
        </w:tc>
        <w:tc>
          <w:tcPr>
            <w:tcW w:w="1080" w:type="dxa"/>
          </w:tcPr>
          <w:p w14:paraId="3F8A9B92"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b/>
                <w:color w:val="000000"/>
                <w:sz w:val="24"/>
              </w:rPr>
              <w:t>Latitude</w:t>
            </w:r>
          </w:p>
        </w:tc>
        <w:tc>
          <w:tcPr>
            <w:tcW w:w="1224" w:type="dxa"/>
          </w:tcPr>
          <w:p w14:paraId="437F0D8D"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b/>
                <w:color w:val="000000"/>
                <w:sz w:val="24"/>
              </w:rPr>
              <w:t>Longitude</w:t>
            </w:r>
          </w:p>
        </w:tc>
        <w:tc>
          <w:tcPr>
            <w:tcW w:w="2448" w:type="dxa"/>
          </w:tcPr>
          <w:p w14:paraId="7C37A812"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b/>
                <w:color w:val="000000"/>
                <w:sz w:val="24"/>
              </w:rPr>
              <w:t>Geographic role</w:t>
            </w:r>
          </w:p>
        </w:tc>
      </w:tr>
      <w:tr w:rsidR="003547FD" w14:paraId="00B42C35" w14:textId="77777777">
        <w:trPr>
          <w:cantSplit/>
        </w:trPr>
        <w:tc>
          <w:tcPr>
            <w:tcW w:w="1872" w:type="dxa"/>
          </w:tcPr>
          <w:p w14:paraId="396E8F15"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USW00014897</w:t>
            </w:r>
          </w:p>
        </w:tc>
        <w:tc>
          <w:tcPr>
            <w:tcW w:w="2448" w:type="dxa"/>
          </w:tcPr>
          <w:p w14:paraId="6173DF49"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WAUSAU ASOS</w:t>
            </w:r>
          </w:p>
        </w:tc>
        <w:tc>
          <w:tcPr>
            <w:tcW w:w="1080" w:type="dxa"/>
          </w:tcPr>
          <w:p w14:paraId="3549D860"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44.9275</w:t>
            </w:r>
          </w:p>
        </w:tc>
        <w:tc>
          <w:tcPr>
            <w:tcW w:w="1224" w:type="dxa"/>
          </w:tcPr>
          <w:p w14:paraId="6CFEA115"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-89.6253</w:t>
            </w:r>
          </w:p>
        </w:tc>
        <w:tc>
          <w:tcPr>
            <w:tcW w:w="2448" w:type="dxa"/>
          </w:tcPr>
          <w:p w14:paraId="7F768408"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Central and local reference</w:t>
            </w:r>
          </w:p>
        </w:tc>
      </w:tr>
      <w:tr w:rsidR="003547FD" w14:paraId="2A0C3376" w14:textId="77777777">
        <w:trPr>
          <w:cantSplit/>
        </w:trPr>
        <w:tc>
          <w:tcPr>
            <w:tcW w:w="1872" w:type="dxa"/>
          </w:tcPr>
          <w:p w14:paraId="1B10A621"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USC00475364</w:t>
            </w:r>
          </w:p>
        </w:tc>
        <w:tc>
          <w:tcPr>
            <w:tcW w:w="2448" w:type="dxa"/>
          </w:tcPr>
          <w:p w14:paraId="68C1EE4B"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MERRILL</w:t>
            </w:r>
          </w:p>
        </w:tc>
        <w:tc>
          <w:tcPr>
            <w:tcW w:w="1080" w:type="dxa"/>
          </w:tcPr>
          <w:p w14:paraId="72DFA253"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45.1786</w:t>
            </w:r>
          </w:p>
        </w:tc>
        <w:tc>
          <w:tcPr>
            <w:tcW w:w="1224" w:type="dxa"/>
          </w:tcPr>
          <w:p w14:paraId="0863420B"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-89.6617</w:t>
            </w:r>
          </w:p>
        </w:tc>
        <w:tc>
          <w:tcPr>
            <w:tcW w:w="2448" w:type="dxa"/>
          </w:tcPr>
          <w:p w14:paraId="62E94515"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Northern reference</w:t>
            </w:r>
          </w:p>
        </w:tc>
      </w:tr>
      <w:tr w:rsidR="003547FD" w14:paraId="4994AC2C" w14:textId="77777777">
        <w:trPr>
          <w:cantSplit/>
        </w:trPr>
        <w:tc>
          <w:tcPr>
            <w:tcW w:w="1872" w:type="dxa"/>
          </w:tcPr>
          <w:p w14:paraId="311F00DF"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lastRenderedPageBreak/>
              <w:t>USC00475120</w:t>
            </w:r>
          </w:p>
        </w:tc>
        <w:tc>
          <w:tcPr>
            <w:tcW w:w="2448" w:type="dxa"/>
          </w:tcPr>
          <w:p w14:paraId="0D713E09"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MARSHFIELD EXP FARM</w:t>
            </w:r>
          </w:p>
        </w:tc>
        <w:tc>
          <w:tcPr>
            <w:tcW w:w="1080" w:type="dxa"/>
          </w:tcPr>
          <w:p w14:paraId="4C659CA3"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44.6411</w:t>
            </w:r>
          </w:p>
        </w:tc>
        <w:tc>
          <w:tcPr>
            <w:tcW w:w="1224" w:type="dxa"/>
          </w:tcPr>
          <w:p w14:paraId="7136E9FC"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-90.1333</w:t>
            </w:r>
          </w:p>
        </w:tc>
        <w:tc>
          <w:tcPr>
            <w:tcW w:w="2448" w:type="dxa"/>
          </w:tcPr>
          <w:p w14:paraId="62BB6168"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Southwestern reference</w:t>
            </w:r>
          </w:p>
        </w:tc>
      </w:tr>
      <w:tr w:rsidR="003547FD" w14:paraId="27B792D9" w14:textId="77777777">
        <w:trPr>
          <w:cantSplit/>
        </w:trPr>
        <w:tc>
          <w:tcPr>
            <w:tcW w:w="1872" w:type="dxa"/>
          </w:tcPr>
          <w:p w14:paraId="679DE235"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USC00478171</w:t>
            </w:r>
          </w:p>
        </w:tc>
        <w:tc>
          <w:tcPr>
            <w:tcW w:w="2448" w:type="dxa"/>
          </w:tcPr>
          <w:p w14:paraId="2EFBFD5F"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STEVENS PT</w:t>
            </w:r>
          </w:p>
        </w:tc>
        <w:tc>
          <w:tcPr>
            <w:tcW w:w="1080" w:type="dxa"/>
          </w:tcPr>
          <w:p w14:paraId="1433F17E"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44.5114</w:t>
            </w:r>
          </w:p>
        </w:tc>
        <w:tc>
          <w:tcPr>
            <w:tcW w:w="1224" w:type="dxa"/>
          </w:tcPr>
          <w:p w14:paraId="27C4294B"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-89.5853</w:t>
            </w:r>
          </w:p>
        </w:tc>
        <w:tc>
          <w:tcPr>
            <w:tcW w:w="2448" w:type="dxa"/>
          </w:tcPr>
          <w:p w14:paraId="2B70F6C4"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Southern reference</w:t>
            </w:r>
          </w:p>
        </w:tc>
      </w:tr>
      <w:tr w:rsidR="003547FD" w14:paraId="07A6AFAD" w14:textId="77777777">
        <w:trPr>
          <w:cantSplit/>
        </w:trPr>
        <w:tc>
          <w:tcPr>
            <w:tcW w:w="1872" w:type="dxa"/>
          </w:tcPr>
          <w:p w14:paraId="488959E9"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USW00094985</w:t>
            </w:r>
          </w:p>
        </w:tc>
        <w:tc>
          <w:tcPr>
            <w:tcW w:w="2448" w:type="dxa"/>
          </w:tcPr>
          <w:p w14:paraId="584B19A2"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MARSHFIELD MUNI AP</w:t>
            </w:r>
          </w:p>
        </w:tc>
        <w:tc>
          <w:tcPr>
            <w:tcW w:w="1080" w:type="dxa"/>
          </w:tcPr>
          <w:p w14:paraId="54233B76"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44.6378</w:t>
            </w:r>
          </w:p>
        </w:tc>
        <w:tc>
          <w:tcPr>
            <w:tcW w:w="1224" w:type="dxa"/>
          </w:tcPr>
          <w:p w14:paraId="66ACEF03"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-90.1875</w:t>
            </w:r>
          </w:p>
        </w:tc>
        <w:tc>
          <w:tcPr>
            <w:tcW w:w="2448" w:type="dxa"/>
          </w:tcPr>
          <w:p w14:paraId="135A3B6E"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Additional southwestern reference</w:t>
            </w:r>
          </w:p>
        </w:tc>
      </w:tr>
    </w:tbl>
    <w:p w14:paraId="20AE229E"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The two Marshfield stations are approximately 4.3 km apart, so the five stations must not be treated as independent spatial samples. Removing Stockbridge-Munsee reduces eastern coverage. NOAA stations provide observations for comparison with Daymet and are separate from the project's planned 5–10 county sampling points.</w:t>
      </w:r>
    </w:p>
    <w:p w14:paraId="5372C5AA"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The full-period audit verified that all five retained stations meet the 95% usable-day threshold for TMAX, TMIN, and PRCP in every April–October growing season from 2004 through 2025. All 22 growing seasons therefore pass this initial coverage criterion; no arbitrary reduction to 20 years is required. This does not mean that all observations are present: only five years (2008, 2012, 2013, 2015, and 2017) have fully observed, unflagged growing-season data for all three variables across all five stations. Indicator-specific gap treatment remains necessary.</w:t>
      </w:r>
    </w:p>
    <w:p w14:paraId="7515E26C"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For full calendar years, only 18 years meet the same 95% threshold simultaneously across all five stations. Annual and growing-season suitability must therefore be distinguished. The threshold is a project screening criterion, not proof of measurement accuracy or reliable rainfall-spell estimates across gaps.</w:t>
      </w:r>
    </w:p>
    <w:p w14:paraId="639C3701"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The five raw station files preserve original NOAA monthly lines, native units, missing-value codes, flags, and all available elements. Only the 2004-2025 year filter was applied. The delivery includes the official format documentation and a download manifest with source URLs and SHA-256 checksums. Raw files remain unchanged during cleaning.</w:t>
      </w:r>
    </w:p>
    <w:p w14:paraId="7AF6FF3F"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b/>
          <w:color w:val="000000"/>
          <w:sz w:val="24"/>
        </w:rPr>
        <w:t>Cleaning and missing-value handling</w:t>
      </w:r>
    </w:p>
    <w:p w14:paraId="70AB0494"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daily_weather.csv contains one row per station and date: station ID and name, latitude, longitude, calendar date, temperatures in degrees Celsius, precipitation in millimeters, the growing-season flag, original raw integer values, NOAA flags, variable-specific processing status, and weather labels. All 40,180 station-days are retained, including leap days and dates without usable observations. is_growing_season is true for April through October. Weather labels are computed throughout the year, independently of this season flag.</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456"/>
        <w:gridCol w:w="5760"/>
      </w:tblGrid>
      <w:tr w:rsidR="003547FD" w14:paraId="29799E06" w14:textId="77777777">
        <w:trPr>
          <w:cantSplit/>
          <w:tblHeader/>
        </w:trPr>
        <w:tc>
          <w:tcPr>
            <w:tcW w:w="3456" w:type="dxa"/>
          </w:tcPr>
          <w:p w14:paraId="6BDB82CC"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b/>
                <w:color w:val="000000"/>
                <w:sz w:val="24"/>
              </w:rPr>
              <w:t>Condition</w:t>
            </w:r>
          </w:p>
        </w:tc>
        <w:tc>
          <w:tcPr>
            <w:tcW w:w="5760" w:type="dxa"/>
          </w:tcPr>
          <w:p w14:paraId="5F35AEA3"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b/>
                <w:color w:val="000000"/>
                <w:sz w:val="24"/>
              </w:rPr>
              <w:t>Analysis treatment</w:t>
            </w:r>
          </w:p>
        </w:tc>
      </w:tr>
      <w:tr w:rsidR="003547FD" w14:paraId="74F37617" w14:textId="77777777">
        <w:trPr>
          <w:cantSplit/>
        </w:trPr>
        <w:tc>
          <w:tcPr>
            <w:tcW w:w="3456" w:type="dxa"/>
          </w:tcPr>
          <w:p w14:paraId="39B01ADB"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Native units</w:t>
            </w:r>
          </w:p>
        </w:tc>
        <w:tc>
          <w:tcPr>
            <w:tcW w:w="5760" w:type="dxa"/>
          </w:tcPr>
          <w:p w14:paraId="340312C2"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Divide TMAX, TMIN, and PRCP by ten to obtain degrees Celsius and millimeters</w:t>
            </w:r>
          </w:p>
        </w:tc>
      </w:tr>
      <w:tr w:rsidR="003547FD" w14:paraId="1A3EC272" w14:textId="77777777">
        <w:trPr>
          <w:cantSplit/>
        </w:trPr>
        <w:tc>
          <w:tcPr>
            <w:tcW w:w="3456" w:type="dxa"/>
          </w:tcPr>
          <w:p w14:paraId="3B06337C"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Raw -9999 or absent observation</w:t>
            </w:r>
          </w:p>
        </w:tc>
        <w:tc>
          <w:tcPr>
            <w:tcW w:w="5760" w:type="dxa"/>
          </w:tcPr>
          <w:p w14:paraId="77F201DF"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Leave the corresponding analysis value empty</w:t>
            </w:r>
          </w:p>
        </w:tc>
      </w:tr>
      <w:tr w:rsidR="003547FD" w14:paraId="5DBFD0FE" w14:textId="77777777">
        <w:trPr>
          <w:cantSplit/>
        </w:trPr>
        <w:tc>
          <w:tcPr>
            <w:tcW w:w="3456" w:type="dxa"/>
          </w:tcPr>
          <w:p w14:paraId="74B661C2"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lastRenderedPageBreak/>
              <w:t>Nonblank QFLAG</w:t>
            </w:r>
          </w:p>
        </w:tc>
        <w:tc>
          <w:tcPr>
            <w:tcW w:w="5760" w:type="dxa"/>
          </w:tcPr>
          <w:p w14:paraId="13D14139"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Exclude the affected variable while retaining original values and flags</w:t>
            </w:r>
          </w:p>
        </w:tc>
      </w:tr>
      <w:tr w:rsidR="003547FD" w14:paraId="295B9FF2" w14:textId="77777777">
        <w:trPr>
          <w:cantSplit/>
        </w:trPr>
        <w:tc>
          <w:tcPr>
            <w:tcW w:w="3456" w:type="dxa"/>
          </w:tcPr>
          <w:p w14:paraId="22C17D56"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Negative precipitation</w:t>
            </w:r>
          </w:p>
        </w:tc>
        <w:tc>
          <w:tcPr>
            <w:tcW w:w="5760" w:type="dxa"/>
          </w:tcPr>
          <w:p w14:paraId="73F216A5"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Exclude PRCP and record the processing status</w:t>
            </w:r>
          </w:p>
        </w:tc>
      </w:tr>
      <w:tr w:rsidR="003547FD" w14:paraId="260A8AD5" w14:textId="77777777">
        <w:trPr>
          <w:cantSplit/>
        </w:trPr>
        <w:tc>
          <w:tcPr>
            <w:tcW w:w="3456" w:type="dxa"/>
          </w:tcPr>
          <w:p w14:paraId="3B13BEE3"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Otherwise usable TMAX below TMIN</w:t>
            </w:r>
          </w:p>
        </w:tc>
        <w:tc>
          <w:tcPr>
            <w:tcW w:w="5760" w:type="dxa"/>
          </w:tcPr>
          <w:p w14:paraId="7F8ED83D"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Exclude both temperature values and record the status</w:t>
            </w:r>
          </w:p>
        </w:tc>
      </w:tr>
      <w:tr w:rsidR="003547FD" w14:paraId="05B70BDD" w14:textId="77777777">
        <w:trPr>
          <w:cantSplit/>
        </w:trPr>
        <w:tc>
          <w:tcPr>
            <w:tcW w:w="3456" w:type="dxa"/>
          </w:tcPr>
          <w:p w14:paraId="7D7CCBCA"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PRCP measurement flags A or P</w:t>
            </w:r>
          </w:p>
        </w:tc>
        <w:tc>
          <w:tcPr>
            <w:tcW w:w="5760" w:type="dxa"/>
          </w:tcPr>
          <w:p w14:paraId="37A3105A"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Exclude accumulated or presumed-zero precipitation from daily analysis</w:t>
            </w:r>
          </w:p>
        </w:tc>
      </w:tr>
      <w:tr w:rsidR="003547FD" w14:paraId="21A77C18" w14:textId="77777777">
        <w:trPr>
          <w:cantSplit/>
        </w:trPr>
        <w:tc>
          <w:tcPr>
            <w:tcW w:w="3456" w:type="dxa"/>
          </w:tcPr>
          <w:p w14:paraId="5A4ED57B"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Trace precipitation, T flag</w:t>
            </w:r>
          </w:p>
        </w:tc>
        <w:tc>
          <w:tcPr>
            <w:tcW w:w="5760" w:type="dxa"/>
          </w:tcPr>
          <w:p w14:paraId="1D60B25E"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Retain the recorded zero and trace flag</w:t>
            </w:r>
          </w:p>
        </w:tc>
      </w:tr>
      <w:tr w:rsidR="003547FD" w14:paraId="1256E4A4" w14:textId="77777777">
        <w:trPr>
          <w:cantSplit/>
        </w:trPr>
        <w:tc>
          <w:tcPr>
            <w:tcW w:w="3456" w:type="dxa"/>
          </w:tcPr>
          <w:p w14:paraId="3150642F"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Other measurement and source flags</w:t>
            </w:r>
          </w:p>
        </w:tc>
        <w:tc>
          <w:tcPr>
            <w:tcW w:w="5760" w:type="dxa"/>
          </w:tcPr>
          <w:p w14:paraId="74203324"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Preserve without automatic exclusion</w:t>
            </w:r>
          </w:p>
        </w:tc>
      </w:tr>
      <w:tr w:rsidR="003547FD" w14:paraId="57AE8E37" w14:textId="77777777">
        <w:trPr>
          <w:cantSplit/>
        </w:trPr>
        <w:tc>
          <w:tcPr>
            <w:tcW w:w="3456" w:type="dxa"/>
          </w:tcPr>
          <w:p w14:paraId="2A8E2519"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Missing observations</w:t>
            </w:r>
          </w:p>
        </w:tc>
        <w:tc>
          <w:tcPr>
            <w:tcW w:w="5760" w:type="dxa"/>
          </w:tcPr>
          <w:p w14:paraId="2A31E86E"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No interpolation or imputation; exclusion of one variable does not remove other variables on the same date</w:t>
            </w:r>
          </w:p>
        </w:tc>
      </w:tr>
    </w:tbl>
    <w:p w14:paraId="5E92AE0B"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CSV boolean cells contain lowercase true or false. Empty label cells mean unknown, not false. Downstream readers should explicitly preserve this distinction when importing the CSV. Empty weather-value cells mean missing or excluded, with the reason recorded in the corresponding status column.</w:t>
      </w:r>
    </w:p>
    <w:p w14:paraId="3C2BC293"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b/>
          <w:color w:val="000000"/>
          <w:sz w:val="24"/>
        </w:rPr>
        <w:t>Weather labels and wet-spell calculations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60"/>
        <w:gridCol w:w="3744"/>
        <w:gridCol w:w="3312"/>
      </w:tblGrid>
      <w:tr w:rsidR="003547FD" w14:paraId="72BEC115" w14:textId="77777777">
        <w:trPr>
          <w:cantSplit/>
          <w:tblHeader/>
        </w:trPr>
        <w:tc>
          <w:tcPr>
            <w:tcW w:w="2160" w:type="dxa"/>
          </w:tcPr>
          <w:p w14:paraId="75D44E6D"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b/>
                <w:color w:val="000000"/>
                <w:sz w:val="24"/>
              </w:rPr>
              <w:t>Field</w:t>
            </w:r>
          </w:p>
        </w:tc>
        <w:tc>
          <w:tcPr>
            <w:tcW w:w="3744" w:type="dxa"/>
          </w:tcPr>
          <w:p w14:paraId="6CD1A14F"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b/>
                <w:color w:val="000000"/>
                <w:sz w:val="24"/>
              </w:rPr>
              <w:t>Operational definition</w:t>
            </w:r>
          </w:p>
        </w:tc>
        <w:tc>
          <w:tcPr>
            <w:tcW w:w="3312" w:type="dxa"/>
          </w:tcPr>
          <w:p w14:paraId="41263B53"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b/>
                <w:color w:val="000000"/>
                <w:sz w:val="24"/>
              </w:rPr>
              <w:t>Basis</w:t>
            </w:r>
          </w:p>
        </w:tc>
      </w:tr>
      <w:tr w:rsidR="003547FD" w14:paraId="219F37B3" w14:textId="77777777">
        <w:trPr>
          <w:cantSplit/>
        </w:trPr>
        <w:tc>
          <w:tcPr>
            <w:tcW w:w="2160" w:type="dxa"/>
          </w:tcPr>
          <w:p w14:paraId="1B022BFB"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is_freezing_day</w:t>
            </w:r>
          </w:p>
        </w:tc>
        <w:tc>
          <w:tcPr>
            <w:tcW w:w="3744" w:type="dxa"/>
          </w:tcPr>
          <w:p w14:paraId="3D5DFEA5"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TMIN &lt; 0 degrees Celsius</w:t>
            </w:r>
          </w:p>
        </w:tc>
        <w:tc>
          <w:tcPr>
            <w:tcW w:w="3312" w:type="dxa"/>
          </w:tcPr>
          <w:p w14:paraId="59FEDE33"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Meteorological freezing exposure; consistent with the project proposal</w:t>
            </w:r>
          </w:p>
        </w:tc>
      </w:tr>
      <w:tr w:rsidR="003547FD" w14:paraId="53BEBE83" w14:textId="77777777">
        <w:trPr>
          <w:cantSplit/>
        </w:trPr>
        <w:tc>
          <w:tcPr>
            <w:tcW w:w="2160" w:type="dxa"/>
          </w:tcPr>
          <w:p w14:paraId="74289A74"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is_hot_day</w:t>
            </w:r>
          </w:p>
        </w:tc>
        <w:tc>
          <w:tcPr>
            <w:tcW w:w="3744" w:type="dxa"/>
          </w:tcPr>
          <w:p w14:paraId="54BA3878"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TMAX &gt;= 30 degrees Celsius</w:t>
            </w:r>
          </w:p>
        </w:tc>
        <w:tc>
          <w:tcPr>
            <w:tcW w:w="3312" w:type="dxa"/>
          </w:tcPr>
          <w:p w14:paraId="071535D4"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Initial configurable project screening threshold; not a numerical crop-damage threshold established by the cited planting guides</w:t>
            </w:r>
          </w:p>
        </w:tc>
      </w:tr>
      <w:tr w:rsidR="003547FD" w14:paraId="3683CE4A" w14:textId="77777777">
        <w:trPr>
          <w:cantSplit/>
        </w:trPr>
        <w:tc>
          <w:tcPr>
            <w:tcW w:w="2160" w:type="dxa"/>
          </w:tcPr>
          <w:p w14:paraId="579F7FC8"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is_wet_day</w:t>
            </w:r>
          </w:p>
        </w:tc>
        <w:tc>
          <w:tcPr>
            <w:tcW w:w="3744" w:type="dxa"/>
          </w:tcPr>
          <w:p w14:paraId="1CF5ED7B"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PRCP &gt;= 1 mm</w:t>
            </w:r>
          </w:p>
        </w:tc>
        <w:tc>
          <w:tcPr>
            <w:tcW w:w="3312" w:type="dxa"/>
          </w:tcPr>
          <w:p w14:paraId="21A448A6"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Climdex wet-day convention</w:t>
            </w:r>
          </w:p>
        </w:tc>
      </w:tr>
      <w:tr w:rsidR="003547FD" w14:paraId="249DE11F" w14:textId="77777777">
        <w:trPr>
          <w:cantSplit/>
        </w:trPr>
        <w:tc>
          <w:tcPr>
            <w:tcW w:w="2160" w:type="dxa"/>
          </w:tcPr>
          <w:p w14:paraId="798DB962"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is_heavy_precip_day</w:t>
            </w:r>
          </w:p>
        </w:tc>
        <w:tc>
          <w:tcPr>
            <w:tcW w:w="3744" w:type="dxa"/>
          </w:tcPr>
          <w:p w14:paraId="4D0DCFE6"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PRCP &gt;= 20 mm</w:t>
            </w:r>
          </w:p>
        </w:tc>
        <w:tc>
          <w:tcPr>
            <w:tcW w:w="3312" w:type="dxa"/>
          </w:tcPr>
          <w:p w14:paraId="25ED8897"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Climdex R20mm precipitation convention</w:t>
            </w:r>
          </w:p>
        </w:tc>
      </w:tr>
      <w:tr w:rsidR="003547FD" w14:paraId="5F7E5545" w14:textId="77777777">
        <w:trPr>
          <w:cantSplit/>
        </w:trPr>
        <w:tc>
          <w:tcPr>
            <w:tcW w:w="2160" w:type="dxa"/>
          </w:tcPr>
          <w:p w14:paraId="57D23B0D"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is_prolonged_wet_day</w:t>
            </w:r>
          </w:p>
        </w:tc>
        <w:tc>
          <w:tcPr>
            <w:tcW w:w="3744" w:type="dxa"/>
          </w:tcPr>
          <w:p w14:paraId="373044EE"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A day belonging to an observed run of at least three consecutive wet days</w:t>
            </w:r>
          </w:p>
        </w:tc>
        <w:tc>
          <w:tcPr>
            <w:tcW w:w="3312" w:type="dxa"/>
          </w:tcPr>
          <w:p w14:paraId="51D124D1"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Configurable project duration choice using the wet-day definition</w:t>
            </w:r>
          </w:p>
        </w:tc>
      </w:tr>
    </w:tbl>
    <w:p w14:paraId="0C9A0EC3"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 xml:space="preserve">Every date in a confirmed wet run of at least three days is marked true, including the first two days retrospectively. Runs are computed on the full continuous station calendar, across month, season, and year boundaries. Known dry days are false. Missing precipitation days are unknown. A short wet run touching a missing day or the dataset boundary is also unknown because its full duration cannot be established; </w:t>
      </w:r>
      <w:r>
        <w:rPr>
          <w:rFonts w:ascii="Times New Roman" w:hAnsi="Times New Roman" w:cs="Times New Roman"/>
          <w:color w:val="000000"/>
          <w:sz w:val="24"/>
        </w:rPr>
        <w:lastRenderedPageBreak/>
        <w:t>short runs bounded by observed dry days are false. Confirmed runs of three or more observed wet days are true even if a missing neighbor leaves their full extent uncertain. Unknown days are never bridged or converted to dry days.</w:t>
      </w:r>
    </w:p>
    <w:p w14:paraId="0D350863"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b/>
          <w:color w:val="000000"/>
          <w:sz w:val="24"/>
        </w:rPr>
        <w:t>Outputs and verification</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24"/>
        <w:gridCol w:w="6192"/>
      </w:tblGrid>
      <w:tr w:rsidR="003547FD" w14:paraId="41EDEF9B" w14:textId="77777777">
        <w:trPr>
          <w:cantSplit/>
          <w:tblHeader/>
        </w:trPr>
        <w:tc>
          <w:tcPr>
            <w:tcW w:w="3024" w:type="dxa"/>
          </w:tcPr>
          <w:p w14:paraId="468F849F"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b/>
                <w:color w:val="000000"/>
                <w:sz w:val="24"/>
              </w:rPr>
              <w:t>Output</w:t>
            </w:r>
          </w:p>
        </w:tc>
        <w:tc>
          <w:tcPr>
            <w:tcW w:w="6192" w:type="dxa"/>
          </w:tcPr>
          <w:p w14:paraId="0ADFAC9E"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b/>
                <w:color w:val="000000"/>
                <w:sz w:val="24"/>
              </w:rPr>
              <w:t>Contents</w:t>
            </w:r>
          </w:p>
        </w:tc>
      </w:tr>
      <w:tr w:rsidR="003547FD" w14:paraId="3987DEAB" w14:textId="77777777">
        <w:trPr>
          <w:cantSplit/>
        </w:trPr>
        <w:tc>
          <w:tcPr>
            <w:tcW w:w="3024" w:type="dxa"/>
          </w:tcPr>
          <w:p w14:paraId="600DEEB7"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daily_weather.csv</w:t>
            </w:r>
          </w:p>
        </w:tc>
        <w:tc>
          <w:tcPr>
            <w:tcW w:w="6192" w:type="dxa"/>
          </w:tcPr>
          <w:p w14:paraId="118BC16B"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40,180 station-day rows; 8,036 dates per station, including all six leap days</w:t>
            </w:r>
          </w:p>
        </w:tc>
      </w:tr>
      <w:tr w:rsidR="003547FD" w14:paraId="522740BC" w14:textId="77777777">
        <w:trPr>
          <w:cantSplit/>
        </w:trPr>
        <w:tc>
          <w:tcPr>
            <w:tcW w:w="3024" w:type="dxa"/>
          </w:tcPr>
          <w:p w14:paraId="2C7613D3"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seasonal_summary.csv</w:t>
            </w:r>
          </w:p>
        </w:tc>
        <w:tc>
          <w:tcPr>
            <w:tcW w:w="6192" w:type="dxa"/>
          </w:tcPr>
          <w:p w14:paraId="48E346FD"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220 station-year-period rows with annual and April-October label counts and variable coverage</w:t>
            </w:r>
          </w:p>
        </w:tc>
      </w:tr>
      <w:tr w:rsidR="003547FD" w14:paraId="24ADDCE8" w14:textId="77777777">
        <w:trPr>
          <w:cantSplit/>
        </w:trPr>
        <w:tc>
          <w:tcPr>
            <w:tcW w:w="3024" w:type="dxa"/>
          </w:tcPr>
          <w:p w14:paraId="46EB4A8E"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processing_metadata.json</w:t>
            </w:r>
          </w:p>
        </w:tc>
        <w:tc>
          <w:tcPr>
            <w:tcW w:w="6192" w:type="dxa"/>
          </w:tcPr>
          <w:p w14:paraId="4B9816C2"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Thresholds, station set, row count, input SHA-256 checksums, and cleaning-status counts</w:t>
            </w:r>
          </w:p>
        </w:tc>
      </w:tr>
    </w:tbl>
    <w:p w14:paraId="3D006E3F"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seasonal_summary.csv records observed true, false, and unknown label counts and variable coverage for every station-year, separately for annual and April–October periods. A count of observed true labels is not an imputed full-period total. Growing-season wet-run membership can reflect adjoining dates outside April–October because labels are assigned before seasonal filtering.</w:t>
      </w:r>
    </w:p>
    <w:p w14:paraId="5492490B"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Input checksums are verified against the raw delivery manifest, and the parser rejects duplicate monthly records and malformed records. Three focused validation checks passed, covering wet-run uncertainty, threshold and quality handling, row uniqueness, label recomputation, summary-count accounting, and unchanged raw checksums. An explicit calendar-set comparison confirmed all 8,036 unique dates per station, including all six leap days. Empty observations or labels must be distinguished from missing dates. Final cleaning additionally excludes accumulated or presumed-zero precipitation, so usable coverage can differ from the earlier missing-value and QFLAG screening.</w:t>
      </w:r>
    </w:p>
    <w:p w14:paraId="0B0902E4"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b/>
          <w:color w:val="000000"/>
          <w:sz w:val="24"/>
        </w:rPr>
        <w:t>Interpretation limits</w:t>
      </w:r>
    </w:p>
    <w:p w14:paraId="73C09AC6"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Indicator categories were selected by considering ginseng production guidance alongside the available station weather variables. Official guidance identifies heat, excessive moisture, and freezing-related conditions as relevant concerns, but station air temperature and precipitation do not measure shaded-canopy conditions, root temperature, leaf wetness, or soil moisture. The numerical definitions combine meteorological conventions and explicitly identified project choices. They are reference labels for weather analysis, not diagnoses of plant injury, disease, yield loss, or verified field conditions.</w:t>
      </w:r>
    </w:p>
    <w:p w14:paraId="3EFE95BE"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The cited production guides do not establish a universal 30-degree heat threshold or three-day wet-spell damage threshold. These parameters were not calibrated using Daymet; the earlier Wausau sample demonstrated format matching only. PRCP includes water-equivalent precipitation rather than separately observed liquid rain. Station data and the resulting labels do not establish effects on disease, yield, or root quality.</w:t>
      </w:r>
    </w:p>
    <w:p w14:paraId="47C35E95" w14:textId="77777777" w:rsidR="00DA7546" w:rsidRPr="00DA7546" w:rsidRDefault="00DA7546" w:rsidP="00726BD2">
      <w:pPr>
        <w:spacing w:after="120" w:line="240" w:lineRule="auto"/>
        <w:rPr>
          <w:rFonts w:ascii="Times New Roman" w:hAnsi="Times New Roman" w:cs="Times New Roman"/>
          <w:b/>
          <w:bCs/>
          <w:sz w:val="24"/>
        </w:rPr>
      </w:pPr>
      <w:r w:rsidRPr="00DA7546">
        <w:rPr>
          <w:rFonts w:ascii="Times New Roman" w:hAnsi="Times New Roman" w:cs="Times New Roman"/>
          <w:b/>
          <w:bCs/>
          <w:sz w:val="24"/>
        </w:rPr>
        <w:lastRenderedPageBreak/>
        <w:t>3.3 Website Development</w:t>
      </w:r>
    </w:p>
    <w:p w14:paraId="2D105BB0"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b/>
          <w:color w:val="000000"/>
          <w:sz w:val="24"/>
        </w:rPr>
        <w:t>Development and data integration</w:t>
      </w:r>
    </w:p>
    <w:p w14:paraId="679A3571"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We developed a browser-based dashboard to make the NOAA and Daymet outputs accessible through interactive charts, maps, and tables. The application is a static website: data exploration and exploratory calculations run in the browser, without a backend or database.</w:t>
      </w:r>
    </w:p>
    <w:p w14:paraId="22012D55"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The website uses HTML and CSS for page structure and styling, vanilla JavaScript for navigation, filtering, and browser-side calculations, and Vite for local development and production builds. Apache ECharts provides interactive charts, heatmaps, maps, tooltips, zooming, and PNG exports. County boundaries are prepared using us-atlas and topojson-client. Unit and data-integration tests use the Node.js test runner.</w:t>
      </w:r>
    </w:p>
    <w:p w14:paraId="2234E455"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Before development or production builds, the preparation script validates and copies the canonical cleaned files into public/data/. It also extracts Lincoln, Marathon, Wood, and Portage county boundaries for the regional map. The website uses the repository datasets rather than requesting live NOAA, Daymet, GitHub, or external map services. The data-integration test checks whether the default browser calculations reproduce the NOAA baseline daily labels.</w:t>
      </w:r>
    </w:p>
    <w:p w14:paraId="62284B2C"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Missing observations remain distinct from zero values and false labels. Daily temperature charts show gaps for missing values, and the precipitation chart marks unknown observations separately. Browser sensitivity controls do not overwrite the cleaned source files or official baseline summaries.</w:t>
      </w:r>
    </w:p>
    <w:p w14:paraId="3ED8BCF6"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b/>
          <w:color w:val="000000"/>
          <w:sz w:val="24"/>
        </w:rPr>
        <w:t>Build and deployment</w:t>
      </w:r>
    </w:p>
    <w:p w14:paraId="1BD60B60"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The project is run from the website directory using Node.js and npm. Vite uses port 5173 for local development and port 4173 for production preview. The production build is written to dist/. Relative asset paths are configured so the build can be served from a static hosting subdirectory.</w:t>
      </w:r>
    </w:p>
    <w:p w14:paraId="7D7F2BD3"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From the website directory, npm install installs dependencies and npm run dev prepares the data and starts the local server. npm test runs the tests, npm run build generates the production files, and npm run preview serves the build locally for inspection. npm run check runs tests followed by the build. Deployment consists of publishing the contents of dist/ through a static web server or hosting service.</w:t>
      </w:r>
    </w:p>
    <w:p w14:paraId="12C14893"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The build includes the prepared data and map geometry, so deployment does not require database setup or runtime API credentials. The repository documents the build and preview workflow but does not identify a confirmed public deployment URL.</w:t>
      </w:r>
    </w:p>
    <w:p w14:paraId="1C09D9E4"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b/>
          <w:color w:val="000000"/>
          <w:sz w:val="24"/>
        </w:rPr>
        <w:t>Dashboard use</w:t>
      </w:r>
    </w:p>
    <w:p w14:paraId="40F8B2EE"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Users navigate between the following panels. NOAA and Daymet exploration supports selection of locations, year ranges, annual or April-October periods, and weather metrics. Hovering reveals exact values; chart controls support zooming and image export.</w:t>
      </w:r>
    </w:p>
    <w:p w14:paraId="1FF529A8"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 xml:space="preserve">The Overview page introduces the dataset, station map, weather summaries, and </w:t>
      </w:r>
      <w:r>
        <w:rPr>
          <w:rFonts w:ascii="Times New Roman" w:hAnsi="Times New Roman" w:cs="Times New Roman"/>
          <w:color w:val="000000"/>
          <w:sz w:val="24"/>
        </w:rPr>
        <w:lastRenderedPageBreak/>
        <w:t>coverage. Explore Data lets users compare NOAA stations through trend charts, heatmaps, and summary statistics, then export filtered CSV data or PNG figures.</w:t>
      </w:r>
    </w:p>
    <w:p w14:paraId="1B4BD9AA"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The Daymet page presents county sampling-point trends, yearly means, and heatmaps, together with matching NOAA and Daymet reference-coordinate count indicators. Daily Detail &amp; Sensitivity lets users select a station and year, inspect daily observations, adjust thresholds and growing-season settings, and compare exploratory results with the baseline.</w:t>
      </w:r>
    </w:p>
    <w:p w14:paraId="47EA1B1C"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The Data Quality, Methods &amp; Limitations page documents coverage, usable and unknown observations, cleaning rules, provenance, and interpretation limits. About Us introduces the team and proposal-defined responsibilities.</w:t>
      </w:r>
    </w:p>
    <w:p w14:paraId="7B1EDE87"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In Daily Detail &amp; Sensitivity, users can inspect daily temperature and precipitation, the longest observed wet run, the last observed spring freeze from January through June, and an event-and-gap log. Restore baseline returns the controls to the documented defaults. Freezing remains defined as TMIN below 0 degrees Celsius. Unknown precipitation breaks observed wet runs, so a longest-run value with missing data is an observed lower bound.</w:t>
      </w:r>
    </w:p>
    <w:p w14:paraId="6A4BEDAE"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The Daymet reference comparison is available for count indicators shared by the two summary datasets. It is not shown for longest wet spell because that field is absent from the NOAA seasonal summary. These views support descriptive comparison and exploratory sensitivity checks; their availability does not itself establish cross-source agreement or the stability of findings under alternative assumptions.</w:t>
      </w:r>
    </w:p>
    <w:p w14:paraId="7DEA2A29" w14:textId="77777777" w:rsidR="00DA7546" w:rsidRPr="007775EA" w:rsidRDefault="00DA7546" w:rsidP="00726BD2">
      <w:pPr>
        <w:spacing w:after="120" w:line="240" w:lineRule="auto"/>
        <w:rPr>
          <w:rFonts w:ascii="Times New Roman" w:hAnsi="Times New Roman" w:cs="Times New Roman"/>
          <w:b/>
          <w:bCs/>
          <w:sz w:val="28"/>
          <w:szCs w:val="28"/>
        </w:rPr>
      </w:pPr>
      <w:r w:rsidRPr="007775EA">
        <w:rPr>
          <w:rFonts w:ascii="Times New Roman" w:hAnsi="Times New Roman" w:cs="Times New Roman"/>
          <w:b/>
          <w:bCs/>
          <w:sz w:val="28"/>
          <w:szCs w:val="28"/>
        </w:rPr>
        <w:t>4 Preliminary Results and Demonstration</w:t>
      </w:r>
    </w:p>
    <w:p w14:paraId="1B607410"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The figures below demonstrate preliminary weather patterns in the processed Daymet data, followed by a summary of final NOAA growing-season coverage. All Daymet results refer to the five geographic sampling points during April-October, 2004-2025. They describe outdoor weather exposure and do not represent verified farm conditions or crop damage.</w:t>
      </w:r>
    </w:p>
    <w:p w14:paraId="5E514561" w14:textId="77777777" w:rsidR="003547FD" w:rsidRDefault="00000000">
      <w:pPr>
        <w:keepNext/>
        <w:spacing w:after="120" w:line="240" w:lineRule="auto"/>
        <w:rPr>
          <w:rFonts w:ascii="Times New Roman" w:hAnsi="Times New Roman" w:cs="Times New Roman"/>
          <w:sz w:val="24"/>
        </w:rPr>
      </w:pPr>
      <w:r>
        <w:rPr>
          <w:rFonts w:ascii="Times New Roman" w:hAnsi="Times New Roman" w:cs="Times New Roman"/>
          <w:b/>
          <w:color w:val="000000"/>
          <w:sz w:val="24"/>
        </w:rPr>
        <w:t>4.1 Temperature exposure across years and sampling points</w:t>
      </w:r>
    </w:p>
    <w:p w14:paraId="6EDF8396"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Figure 1 shows a shared hot-day peak in 2012 across all five points, with 28-37 days per point and a simple five-point mean of 32.2 days. The broadly similar yearly pattern indicates that the peak is present across the sampled locations, although the counts differ by point. These counts use the project screening threshold of TMAX &gt;= 30 degrees Celsius.</w:t>
      </w:r>
    </w:p>
    <w:p w14:paraId="0FC7FA2C" w14:textId="77777777" w:rsidR="003547FD" w:rsidRDefault="00000000">
      <w:pPr>
        <w:keepNext/>
        <w:jc w:val="center"/>
        <w:rPr>
          <w:rFonts w:hint="eastAsia"/>
        </w:rPr>
      </w:pPr>
      <w:r>
        <w:rPr>
          <w:noProof/>
        </w:rPr>
        <w:lastRenderedPageBreak/>
        <w:drawing>
          <wp:inline distT="0" distB="0" distL="0" distR="0" wp14:anchorId="38D2E1C7" wp14:editId="0D2C696F">
            <wp:extent cx="5760720" cy="280156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52a638c94c9156c446ddeddd557f85a.jpg"/>
                    <pic:cNvPicPr/>
                  </pic:nvPicPr>
                  <pic:blipFill>
                    <a:blip r:embed="rId4"/>
                    <a:stretch>
                      <a:fillRect/>
                    </a:stretch>
                  </pic:blipFill>
                  <pic:spPr>
                    <a:xfrm>
                      <a:off x="0" y="0"/>
                      <a:ext cx="5760720" cy="2801566"/>
                    </a:xfrm>
                    <a:prstGeom prst="rect">
                      <a:avLst/>
                    </a:prstGeom>
                  </pic:spPr>
                </pic:pic>
              </a:graphicData>
            </a:graphic>
          </wp:inline>
        </w:drawing>
      </w:r>
    </w:p>
    <w:p w14:paraId="05D51406"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rPr>
        <w:t>Figure 1. Growing-season hot-day counts at five Marathon County sampling points. Source: project Daymet V4 R1 outputs. The 30-degree threshold is a screening definition, not a validated crop-damage threshold.</w:t>
      </w:r>
    </w:p>
    <w:p w14:paraId="5A6DD9D5"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Figure 2 shows that the highest freezing-day mean occurred in 2018, with 42-45 days across the five points and a mean of 43.8 days. The next highest mean was 41.8 days in 2020. The peak freezing year differs from the peak hot-day year, showing that the two temperature measures capture different seasonal exposure patterns. Seasonal totals do not distinguish spring from fall freezes.</w:t>
      </w:r>
    </w:p>
    <w:p w14:paraId="434AAE4D" w14:textId="77777777" w:rsidR="003547FD" w:rsidRDefault="00000000">
      <w:pPr>
        <w:keepNext/>
        <w:jc w:val="center"/>
        <w:rPr>
          <w:rFonts w:hint="eastAsia"/>
        </w:rPr>
      </w:pPr>
      <w:r>
        <w:rPr>
          <w:noProof/>
        </w:rPr>
        <w:drawing>
          <wp:inline distT="0" distB="0" distL="0" distR="0" wp14:anchorId="7BD58E81" wp14:editId="4AC8DA22">
            <wp:extent cx="5760720" cy="280156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b93313541ebccce86f912b87bdafa7.jpg"/>
                    <pic:cNvPicPr/>
                  </pic:nvPicPr>
                  <pic:blipFill>
                    <a:blip r:embed="rId5"/>
                    <a:stretch>
                      <a:fillRect/>
                    </a:stretch>
                  </pic:blipFill>
                  <pic:spPr>
                    <a:xfrm>
                      <a:off x="0" y="0"/>
                      <a:ext cx="5760720" cy="2801566"/>
                    </a:xfrm>
                    <a:prstGeom prst="rect">
                      <a:avLst/>
                    </a:prstGeom>
                  </pic:spPr>
                </pic:pic>
              </a:graphicData>
            </a:graphic>
          </wp:inline>
        </w:drawing>
      </w:r>
    </w:p>
    <w:p w14:paraId="230D855C"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rPr>
        <w:t>Figure 2. Growing-season freezing-day counts at five Marathon County sampling points, defined by TMIN &lt; 0 degrees Celsius. Source: project Daymet V4 R1 outputs. Counts describe freezing exposure rather than confirmed frost injury.</w:t>
      </w:r>
    </w:p>
    <w:p w14:paraId="58C1D58A" w14:textId="77777777" w:rsidR="003547FD" w:rsidRDefault="00000000">
      <w:pPr>
        <w:keepNext/>
        <w:spacing w:after="120" w:line="240" w:lineRule="auto"/>
        <w:rPr>
          <w:rFonts w:ascii="Times New Roman" w:hAnsi="Times New Roman" w:cs="Times New Roman"/>
          <w:sz w:val="24"/>
        </w:rPr>
      </w:pPr>
      <w:r>
        <w:rPr>
          <w:rFonts w:ascii="Times New Roman" w:hAnsi="Times New Roman" w:cs="Times New Roman"/>
          <w:b/>
          <w:color w:val="000000"/>
          <w:sz w:val="24"/>
        </w:rPr>
        <w:lastRenderedPageBreak/>
        <w:t>4.2 Wet-weather frequency and persistence</w:t>
      </w:r>
    </w:p>
    <w:p w14:paraId="1F29F50A"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Figure 3 displays the longest observed wet spell within each growing season. In 2021, the longest run ranged from 8 to 10 days across the five points. In contrast, the 2018 runs ranged from 5 to 6 days. The plot also shows location differences within the same year, so a single point cannot fully summarize the sampled county pattern. A wet day has water-equivalent precipitation of at least 1 mm.</w:t>
      </w:r>
    </w:p>
    <w:p w14:paraId="27AA354F" w14:textId="77777777" w:rsidR="003547FD" w:rsidRDefault="00000000">
      <w:pPr>
        <w:keepNext/>
        <w:jc w:val="center"/>
        <w:rPr>
          <w:rFonts w:hint="eastAsia"/>
        </w:rPr>
      </w:pPr>
      <w:r>
        <w:rPr>
          <w:noProof/>
        </w:rPr>
        <w:drawing>
          <wp:inline distT="0" distB="0" distL="0" distR="0" wp14:anchorId="16651A27" wp14:editId="3FA90ECD">
            <wp:extent cx="5760720" cy="280156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36d1fe32cbbbc7fa3dcf944bded291d.jpg"/>
                    <pic:cNvPicPr/>
                  </pic:nvPicPr>
                  <pic:blipFill>
                    <a:blip r:embed="rId6"/>
                    <a:stretch>
                      <a:fillRect/>
                    </a:stretch>
                  </pic:blipFill>
                  <pic:spPr>
                    <a:xfrm>
                      <a:off x="0" y="0"/>
                      <a:ext cx="5760720" cy="2801566"/>
                    </a:xfrm>
                    <a:prstGeom prst="rect">
                      <a:avLst/>
                    </a:prstGeom>
                  </pic:spPr>
                </pic:pic>
              </a:graphicData>
            </a:graphic>
          </wp:inline>
        </w:drawing>
      </w:r>
    </w:p>
    <w:p w14:paraId="47CBE5C6"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rPr>
        <w:t>Figure 3. Longest observed consecutive wet-day run within April-October at each sampling point. Source: project Daymet V4 R1 outputs. Run duration is distinct from the total number of days belonging to prolonged wet spells.</w:t>
      </w:r>
    </w:p>
    <w:p w14:paraId="743AC11B"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Figure 4 separates wet-day frequency from heavy-precipitation frequency. The highest five-point mean wet-day count was 88.2 days in 2014, while the highest heavy-precipitation count was 14.4 days in 2019. These different peak years show that frequent precipitation and frequent heavy events are separate features of a growing season. The highest cumulative prolonged-wet-day membership was also in 2014, at 47.8 days; this is not one continuous 47.8-day spell.</w:t>
      </w:r>
    </w:p>
    <w:p w14:paraId="0D0F2365" w14:textId="77777777" w:rsidR="003547FD" w:rsidRDefault="00000000">
      <w:pPr>
        <w:keepNext/>
        <w:jc w:val="center"/>
        <w:rPr>
          <w:rFonts w:hint="eastAsia"/>
        </w:rPr>
      </w:pPr>
      <w:r>
        <w:rPr>
          <w:noProof/>
        </w:rPr>
        <w:lastRenderedPageBreak/>
        <w:drawing>
          <wp:inline distT="0" distB="0" distL="0" distR="0" wp14:anchorId="53A9B6FF" wp14:editId="30DE3D63">
            <wp:extent cx="5760720" cy="345643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ymet_precipitation_comparison.png"/>
                    <pic:cNvPicPr/>
                  </pic:nvPicPr>
                  <pic:blipFill>
                    <a:blip r:embed="rId7"/>
                    <a:stretch>
                      <a:fillRect/>
                    </a:stretch>
                  </pic:blipFill>
                  <pic:spPr>
                    <a:xfrm>
                      <a:off x="0" y="0"/>
                      <a:ext cx="5760720" cy="3456432"/>
                    </a:xfrm>
                    <a:prstGeom prst="rect">
                      <a:avLst/>
                    </a:prstGeom>
                  </pic:spPr>
                </pic:pic>
              </a:graphicData>
            </a:graphic>
          </wp:inline>
        </w:drawing>
      </w:r>
    </w:p>
    <w:p w14:paraId="18CD9377"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rPr>
        <w:t>Figure 4. Simple five-point mean counts of wet days (upper panel, precipitation &gt;= 1 mm) and heavy-precipitation days (lower panel, &gt;= 20 mm). Generated from the project county_year_means.csv. The panels use different vertical scales; means are not area-weighted county averages.</w:t>
      </w:r>
    </w:p>
    <w:p w14:paraId="219EF16F" w14:textId="77777777" w:rsidR="003547FD" w:rsidRDefault="00000000">
      <w:pPr>
        <w:keepNext/>
        <w:spacing w:after="120" w:line="240" w:lineRule="auto"/>
        <w:rPr>
          <w:rFonts w:ascii="Times New Roman" w:hAnsi="Times New Roman" w:cs="Times New Roman"/>
          <w:sz w:val="24"/>
        </w:rPr>
      </w:pPr>
      <w:r>
        <w:rPr>
          <w:rFonts w:ascii="Times New Roman" w:hAnsi="Times New Roman" w:cs="Times New Roman"/>
          <w:b/>
          <w:color w:val="000000"/>
          <w:sz w:val="24"/>
        </w:rPr>
        <w:t>4.3 Final data coverage</w:t>
      </w:r>
    </w:p>
    <w:p w14:paraId="69A0E173"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Daymet TMAX, TMIN, and precipitation were available for all 214 growing-season dates in every location-year. NOAA retains the same complete calendar structure, but some weather observations are missing or excluded. The table reports the lowest final cleaned coverage across all NOAA station-year growing seasons, using seasonal_summary.csv.</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40"/>
        <w:gridCol w:w="2016"/>
        <w:gridCol w:w="4032"/>
        <w:gridCol w:w="1584"/>
      </w:tblGrid>
      <w:tr w:rsidR="003547FD" w14:paraId="6B01C479" w14:textId="77777777">
        <w:trPr>
          <w:cantSplit/>
        </w:trPr>
        <w:tc>
          <w:tcPr>
            <w:tcW w:w="1440" w:type="dxa"/>
          </w:tcPr>
          <w:p w14:paraId="5BF5E679"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b/>
                <w:color w:val="000000"/>
                <w:sz w:val="24"/>
              </w:rPr>
              <w:t>Variable</w:t>
            </w:r>
          </w:p>
        </w:tc>
        <w:tc>
          <w:tcPr>
            <w:tcW w:w="2016" w:type="dxa"/>
          </w:tcPr>
          <w:p w14:paraId="039786CE"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b/>
                <w:color w:val="000000"/>
                <w:sz w:val="24"/>
              </w:rPr>
              <w:t>Lowest coverage</w:t>
            </w:r>
          </w:p>
        </w:tc>
        <w:tc>
          <w:tcPr>
            <w:tcW w:w="4032" w:type="dxa"/>
          </w:tcPr>
          <w:p w14:paraId="671B2DF4"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b/>
                <w:color w:val="000000"/>
                <w:sz w:val="24"/>
              </w:rPr>
              <w:t>Station</w:t>
            </w:r>
          </w:p>
        </w:tc>
        <w:tc>
          <w:tcPr>
            <w:tcW w:w="1584" w:type="dxa"/>
          </w:tcPr>
          <w:p w14:paraId="18BECE6C"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b/>
                <w:color w:val="000000"/>
                <w:sz w:val="24"/>
              </w:rPr>
              <w:t>Year</w:t>
            </w:r>
          </w:p>
        </w:tc>
      </w:tr>
      <w:tr w:rsidR="003547FD" w14:paraId="5D50F602" w14:textId="77777777">
        <w:trPr>
          <w:cantSplit/>
        </w:trPr>
        <w:tc>
          <w:tcPr>
            <w:tcW w:w="1440" w:type="dxa"/>
          </w:tcPr>
          <w:p w14:paraId="3DDB3B7C"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TMAX</w:t>
            </w:r>
          </w:p>
        </w:tc>
        <w:tc>
          <w:tcPr>
            <w:tcW w:w="2016" w:type="dxa"/>
          </w:tcPr>
          <w:p w14:paraId="1E85E2AF"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96.73%</w:t>
            </w:r>
          </w:p>
        </w:tc>
        <w:tc>
          <w:tcPr>
            <w:tcW w:w="4032" w:type="dxa"/>
          </w:tcPr>
          <w:p w14:paraId="115616DD"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MARSHFIELD MUNI AP</w:t>
            </w:r>
          </w:p>
        </w:tc>
        <w:tc>
          <w:tcPr>
            <w:tcW w:w="1584" w:type="dxa"/>
          </w:tcPr>
          <w:p w14:paraId="2EB7D41C"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2024</w:t>
            </w:r>
          </w:p>
        </w:tc>
      </w:tr>
      <w:tr w:rsidR="003547FD" w14:paraId="4B9A2B1E" w14:textId="77777777">
        <w:trPr>
          <w:cantSplit/>
        </w:trPr>
        <w:tc>
          <w:tcPr>
            <w:tcW w:w="1440" w:type="dxa"/>
          </w:tcPr>
          <w:p w14:paraId="05FAA1A4"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TMIN</w:t>
            </w:r>
          </w:p>
        </w:tc>
        <w:tc>
          <w:tcPr>
            <w:tcW w:w="2016" w:type="dxa"/>
          </w:tcPr>
          <w:p w14:paraId="7B17CE2A"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96.73%</w:t>
            </w:r>
          </w:p>
        </w:tc>
        <w:tc>
          <w:tcPr>
            <w:tcW w:w="4032" w:type="dxa"/>
          </w:tcPr>
          <w:p w14:paraId="5B4D2D4C"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MARSHFIELD MUNI AP</w:t>
            </w:r>
          </w:p>
        </w:tc>
        <w:tc>
          <w:tcPr>
            <w:tcW w:w="1584" w:type="dxa"/>
          </w:tcPr>
          <w:p w14:paraId="3ACFA92E"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2024</w:t>
            </w:r>
          </w:p>
        </w:tc>
      </w:tr>
      <w:tr w:rsidR="003547FD" w14:paraId="70E5A405" w14:textId="77777777">
        <w:trPr>
          <w:cantSplit/>
        </w:trPr>
        <w:tc>
          <w:tcPr>
            <w:tcW w:w="1440" w:type="dxa"/>
          </w:tcPr>
          <w:p w14:paraId="7474FCD4"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PRCP</w:t>
            </w:r>
          </w:p>
        </w:tc>
        <w:tc>
          <w:tcPr>
            <w:tcW w:w="2016" w:type="dxa"/>
          </w:tcPr>
          <w:p w14:paraId="4714568A"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92.06%</w:t>
            </w:r>
          </w:p>
        </w:tc>
        <w:tc>
          <w:tcPr>
            <w:tcW w:w="4032" w:type="dxa"/>
          </w:tcPr>
          <w:p w14:paraId="7248B9FB"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MERRILL</w:t>
            </w:r>
          </w:p>
        </w:tc>
        <w:tc>
          <w:tcPr>
            <w:tcW w:w="1584" w:type="dxa"/>
          </w:tcPr>
          <w:p w14:paraId="6B13C7D2"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2010</w:t>
            </w:r>
          </w:p>
        </w:tc>
      </w:tr>
    </w:tbl>
    <w:p w14:paraId="34D240D7"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All five NOAA stations passed the initial 95% growing-season screening based on nonmissing values and blank quality flags. Final cleaning additionally excludes accumulated or presumed-zero precipitation. The final minimum PRCP coverage of 92.06% therefore does not contradict the earlier screening result; it shows why screening and analysis coverage must be reported separately. Observed event counts remain incomplete where labels are unknown, and missing precipitation is never treated as a dry day.</w:t>
      </w:r>
    </w:p>
    <w:p w14:paraId="010E36AD" w14:textId="77777777" w:rsidR="003547FD" w:rsidRDefault="00000000">
      <w:pPr>
        <w:keepNext/>
        <w:spacing w:after="120" w:line="240" w:lineRule="auto"/>
        <w:rPr>
          <w:rFonts w:ascii="Times New Roman" w:hAnsi="Times New Roman" w:cs="Times New Roman"/>
          <w:sz w:val="24"/>
        </w:rPr>
      </w:pPr>
      <w:r>
        <w:rPr>
          <w:rFonts w:ascii="Times New Roman" w:hAnsi="Times New Roman" w:cs="Times New Roman"/>
          <w:b/>
          <w:color w:val="000000"/>
          <w:sz w:val="24"/>
        </w:rPr>
        <w:lastRenderedPageBreak/>
        <w:t>4.4 Website demonstration</w:t>
      </w:r>
    </w:p>
    <w:p>
      <w:pPr>
        <w:spacing w:after="120" w:line="240" w:lineRule="auto"/>
        <w:rPr>
          <w:rFonts w:ascii="Times New Roman" w:hAnsi="Times New Roman" w:cs="Times New Roman"/>
          <w:sz w:val="24"/>
        </w:rPr>
      </w:pPr>
      <w:r>
        <w:rPr>
          <w:rFonts w:ascii="Times New Roman" w:hAnsi="Times New Roman" w:cs="Times New Roman"/>
          <w:b w:val="0"/>
          <w:color w:val="000000"/>
          <w:sz w:val="24"/>
        </w:rPr>
        <w:t>The dashboard presents the processed datasets as interactive views that connect location selection, yearly patterns, and numerical summaries. Figures 5 and 6 demonstrate the completed Daymet and NOAA exploration pages. These screenshots illustrate how the results can be inspected; they do not constitute a quantitative validation of agreement between the two data sources.</w:t>
      </w:r>
    </w:p>
    <w:p>
      <w:pPr>
        <w:spacing w:after="120" w:line="240" w:lineRule="auto"/>
        <w:rPr>
          <w:rFonts w:ascii="Times New Roman" w:hAnsi="Times New Roman" w:cs="Times New Roman"/>
          <w:sz w:val="24"/>
        </w:rPr>
      </w:pPr>
      <w:r>
        <w:rPr>
          <w:rFonts w:ascii="Times New Roman" w:hAnsi="Times New Roman" w:cs="Times New Roman"/>
          <w:b w:val="0"/>
          <w:color w:val="000000"/>
          <w:sz w:val="24"/>
        </w:rPr>
        <w:t>Figure 5 shows the Daymet Sampling-Point Explorer with all five county points selected for 2004-2025. The freezing-day view reproduces the 2018 peak reported in the static results, with a five-point mean of 43.8 days during April-October. The page combines location filters, year controls, summary cards, and a sampling-point line chart, with PNG and filtered-CSV export options. Its zero unknown-label count applies to the selected growing-season freezing labels; it does not remove the 30 calendar omissions retained as unknown in the full daily dataset.</w:t>
      </w:r>
    </w:p>
    <w:p>
      <w:pPr>
        <w:keepNext/>
        <w:ind w:left="0" w:firstLine="0"/>
        <w:jc w:val="center"/>
      </w:pPr>
      <w:r>
        <w:drawing>
          <wp:inline xmlns:a="http://schemas.openxmlformats.org/drawingml/2006/main" xmlns:pic="http://schemas.openxmlformats.org/drawingml/2006/picture">
            <wp:extent cx="5760720" cy="3639653"/>
            <wp:docPr id="5" name="Picture 5"/>
            <wp:cNvGraphicFramePr>
              <a:graphicFrameLocks noChangeAspect="1"/>
            </wp:cNvGraphicFramePr>
            <a:graphic>
              <a:graphicData uri="http://schemas.openxmlformats.org/drawingml/2006/picture">
                <pic:pic>
                  <pic:nvPicPr>
                    <pic:cNvPr id="0" name="225025b11b94c60aa78b53684e4326c3.png"/>
                    <pic:cNvPicPr/>
                  </pic:nvPicPr>
                  <pic:blipFill>
                    <a:blip r:embed="rId10"/>
                    <a:stretch>
                      <a:fillRect/>
                    </a:stretch>
                  </pic:blipFill>
                  <pic:spPr>
                    <a:xfrm>
                      <a:off x="0" y="0"/>
                      <a:ext cx="5760720" cy="3639653"/>
                    </a:xfrm>
                    <a:prstGeom prst="rect"/>
                  </pic:spPr>
                </pic:pic>
              </a:graphicData>
            </a:graphic>
          </wp:inline>
        </w:drawing>
      </w:r>
    </w:p>
    <w:p>
      <w:pPr>
        <w:spacing w:after="120" w:line="240" w:lineRule="auto"/>
        <w:ind w:left="0" w:firstLine="0"/>
        <w:rPr>
          <w:rFonts w:ascii="Times New Roman" w:hAnsi="Times New Roman" w:cs="Times New Roman"/>
          <w:sz w:val="24"/>
        </w:rPr>
      </w:pPr>
      <w:r>
        <w:rPr>
          <w:rFonts w:ascii="Times New Roman" w:hAnsi="Times New Roman" w:cs="Times New Roman"/>
          <w:b w:val="0"/>
          <w:color w:val="000000"/>
          <w:sz w:val="22"/>
        </w:rPr>
        <w:t>Figure 5. Daymet Sampling-Point Explorer showing growing-season freezing days at the five Marathon County sampling points, 2004-2025. Screenshot supplied by the project team.</w:t>
      </w:r>
    </w:p>
    <w:p>
      <w:pPr>
        <w:spacing w:after="120" w:line="240" w:lineRule="auto"/>
        <w:rPr>
          <w:rFonts w:ascii="Times New Roman" w:hAnsi="Times New Roman" w:cs="Times New Roman"/>
          <w:sz w:val="24"/>
        </w:rPr>
      </w:pPr>
      <w:r>
        <w:rPr>
          <w:rFonts w:ascii="Times New Roman" w:hAnsi="Times New Roman" w:cs="Times New Roman"/>
          <w:b w:val="0"/>
          <w:color w:val="000000"/>
          <w:sz w:val="24"/>
        </w:rPr>
        <w:t>Figure 6 demonstrates the NOAA Explore Data page with Wausau ASOS, Merrill, and Marshfield Exp Farm selected, while Stevens Pt and Marshfield Muni AP are excluded from the displayed comparison. The selected metric is April-October hot days. The line chart and station-by-year heatmap both highlight the 2012 peak among the displayed stations, while also revealing differences in event counts between locations. Station, year, period, and metric controls allow users to change the comparison, and the time sliders support closer inspection of a shorter interval. The displayed definition also makes clear that counts include observed true labels and keep unknown observations separate.</w:t>
      </w:r>
    </w:p>
    <w:p>
      <w:pPr>
        <w:keepNext/>
        <w:ind w:left="0" w:firstLine="0"/>
        <w:jc w:val="center"/>
      </w:pPr>
      <w:r>
        <w:drawing>
          <wp:inline xmlns:a="http://schemas.openxmlformats.org/drawingml/2006/main" xmlns:pic="http://schemas.openxmlformats.org/drawingml/2006/picture">
            <wp:extent cx="5760720" cy="3603038"/>
            <wp:docPr id="6" name="Picture 6"/>
            <wp:cNvGraphicFramePr>
              <a:graphicFrameLocks noChangeAspect="1"/>
            </wp:cNvGraphicFramePr>
            <a:graphic>
              <a:graphicData uri="http://schemas.openxmlformats.org/drawingml/2006/picture">
                <pic:pic>
                  <pic:nvPicPr>
                    <pic:cNvPr id="0" name="2cd0d8f5c9461ead4c85db934f0a142d.png"/>
                    <pic:cNvPicPr/>
                  </pic:nvPicPr>
                  <pic:blipFill>
                    <a:blip r:embed="rId11"/>
                    <a:stretch>
                      <a:fillRect/>
                    </a:stretch>
                  </pic:blipFill>
                  <pic:spPr>
                    <a:xfrm>
                      <a:off x="0" y="0"/>
                      <a:ext cx="5760720" cy="3603038"/>
                    </a:xfrm>
                    <a:prstGeom prst="rect"/>
                  </pic:spPr>
                </pic:pic>
              </a:graphicData>
            </a:graphic>
          </wp:inline>
        </w:drawing>
      </w:r>
    </w:p>
    <w:p>
      <w:pPr>
        <w:spacing w:after="120" w:line="240" w:lineRule="auto"/>
        <w:ind w:left="0" w:firstLine="0"/>
        <w:rPr>
          <w:rFonts w:ascii="Times New Roman" w:hAnsi="Times New Roman" w:cs="Times New Roman"/>
          <w:sz w:val="24"/>
        </w:rPr>
      </w:pPr>
      <w:r>
        <w:rPr>
          <w:rFonts w:ascii="Times New Roman" w:hAnsi="Times New Roman" w:cs="Times New Roman"/>
          <w:b w:val="0"/>
          <w:color w:val="000000"/>
          <w:sz w:val="22"/>
        </w:rPr>
        <w:t>Figure 6. NOAA Explore Data page showing hot-day trends and a station-by-year heatmap for three selected stations during April-October, 2004-2025. Screenshot supplied by the project team.</w:t>
      </w:r>
    </w:p>
    <w:p w14:paraId="4E01FDAE" w14:textId="77777777" w:rsidR="00DA7546" w:rsidRPr="007775EA" w:rsidRDefault="00DA7546" w:rsidP="00726BD2">
      <w:pPr>
        <w:spacing w:after="120" w:line="240" w:lineRule="auto"/>
        <w:rPr>
          <w:rFonts w:ascii="Times New Roman" w:hAnsi="Times New Roman" w:cs="Times New Roman"/>
          <w:b/>
          <w:bCs/>
          <w:sz w:val="28"/>
          <w:szCs w:val="28"/>
        </w:rPr>
      </w:pPr>
      <w:r w:rsidRPr="007775EA">
        <w:rPr>
          <w:rFonts w:ascii="Times New Roman" w:hAnsi="Times New Roman" w:cs="Times New Roman"/>
          <w:b/>
          <w:bCs/>
          <w:sz w:val="28"/>
          <w:szCs w:val="28"/>
        </w:rPr>
        <w:t>5 Discussion and Critical Evaluation</w:t>
      </w:r>
    </w:p>
    <w:p w14:paraId="3D6DE706" w14:textId="77777777" w:rsidR="00726BD2" w:rsidRDefault="00726BD2" w:rsidP="00726BD2">
      <w:pPr>
        <w:spacing w:after="120" w:line="240" w:lineRule="auto"/>
        <w:rPr>
          <w:rFonts w:ascii="Times New Roman" w:hAnsi="Times New Roman" w:cs="Times New Roman"/>
          <w:sz w:val="24"/>
        </w:rPr>
      </w:pPr>
      <w:r>
        <w:rPr>
          <w:rFonts w:ascii="Times New Roman" w:hAnsi="Times New Roman" w:cs="Times New Roman"/>
          <w:color w:val="000000"/>
          <w:sz w:val="24"/>
        </w:rPr>
        <w:t>The preliminary results show that weather exposure cannot be summarized by a single measure. The highest mean hot-day count occurred in 2012, the highest freezing-day count in 2018, and the highest heavy-precipitation count in 2019. Wet-day frequency and wet-spell duration also describe different conditions. Together, these indicators help identify seasons and locations for closer investigation, rather than classify a year as uniformly favorable or unfavorable. The plots describe variation across the sampled points and years; they do not establish a long-term trend or statistical significance.</w:t>
      </w:r>
    </w:p>
    <w:p w14:paraId="3C449511" w14:textId="77777777" w:rsidR="00726BD2" w:rsidRDefault="00726BD2" w:rsidP="00726BD2">
      <w:pPr>
        <w:spacing w:after="120" w:line="240" w:lineRule="auto"/>
        <w:rPr>
          <w:rFonts w:ascii="Times New Roman" w:hAnsi="Times New Roman" w:cs="Times New Roman"/>
          <w:sz w:val="24"/>
        </w:rPr>
      </w:pPr>
      <w:r>
        <w:rPr>
          <w:rFonts w:ascii="Times New Roman" w:hAnsi="Times New Roman" w:cs="Times New Roman"/>
          <w:color w:val="000000"/>
          <w:sz w:val="24"/>
        </w:rPr>
        <w:t>The indicators are calculated from NOAA station observations and Daymet gridded estimates. Ginseng production guidance helps explain why heat, freezing, and excessive moisture are relevant concerns, but it does not validate every numerical threshold used here. Freezing, wet-day, and heavy-precipitation definitions draw on meteorological definitions or conventions, while the 30-degree heat threshold and three-day wet-spell duration are project screening choices. Exceeding these thresholds does not demonstrate plant injury. Outdoor temperature and precipitation also do not directly measure shaded-canopy conditions, leaf wetness, or soil moisture. Without corresponding disease, yield, or root-quality observations, agricultural effects cannot be inferred from these counts alone.</w:t>
      </w:r>
    </w:p>
    <w:p w14:paraId="2E177662" w14:textId="77777777" w:rsidR="00726BD2" w:rsidRDefault="00726BD2" w:rsidP="00726BD2">
      <w:pPr>
        <w:spacing w:after="120" w:line="240" w:lineRule="auto"/>
        <w:rPr>
          <w:rFonts w:ascii="Times New Roman" w:hAnsi="Times New Roman" w:cs="Times New Roman"/>
          <w:sz w:val="24"/>
        </w:rPr>
      </w:pPr>
      <w:r>
        <w:rPr>
          <w:rFonts w:ascii="Times New Roman" w:hAnsi="Times New Roman" w:cs="Times New Roman"/>
          <w:color w:val="000000"/>
          <w:sz w:val="24"/>
        </w:rPr>
        <w:t>Data-quality findings influenced the study design. Stockbridge-Munsee passed the recent-data screen but was removed after its historical precipitation gaps became apparent, demonstrating why one recent year cannot establish long-term suitability. Retaining unknown values and preventing wet runs from bridging missing precipitation avoids treating gaps as observed dry days or uninterrupted wet periods. Calendar, checksum, and summary-accounting checks support reproducibility and internal consistency, but they do not independently validate Daymet accuracy. Likewise, the website comparison and sensitivity controls provide tools for investigation rather than completed evidence of agreement or robustness. Quantitative cross-source comparison and systematic evaluation of alternative thresholds and growing-season windows are still needed before stronger conclusions can be drawn.</w:t>
      </w:r>
    </w:p>
    <w:p w14:paraId="552552D6" w14:textId="77777777" w:rsidR="00DA7546" w:rsidRPr="007775EA" w:rsidRDefault="00DA7546" w:rsidP="00726BD2">
      <w:pPr>
        <w:spacing w:after="120" w:line="240" w:lineRule="auto"/>
        <w:rPr>
          <w:rFonts w:ascii="Times New Roman" w:hAnsi="Times New Roman" w:cs="Times New Roman"/>
          <w:b/>
          <w:bCs/>
          <w:sz w:val="28"/>
          <w:szCs w:val="28"/>
        </w:rPr>
      </w:pPr>
      <w:r w:rsidRPr="007775EA">
        <w:rPr>
          <w:rFonts w:ascii="Times New Roman" w:hAnsi="Times New Roman" w:cs="Times New Roman"/>
          <w:b/>
          <w:bCs/>
          <w:sz w:val="28"/>
          <w:szCs w:val="28"/>
        </w:rPr>
        <w:t>6 Project Management and Team Contributions</w:t>
      </w:r>
    </w:p>
    <w:p w14:paraId="13E7AF4A"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 xml:space="preserve">We collaborate through a shared GitHub repository, which brings together the raw and cleaned datasets, processing scripts, progress notes, and website source code. Work is divided into three main components: NOAA data preparation, Daymet data preparation, and website development. This division gives each member responsibility for a distinct output while allowing the website and report to use the shared data products. Repository commits provide a record of changes and </w:t>
      </w:r>
      <w:r>
        <w:rPr>
          <w:rFonts w:ascii="Times New Roman" w:hAnsi="Times New Roman" w:cs="Times New Roman"/>
          <w:color w:val="000000"/>
          <w:sz w:val="24"/>
        </w:rPr>
        <w:lastRenderedPageBreak/>
        <w:t>contributions.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56"/>
        <w:gridCol w:w="2160"/>
        <w:gridCol w:w="5400"/>
      </w:tblGrid>
      <w:tr w:rsidR="003547FD" w14:paraId="62E7D558" w14:textId="77777777">
        <w:trPr>
          <w:cantSplit/>
        </w:trPr>
        <w:tc>
          <w:tcPr>
            <w:tcW w:w="1656" w:type="dxa"/>
          </w:tcPr>
          <w:p w14:paraId="3A3C71AA"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b/>
                <w:color w:val="000000"/>
                <w:sz w:val="24"/>
              </w:rPr>
              <w:t>Team member</w:t>
            </w:r>
          </w:p>
        </w:tc>
        <w:tc>
          <w:tcPr>
            <w:tcW w:w="2160" w:type="dxa"/>
          </w:tcPr>
          <w:p w14:paraId="3BE1610C"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b/>
                <w:color w:val="000000"/>
                <w:sz w:val="24"/>
              </w:rPr>
              <w:t>Primary responsibility</w:t>
            </w:r>
          </w:p>
        </w:tc>
        <w:tc>
          <w:tcPr>
            <w:tcW w:w="5400" w:type="dxa"/>
          </w:tcPr>
          <w:p w14:paraId="5054DE7A"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b/>
                <w:color w:val="000000"/>
                <w:sz w:val="24"/>
              </w:rPr>
              <w:t>Completed contributions</w:t>
            </w:r>
          </w:p>
        </w:tc>
      </w:tr>
      <w:tr w:rsidR="003547FD" w14:paraId="214E27FD" w14:textId="77777777">
        <w:trPr>
          <w:cantSplit/>
        </w:trPr>
        <w:tc>
          <w:tcPr>
            <w:tcW w:w="1656" w:type="dxa"/>
          </w:tcPr>
          <w:p w14:paraId="72F087CD"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Cedar Huang</w:t>
            </w:r>
          </w:p>
        </w:tc>
        <w:tc>
          <w:tcPr>
            <w:tcW w:w="2160" w:type="dxa"/>
          </w:tcPr>
          <w:p w14:paraId="1096C6D3"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NOAA data preparation</w:t>
            </w:r>
          </w:p>
        </w:tc>
        <w:tc>
          <w:tcPr>
            <w:tcW w:w="5400" w:type="dxa"/>
          </w:tcPr>
          <w:p w14:paraId="0356502B"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Identified and screened candidate stations, assessed historical coverage, selected the final station set, cleaned the NOAA data, implemented weather labels and summaries, and documented quality checks and processing decisions.</w:t>
            </w:r>
          </w:p>
        </w:tc>
      </w:tr>
      <w:tr w:rsidR="003547FD" w14:paraId="48377D9C" w14:textId="77777777">
        <w:trPr>
          <w:cantSplit/>
        </w:trPr>
        <w:tc>
          <w:tcPr>
            <w:tcW w:w="1656" w:type="dxa"/>
          </w:tcPr>
          <w:p w14:paraId="4E60C863"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Heming Bai</w:t>
            </w:r>
          </w:p>
        </w:tc>
        <w:tc>
          <w:tcPr>
            <w:tcW w:w="2160" w:type="dxa"/>
          </w:tcPr>
          <w:p w14:paraId="71F44FA2"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Daymet data preparation</w:t>
            </w:r>
          </w:p>
        </w:tc>
        <w:tc>
          <w:tcPr>
            <w:tcW w:w="5400" w:type="dxa"/>
          </w:tcPr>
          <w:p w14:paraId="449FF99B"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Selected county sampling points and NOAA reference coordinates, downloaded and processed Daymet data, handled calendar alignment, implemented indicators and summaries, checked the outputs, and prepared preliminary figures and documentation.</w:t>
            </w:r>
          </w:p>
        </w:tc>
      </w:tr>
      <w:tr w:rsidR="003547FD" w14:paraId="38D801E6" w14:textId="77777777">
        <w:trPr>
          <w:cantSplit/>
        </w:trPr>
        <w:tc>
          <w:tcPr>
            <w:tcW w:w="1656" w:type="dxa"/>
          </w:tcPr>
          <w:p w14:paraId="13DA9C65"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Haiyue Liu</w:t>
            </w:r>
          </w:p>
        </w:tc>
        <w:tc>
          <w:tcPr>
            <w:tcW w:w="2160" w:type="dxa"/>
          </w:tcPr>
          <w:p w14:paraId="44AE968C"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Website development</w:t>
            </w:r>
          </w:p>
        </w:tc>
        <w:tc>
          <w:tcPr>
            <w:tcW w:w="5400" w:type="dxa"/>
          </w:tcPr>
          <w:p w14:paraId="78D25A1D"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Built the interactive dashboard, integrated the NOAA and Daymet outputs, and implemented charts, maps, filters, daily-detail and sensitivity controls, data-quality views, and figure and data exports.</w:t>
            </w:r>
          </w:p>
        </w:tc>
      </w:tr>
    </w:tbl>
    <w:p w14:paraId="51CD95AB" w14:textId="77777777" w:rsidR="00DA7546" w:rsidRPr="007775EA" w:rsidRDefault="00DA7546" w:rsidP="00726BD2">
      <w:pPr>
        <w:spacing w:after="120" w:line="240" w:lineRule="auto"/>
        <w:rPr>
          <w:rFonts w:ascii="Times New Roman" w:hAnsi="Times New Roman" w:cs="Times New Roman"/>
          <w:b/>
          <w:bCs/>
          <w:sz w:val="28"/>
          <w:szCs w:val="28"/>
        </w:rPr>
      </w:pPr>
      <w:r w:rsidRPr="007775EA">
        <w:rPr>
          <w:rFonts w:ascii="Times New Roman" w:hAnsi="Times New Roman" w:cs="Times New Roman"/>
          <w:b/>
          <w:bCs/>
          <w:sz w:val="28"/>
          <w:szCs w:val="28"/>
        </w:rPr>
        <w:t>7 Milestone Status and Remaining Work</w:t>
      </w:r>
    </w:p>
    <w:p w14:paraId="56F3950A" w14:textId="77777777" w:rsidR="003547FD" w:rsidRDefault="00000000">
      <w:pPr>
        <w:keepNext/>
        <w:spacing w:after="120" w:line="240" w:lineRule="auto"/>
        <w:rPr>
          <w:rFonts w:ascii="Times New Roman" w:hAnsi="Times New Roman" w:cs="Times New Roman"/>
          <w:sz w:val="24"/>
        </w:rPr>
      </w:pPr>
      <w:r>
        <w:rPr>
          <w:rFonts w:ascii="Times New Roman" w:hAnsi="Times New Roman" w:cs="Times New Roman"/>
          <w:b/>
          <w:color w:val="000000"/>
          <w:sz w:val="24"/>
        </w:rPr>
        <w:t>Progress against the proposal</w:t>
      </w:r>
    </w:p>
    <w:p w14:paraId="59A98B41"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The project has completed the core data preparation, indicator implementation, and preliminary visualization work in the proposal. The dataset covers 22 years and five county sampling points, meeting the planned minimum of five locations and twenty years. Five NOAA stations and matching Daymet reference coordinates support the comparison stage. Website development has progressed ahead of the original integration sequence, while formal cross-source evaluation and systematic sensitivity analysis remain incomplete. The proposal weeks below identify the original sequence of work, rather than verified calendar completion dates.</w:t>
      </w:r>
    </w:p>
    <w:p w14:paraId="585028A9" w14:textId="77777777" w:rsidR="003547FD" w:rsidRDefault="00000000">
      <w:pPr>
        <w:spacing w:after="120" w:line="240" w:lineRule="auto"/>
        <w:ind w:left="360" w:hanging="240"/>
        <w:rPr>
          <w:rFonts w:ascii="Times New Roman" w:hAnsi="Times New Roman" w:cs="Times New Roman"/>
          <w:sz w:val="24"/>
        </w:rPr>
      </w:pPr>
      <w:r>
        <w:rPr>
          <w:rFonts w:ascii="Times New Roman" w:hAnsi="Times New Roman" w:cs="Times New Roman"/>
          <w:b/>
          <w:color w:val="000000"/>
          <w:sz w:val="24"/>
        </w:rPr>
        <w:t xml:space="preserve">• Week 1: Feasibility check (Core work completed): </w:t>
      </w:r>
      <w:r>
        <w:rPr>
          <w:rFonts w:ascii="Times New Roman" w:hAnsi="Times New Roman" w:cs="Times New Roman"/>
          <w:color w:val="000000"/>
          <w:sz w:val="24"/>
        </w:rPr>
        <w:t>Study scope and baseline season defined; sample downloads and station identification completed. Field definitions are documented in the progress notes.</w:t>
      </w:r>
    </w:p>
    <w:p w14:paraId="1634B264" w14:textId="77777777" w:rsidR="003547FD" w:rsidRDefault="00000000">
      <w:pPr>
        <w:spacing w:after="120" w:line="240" w:lineRule="auto"/>
        <w:ind w:left="360" w:hanging="240"/>
        <w:rPr>
          <w:rFonts w:ascii="Times New Roman" w:hAnsi="Times New Roman" w:cs="Times New Roman"/>
          <w:sz w:val="24"/>
        </w:rPr>
      </w:pPr>
      <w:r>
        <w:rPr>
          <w:rFonts w:ascii="Times New Roman" w:hAnsi="Times New Roman" w:cs="Times New Roman"/>
          <w:b/>
          <w:color w:val="000000"/>
          <w:sz w:val="24"/>
        </w:rPr>
        <w:t xml:space="preserve">• Week 2: Data pipeline (Completed): </w:t>
      </w:r>
      <w:r>
        <w:rPr>
          <w:rFonts w:ascii="Times New Roman" w:hAnsi="Times New Roman" w:cs="Times New Roman"/>
          <w:color w:val="000000"/>
          <w:sz w:val="24"/>
        </w:rPr>
        <w:t>NOAA and both Daymet point groups processed for 2004-2025; calendars, missing values, units, quality rules, and provenance documented.</w:t>
      </w:r>
    </w:p>
    <w:p w14:paraId="7EAC5561" w14:textId="77777777" w:rsidR="003547FD" w:rsidRDefault="00000000">
      <w:pPr>
        <w:spacing w:after="120" w:line="240" w:lineRule="auto"/>
        <w:ind w:left="360" w:hanging="240"/>
        <w:rPr>
          <w:rFonts w:ascii="Times New Roman" w:hAnsi="Times New Roman" w:cs="Times New Roman"/>
          <w:sz w:val="24"/>
        </w:rPr>
      </w:pPr>
      <w:r>
        <w:rPr>
          <w:rFonts w:ascii="Times New Roman" w:hAnsi="Times New Roman" w:cs="Times New Roman"/>
          <w:b/>
          <w:color w:val="000000"/>
          <w:sz w:val="24"/>
        </w:rPr>
        <w:t xml:space="preserve">• Week 3: Exposure indicators (Completed): </w:t>
      </w:r>
      <w:r>
        <w:rPr>
          <w:rFonts w:ascii="Times New Roman" w:hAnsi="Times New Roman" w:cs="Times New Roman"/>
          <w:color w:val="000000"/>
          <w:sz w:val="24"/>
        </w:rPr>
        <w:t>Five weather labels and annual/seasonal summaries implemented; calculation and accounting checks completed.</w:t>
      </w:r>
    </w:p>
    <w:p w14:paraId="34546D24" w14:textId="77777777" w:rsidR="003547FD" w:rsidRDefault="00000000">
      <w:pPr>
        <w:spacing w:after="120" w:line="240" w:lineRule="auto"/>
        <w:ind w:left="360" w:hanging="240"/>
        <w:rPr>
          <w:rFonts w:ascii="Times New Roman" w:hAnsi="Times New Roman" w:cs="Times New Roman"/>
          <w:sz w:val="24"/>
        </w:rPr>
      </w:pPr>
      <w:r>
        <w:rPr>
          <w:rFonts w:ascii="Times New Roman" w:hAnsi="Times New Roman" w:cs="Times New Roman"/>
          <w:b/>
          <w:color w:val="000000"/>
          <w:sz w:val="24"/>
        </w:rPr>
        <w:t xml:space="preserve">• Week 4: Comparative analysis (Preliminary stage completed): </w:t>
      </w:r>
      <w:r>
        <w:rPr>
          <w:rFonts w:ascii="Times New Roman" w:hAnsi="Times New Roman" w:cs="Times New Roman"/>
          <w:color w:val="000000"/>
          <w:sz w:val="24"/>
        </w:rPr>
        <w:t xml:space="preserve">Point and year comparisons, initial rankings, and weather figures produced; interpretation </w:t>
      </w:r>
      <w:r>
        <w:rPr>
          <w:rFonts w:ascii="Times New Roman" w:hAnsi="Times New Roman" w:cs="Times New Roman"/>
          <w:color w:val="000000"/>
          <w:sz w:val="24"/>
        </w:rPr>
        <w:lastRenderedPageBreak/>
        <w:t>remains descriptive.</w:t>
      </w:r>
    </w:p>
    <w:p w14:paraId="25EBBE25" w14:textId="77777777" w:rsidR="003547FD" w:rsidRDefault="00000000">
      <w:pPr>
        <w:spacing w:after="120" w:line="240" w:lineRule="auto"/>
        <w:ind w:left="360" w:hanging="240"/>
        <w:rPr>
          <w:rFonts w:ascii="Times New Roman" w:hAnsi="Times New Roman" w:cs="Times New Roman"/>
          <w:sz w:val="24"/>
        </w:rPr>
      </w:pPr>
      <w:r>
        <w:rPr>
          <w:rFonts w:ascii="Times New Roman" w:hAnsi="Times New Roman" w:cs="Times New Roman"/>
          <w:b/>
          <w:color w:val="000000"/>
          <w:sz w:val="24"/>
        </w:rPr>
        <w:t xml:space="preserve">• Week 5: Validation (Partially completed): </w:t>
      </w:r>
      <w:r>
        <w:rPr>
          <w:rFonts w:ascii="Times New Roman" w:hAnsi="Times New Roman" w:cs="Times New Roman"/>
          <w:color w:val="000000"/>
          <w:sz w:val="24"/>
        </w:rPr>
        <w:t>Matching reference datasets and dashboard summary comparisons available; quantitative agreement metrics and discrepancy investigation remain.</w:t>
      </w:r>
    </w:p>
    <w:p w14:paraId="5FEA5088" w14:textId="77777777" w:rsidR="003547FD" w:rsidRDefault="00000000">
      <w:pPr>
        <w:spacing w:after="120" w:line="240" w:lineRule="auto"/>
        <w:ind w:left="360" w:hanging="240"/>
        <w:rPr>
          <w:rFonts w:ascii="Times New Roman" w:hAnsi="Times New Roman" w:cs="Times New Roman"/>
          <w:sz w:val="24"/>
        </w:rPr>
      </w:pPr>
      <w:r>
        <w:rPr>
          <w:rFonts w:ascii="Times New Roman" w:hAnsi="Times New Roman" w:cs="Times New Roman"/>
          <w:b/>
          <w:color w:val="000000"/>
          <w:sz w:val="24"/>
        </w:rPr>
        <w:t xml:space="preserve">• Week 6: Sensitivity analysis (Partially completed): </w:t>
      </w:r>
      <w:r>
        <w:rPr>
          <w:rFonts w:ascii="Times New Roman" w:hAnsi="Times New Roman" w:cs="Times New Roman"/>
          <w:color w:val="000000"/>
          <w:sz w:val="24"/>
        </w:rPr>
        <w:t>Browser controls implemented; systematic threshold and season-window comparisons and ranking-stability assessment remain.</w:t>
      </w:r>
    </w:p>
    <w:p w14:paraId="3B2048FF" w14:textId="77777777" w:rsidR="003547FD" w:rsidRDefault="00000000">
      <w:pPr>
        <w:spacing w:after="120" w:line="240" w:lineRule="auto"/>
        <w:ind w:left="360" w:hanging="240"/>
        <w:rPr>
          <w:rFonts w:ascii="Times New Roman" w:hAnsi="Times New Roman" w:cs="Times New Roman"/>
          <w:sz w:val="24"/>
        </w:rPr>
      </w:pPr>
      <w:r>
        <w:rPr>
          <w:rFonts w:ascii="Times New Roman" w:hAnsi="Times New Roman" w:cs="Times New Roman"/>
          <w:b/>
          <w:color w:val="000000"/>
          <w:sz w:val="24"/>
        </w:rPr>
        <w:t xml:space="preserve">• Week 7: Integration (Substantially completed): </w:t>
      </w:r>
      <w:r>
        <w:rPr>
          <w:rFonts w:ascii="Times New Roman" w:hAnsi="Times New Roman" w:cs="Times New Roman"/>
          <w:color w:val="000000"/>
          <w:sz w:val="24"/>
        </w:rPr>
        <w:t>NOAA and Daymet integrated into the dashboard; methods and limitations documented. Website screenshots and final workflow review remain.</w:t>
      </w:r>
    </w:p>
    <w:p w14:paraId="609D4570" w14:textId="77777777" w:rsidR="003547FD" w:rsidRDefault="00000000">
      <w:pPr>
        <w:spacing w:after="120" w:line="240" w:lineRule="auto"/>
        <w:ind w:left="360" w:hanging="240"/>
        <w:rPr>
          <w:rFonts w:ascii="Times New Roman" w:hAnsi="Times New Roman" w:cs="Times New Roman"/>
          <w:sz w:val="24"/>
        </w:rPr>
      </w:pPr>
      <w:r>
        <w:rPr>
          <w:rFonts w:ascii="Times New Roman" w:hAnsi="Times New Roman" w:cs="Times New Roman"/>
          <w:b/>
          <w:color w:val="000000"/>
          <w:sz w:val="24"/>
        </w:rPr>
        <w:t xml:space="preserve">• Week 8: Final delivery (In progress): </w:t>
      </w:r>
      <w:r>
        <w:rPr>
          <w:rFonts w:ascii="Times New Roman" w:hAnsi="Times New Roman" w:cs="Times New Roman"/>
          <w:color w:val="000000"/>
          <w:sz w:val="24"/>
        </w:rPr>
        <w:t>Report drafting underway; final report, presentation, repository documentation, and end-to-end reproducibility review remain.</w:t>
      </w:r>
    </w:p>
    <w:p w14:paraId="0C7DBB9F"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The main design adjustment was removal of Stockbridge-Munsee after historical precipitation gaps were identified. The final five-station design retains the agreed 2004-2025 period. The dashboard, originally optional if time allowed, has become a completed development component. Remaining effort should now prioritize evaluating the results and completing documentation rather than adding more website features.</w:t>
      </w:r>
    </w:p>
    <w:p w14:paraId="4E9385BF" w14:textId="77777777" w:rsidR="003547FD" w:rsidRDefault="00000000">
      <w:pPr>
        <w:keepNext/>
        <w:spacing w:after="120" w:line="240" w:lineRule="auto"/>
        <w:rPr>
          <w:rFonts w:ascii="Times New Roman" w:hAnsi="Times New Roman" w:cs="Times New Roman"/>
          <w:sz w:val="24"/>
        </w:rPr>
      </w:pPr>
      <w:r>
        <w:rPr>
          <w:rFonts w:ascii="Times New Roman" w:hAnsi="Times New Roman" w:cs="Times New Roman"/>
          <w:b/>
          <w:color w:val="000000"/>
          <w:sz w:val="24"/>
        </w:rPr>
        <w:t>Proposed completion timetable</w:t>
      </w:r>
    </w:p>
    <w:p w14:paraId="0C7ED911"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t>The schedule below uses October 21, 2026 as the planning baseline. These are proposed internal targets, not a confirmed course deadline; final submission and presentation dates should follow the course schedule. Proposed leads follow the current division of work and the comparison responsibilities in the proposal.</w:t>
      </w:r>
    </w:p>
    <w:p w14:paraId="795A0B22" w14:textId="254143B3" w:rsidR="003547FD" w:rsidRDefault="00000000">
      <w:pPr>
        <w:spacing w:after="120" w:line="240" w:lineRule="auto"/>
        <w:ind w:left="360" w:hanging="240"/>
        <w:rPr>
          <w:rFonts w:ascii="Times New Roman" w:hAnsi="Times New Roman" w:cs="Times New Roman"/>
          <w:sz w:val="24"/>
        </w:rPr>
      </w:pPr>
      <w:r>
        <w:rPr>
          <w:rFonts w:ascii="Times New Roman" w:hAnsi="Times New Roman" w:cs="Times New Roman"/>
          <w:b/>
          <w:color w:val="000000"/>
          <w:sz w:val="24"/>
        </w:rPr>
        <w:t xml:space="preserve">• </w:t>
      </w:r>
      <w:r w:rsidR="0037779E">
        <w:rPr>
          <w:rFonts w:ascii="Times New Roman" w:hAnsi="Times New Roman" w:cs="Times New Roman"/>
          <w:b/>
          <w:color w:val="000000"/>
          <w:sz w:val="24"/>
        </w:rPr>
        <w:t xml:space="preserve">November </w:t>
      </w:r>
      <w:r w:rsidR="0037779E">
        <w:rPr>
          <w:rFonts w:ascii="Times New Roman" w:hAnsi="Times New Roman" w:cs="Times New Roman" w:hint="eastAsia"/>
          <w:b/>
          <w:color w:val="000000"/>
          <w:sz w:val="24"/>
        </w:rPr>
        <w:t>10</w:t>
      </w:r>
      <w:r w:rsidR="0037779E">
        <w:rPr>
          <w:rFonts w:ascii="Times New Roman" w:hAnsi="Times New Roman" w:cs="Times New Roman"/>
          <w:b/>
          <w:color w:val="000000"/>
          <w:sz w:val="24"/>
        </w:rPr>
        <w:t>, 2026</w:t>
      </w:r>
      <w:r>
        <w:rPr>
          <w:rFonts w:ascii="Times New Roman" w:hAnsi="Times New Roman" w:cs="Times New Roman"/>
          <w:b/>
          <w:color w:val="000000"/>
          <w:sz w:val="24"/>
        </w:rPr>
        <w:t xml:space="preserve">: </w:t>
      </w:r>
      <w:r>
        <w:rPr>
          <w:rFonts w:ascii="Times New Roman" w:hAnsi="Times New Roman" w:cs="Times New Roman"/>
          <w:color w:val="000000"/>
          <w:sz w:val="24"/>
        </w:rPr>
        <w:t>Complete paired NOAA-Daymet comparisons by station and date using usable observations. Produce temperature bias and error summaries and precipitation comparisons, document paired coverage, and investigate observation-day alignment and major discrepancies. Proposed lead: Cedar, with Heming.</w:t>
      </w:r>
    </w:p>
    <w:p w14:paraId="0E6A0CC4" w14:textId="6DB6A517" w:rsidR="003547FD" w:rsidRDefault="00000000">
      <w:pPr>
        <w:spacing w:after="120" w:line="240" w:lineRule="auto"/>
        <w:ind w:left="360" w:hanging="240"/>
        <w:rPr>
          <w:rFonts w:ascii="Times New Roman" w:hAnsi="Times New Roman" w:cs="Times New Roman"/>
          <w:sz w:val="24"/>
        </w:rPr>
      </w:pPr>
      <w:r>
        <w:rPr>
          <w:rFonts w:ascii="Times New Roman" w:hAnsi="Times New Roman" w:cs="Times New Roman"/>
          <w:b/>
          <w:color w:val="000000"/>
          <w:sz w:val="24"/>
        </w:rPr>
        <w:t xml:space="preserve">• November </w:t>
      </w:r>
      <w:r w:rsidR="0037779E">
        <w:rPr>
          <w:rFonts w:ascii="Times New Roman" w:hAnsi="Times New Roman" w:cs="Times New Roman" w:hint="eastAsia"/>
          <w:b/>
          <w:color w:val="000000"/>
          <w:sz w:val="24"/>
        </w:rPr>
        <w:t>21</w:t>
      </w:r>
      <w:r>
        <w:rPr>
          <w:rFonts w:ascii="Times New Roman" w:hAnsi="Times New Roman" w:cs="Times New Roman"/>
          <w:b/>
          <w:color w:val="000000"/>
          <w:sz w:val="24"/>
        </w:rPr>
        <w:t xml:space="preserve">, 2026: </w:t>
      </w:r>
      <w:r>
        <w:rPr>
          <w:rFonts w:ascii="Times New Roman" w:hAnsi="Times New Roman" w:cs="Times New Roman"/>
          <w:color w:val="000000"/>
          <w:sz w:val="24"/>
        </w:rPr>
        <w:t>Test a documented set of alternative heat, precipitation, wet-spell, and growing-season settings. Produce a comparison of year and location rankings, including spring/fall freeze timing where relevant. Proposed lead: Heming and Cedar; Haiyue supports dashboard checks.</w:t>
      </w:r>
    </w:p>
    <w:p w14:paraId="157886F5" w14:textId="347EF19E" w:rsidR="003547FD" w:rsidRDefault="00000000">
      <w:pPr>
        <w:spacing w:after="120" w:line="240" w:lineRule="auto"/>
        <w:ind w:left="360" w:hanging="240"/>
        <w:rPr>
          <w:rFonts w:ascii="Times New Roman" w:hAnsi="Times New Roman" w:cs="Times New Roman"/>
          <w:sz w:val="24"/>
        </w:rPr>
      </w:pPr>
      <w:r>
        <w:rPr>
          <w:rFonts w:ascii="Times New Roman" w:hAnsi="Times New Roman" w:cs="Times New Roman"/>
          <w:b/>
          <w:color w:val="000000"/>
          <w:sz w:val="24"/>
        </w:rPr>
        <w:t xml:space="preserve">• </w:t>
      </w:r>
      <w:r w:rsidR="0037779E">
        <w:rPr>
          <w:rFonts w:ascii="Times New Roman" w:hAnsi="Times New Roman" w:cs="Times New Roman" w:hint="eastAsia"/>
          <w:b/>
          <w:color w:val="000000"/>
          <w:sz w:val="24"/>
        </w:rPr>
        <w:t>Dec 1</w:t>
      </w:r>
      <w:r>
        <w:rPr>
          <w:rFonts w:ascii="Times New Roman" w:hAnsi="Times New Roman" w:cs="Times New Roman"/>
          <w:b/>
          <w:color w:val="000000"/>
          <w:sz w:val="24"/>
        </w:rPr>
        <w:t xml:space="preserve">, 2026: </w:t>
      </w:r>
      <w:r>
        <w:rPr>
          <w:rFonts w:ascii="Times New Roman" w:hAnsi="Times New Roman" w:cs="Times New Roman"/>
          <w:color w:val="000000"/>
          <w:sz w:val="24"/>
        </w:rPr>
        <w:t>Integrate comparison and sensitivity findings into a complete report draft; add website screenshots, finalize figures and references, and prepare presentation materials. Review data and figure consistency. Proposed lead: All members; Haiyue leads website demonstration.</w:t>
      </w:r>
    </w:p>
    <w:p w14:paraId="4BDE30FB" w14:textId="7D8F475F" w:rsidR="003547FD" w:rsidRDefault="00000000">
      <w:pPr>
        <w:spacing w:after="120" w:line="240" w:lineRule="auto"/>
        <w:ind w:left="360" w:hanging="240"/>
        <w:rPr>
          <w:rFonts w:ascii="Times New Roman" w:hAnsi="Times New Roman" w:cs="Times New Roman"/>
          <w:sz w:val="24"/>
        </w:rPr>
      </w:pPr>
      <w:r>
        <w:rPr>
          <w:rFonts w:ascii="Times New Roman" w:hAnsi="Times New Roman" w:cs="Times New Roman"/>
          <w:b/>
          <w:color w:val="000000"/>
          <w:sz w:val="24"/>
        </w:rPr>
        <w:t>• Before</w:t>
      </w:r>
      <w:r w:rsidR="0037779E">
        <w:rPr>
          <w:rFonts w:ascii="Times New Roman" w:hAnsi="Times New Roman" w:cs="Times New Roman" w:hint="eastAsia"/>
          <w:b/>
          <w:color w:val="000000"/>
          <w:sz w:val="24"/>
        </w:rPr>
        <w:t xml:space="preserve"> f</w:t>
      </w:r>
      <w:r>
        <w:rPr>
          <w:rFonts w:ascii="Times New Roman" w:hAnsi="Times New Roman" w:cs="Times New Roman"/>
          <w:b/>
          <w:color w:val="000000"/>
          <w:sz w:val="24"/>
        </w:rPr>
        <w:t xml:space="preserve">inal deadline: </w:t>
      </w:r>
      <w:r>
        <w:rPr>
          <w:rFonts w:ascii="Times New Roman" w:hAnsi="Times New Roman" w:cs="Times New Roman"/>
          <w:color w:val="000000"/>
          <w:sz w:val="24"/>
        </w:rPr>
        <w:t>Rerun the documented processing and website build workflow, resolve remaining inconsistencies, and complete the final report, presentation, and repository handoff. Proposed lead: All members.</w:t>
      </w:r>
    </w:p>
    <w:p w14:paraId="2609EE11" w14:textId="77777777" w:rsidR="003547FD" w:rsidRDefault="00000000">
      <w:pPr>
        <w:spacing w:after="120" w:line="240" w:lineRule="auto"/>
        <w:rPr>
          <w:rFonts w:ascii="Times New Roman" w:hAnsi="Times New Roman" w:cs="Times New Roman"/>
          <w:sz w:val="24"/>
        </w:rPr>
      </w:pPr>
      <w:r>
        <w:rPr>
          <w:rFonts w:ascii="Times New Roman" w:hAnsi="Times New Roman" w:cs="Times New Roman"/>
          <w:color w:val="000000"/>
          <w:sz w:val="24"/>
        </w:rPr>
        <w:lastRenderedPageBreak/>
        <w:t>Cross-source analysis depends on matching usable observations and documenting calendar and observation-day differences. Sensitivity evaluation should use the same missing-value rules as the baseline. Final conclusions and presentation figures will be updated after these checks so that the report distinguishes implemented tools from evaluated findings.</w:t>
      </w:r>
    </w:p>
    <w:p w14:paraId="65FED6B1" w14:textId="77777777" w:rsidR="00DA7546" w:rsidRPr="007775EA" w:rsidRDefault="00DA7546" w:rsidP="00726BD2">
      <w:pPr>
        <w:spacing w:after="120" w:line="240" w:lineRule="auto"/>
        <w:rPr>
          <w:rFonts w:ascii="Times New Roman" w:hAnsi="Times New Roman" w:cs="Times New Roman"/>
          <w:b/>
          <w:bCs/>
          <w:sz w:val="28"/>
          <w:szCs w:val="28"/>
        </w:rPr>
      </w:pPr>
      <w:r w:rsidRPr="007775EA">
        <w:rPr>
          <w:rFonts w:ascii="Times New Roman" w:hAnsi="Times New Roman" w:cs="Times New Roman"/>
          <w:b/>
          <w:bCs/>
          <w:sz w:val="28"/>
          <w:szCs w:val="28"/>
        </w:rPr>
        <w:t>References</w:t>
      </w:r>
    </w:p>
    <w:p w14:paraId="6E95B6E4" w14:textId="77777777" w:rsidR="00726BD2" w:rsidRDefault="00726BD2" w:rsidP="00726BD2">
      <w:pPr>
        <w:spacing w:after="120" w:line="240" w:lineRule="auto"/>
        <w:rPr>
          <w:rFonts w:ascii="Times New Roman" w:hAnsi="Times New Roman" w:cs="Times New Roman"/>
          <w:sz w:val="24"/>
        </w:rPr>
        <w:ind w:left="360" w:hanging="360"/>
      </w:pPr>
      <w:r>
        <w:rPr>
          <w:rFonts w:ascii="Times New Roman" w:hAnsi="Times New Roman" w:cs="Times New Roman"/>
          <w:sz w:val="24"/>
          <w:color w:val="000000"/>
          <w:b w:val="0"/>
        </w:rPr>
        <w:t>[1] Oak Ridge National Laboratory Distributed Active Archive Center (ORNL DAAC). Daymet: Daily Surface Weather Data on a 1-km Grid for North America, Version 4 R1. Available: https://doi.org/10.3334/ORNLDAAC/2129</w:t>
      </w:r>
    </w:p>
    <w:p w14:paraId="6E95B6E4" w14:textId="77777777" w:rsidR="00726BD2" w:rsidRDefault="00726BD2" w:rsidP="00726BD2">
      <w:pPr>
        <w:spacing w:after="120" w:line="240" w:lineRule="auto"/>
        <w:rPr>
          <w:rFonts w:ascii="Times New Roman" w:hAnsi="Times New Roman" w:cs="Times New Roman"/>
          <w:sz w:val="24"/>
        </w:rPr>
        <w:ind w:left="360" w:hanging="360"/>
      </w:pPr>
      <w:r>
        <w:rPr>
          <w:rFonts w:ascii="Times New Roman" w:hAnsi="Times New Roman" w:cs="Times New Roman"/>
          <w:sz w:val="24"/>
          <w:color w:val="000000"/>
          <w:b w:val="0"/>
        </w:rPr>
        <w:t>[2] ORNL DAAC. Daymet Single Pixel Extraction Tool Guide. Available: https://daymet.ornl.gov/single-pixel-tool-guide</w:t>
      </w:r>
    </w:p>
    <w:p w14:paraId="6E95B6E4" w14:textId="77777777" w:rsidR="00726BD2" w:rsidRDefault="00726BD2" w:rsidP="00726BD2">
      <w:pPr>
        <w:spacing w:after="120" w:line="240" w:lineRule="auto"/>
        <w:rPr>
          <w:rFonts w:ascii="Times New Roman" w:hAnsi="Times New Roman" w:cs="Times New Roman"/>
          <w:sz w:val="24"/>
        </w:rPr>
        <w:ind w:left="360" w:hanging="360"/>
      </w:pPr>
      <w:r>
        <w:rPr>
          <w:rFonts w:ascii="Times New Roman" w:hAnsi="Times New Roman" w:cs="Times New Roman"/>
          <w:sz w:val="24"/>
          <w:color w:val="000000"/>
          <w:b w:val="0"/>
        </w:rPr>
        <w:t>[3] NOAA National Centers for Environmental Information. Global Historical Climatology Network daily (GHCNd). Available: https://www.ncei.noaa.gov/products/land-based-station/global-historical-climatology-network-daily</w:t>
      </w:r>
    </w:p>
    <w:p w14:paraId="6E95B6E4" w14:textId="77777777" w:rsidR="00726BD2" w:rsidRDefault="00726BD2" w:rsidP="00726BD2">
      <w:pPr>
        <w:spacing w:after="120" w:line="240" w:lineRule="auto"/>
        <w:rPr>
          <w:rFonts w:ascii="Times New Roman" w:hAnsi="Times New Roman" w:cs="Times New Roman"/>
          <w:sz w:val="24"/>
        </w:rPr>
        <w:ind w:left="360" w:hanging="360"/>
      </w:pPr>
      <w:r>
        <w:rPr>
          <w:rFonts w:ascii="Times New Roman" w:hAnsi="Times New Roman" w:cs="Times New Roman"/>
          <w:sz w:val="24"/>
          <w:color w:val="000000"/>
          <w:b w:val="0"/>
        </w:rPr>
        <w:t>[4] NOAA National Centers for Environmental Information. README File for Daily Global Historical Climatology Network (GHCN-Daily): Data Format and Flag Definitions. Available: https://www.ncei.noaa.gov/pub/data/ghcn/daily/readme.txt</w:t>
      </w:r>
    </w:p>
    <w:p w14:paraId="6E95B6E4" w14:textId="77777777" w:rsidR="00726BD2" w:rsidRDefault="00726BD2" w:rsidP="00726BD2">
      <w:pPr>
        <w:spacing w:after="120" w:line="240" w:lineRule="auto"/>
        <w:rPr>
          <w:rFonts w:ascii="Times New Roman" w:hAnsi="Times New Roman" w:cs="Times New Roman"/>
          <w:sz w:val="24"/>
        </w:rPr>
        <w:ind w:left="360" w:hanging="360"/>
      </w:pPr>
      <w:r>
        <w:rPr>
          <w:rFonts w:ascii="Times New Roman" w:hAnsi="Times New Roman" w:cs="Times New Roman"/>
          <w:sz w:val="24"/>
          <w:color w:val="000000"/>
          <w:b w:val="0"/>
        </w:rPr>
        <w:t>[5] Climdex. Indices: Climate Extremes Definitions and Formulae. Available: https://www.climdex.org/learn/indices/</w:t>
      </w:r>
    </w:p>
    <w:p w14:paraId="6E95B6E4" w14:textId="77777777" w:rsidR="00726BD2" w:rsidRDefault="00726BD2" w:rsidP="00726BD2">
      <w:pPr>
        <w:spacing w:after="120" w:line="240" w:lineRule="auto"/>
        <w:rPr>
          <w:rFonts w:ascii="Times New Roman" w:hAnsi="Times New Roman" w:cs="Times New Roman"/>
          <w:sz w:val="24"/>
        </w:rPr>
        <w:ind w:left="360" w:hanging="360"/>
      </w:pPr>
      <w:r>
        <w:rPr>
          <w:rFonts w:ascii="Times New Roman" w:hAnsi="Times New Roman" w:cs="Times New Roman"/>
          <w:sz w:val="24"/>
          <w:color w:val="000000"/>
          <w:b w:val="0"/>
        </w:rPr>
        <w:t>[6] University of Wisconsin-Madison and University of Minnesota Extension. Ginseng. Alternative Field Crops Manual. Available: https://corn.agronomy.wisc.edu/Crops/Ginseng.aspx</w:t>
      </w:r>
    </w:p>
    <w:p w14:paraId="6E95B6E4" w14:textId="77777777" w:rsidR="00726BD2" w:rsidRDefault="00726BD2" w:rsidP="00726BD2">
      <w:pPr>
        <w:spacing w:after="120" w:line="240" w:lineRule="auto"/>
        <w:rPr>
          <w:rFonts w:ascii="Times New Roman" w:hAnsi="Times New Roman" w:cs="Times New Roman"/>
          <w:sz w:val="24"/>
        </w:rPr>
        <w:ind w:left="360" w:hanging="360"/>
      </w:pPr>
      <w:r>
        <w:rPr>
          <w:rFonts w:ascii="Times New Roman" w:hAnsi="Times New Roman" w:cs="Times New Roman"/>
          <w:sz w:val="24"/>
          <w:color w:val="000000"/>
          <w:b w:val="0"/>
        </w:rPr>
        <w:t>[7] Government of Ontario. Ginseng Production. Available: https://www.ontario.ca/page/ginseng-production</w:t>
      </w:r>
    </w:p>
    <w:p w14:paraId="6E95B6E4" w14:textId="77777777" w:rsidR="00726BD2" w:rsidRDefault="00726BD2" w:rsidP="00726BD2">
      <w:pPr>
        <w:spacing w:after="120" w:line="240" w:lineRule="auto"/>
        <w:rPr>
          <w:rFonts w:ascii="Times New Roman" w:hAnsi="Times New Roman" w:cs="Times New Roman"/>
          <w:sz w:val="24"/>
        </w:rPr>
        <w:ind w:left="360" w:hanging="360"/>
      </w:pPr>
      <w:r>
        <w:rPr>
          <w:rFonts w:ascii="Times New Roman" w:hAnsi="Times New Roman" w:cs="Times New Roman"/>
          <w:sz w:val="24"/>
          <w:color w:val="000000"/>
          <w:b w:val="0"/>
        </w:rPr>
        <w:t>[8] U.S. Census Bureau. TIGERweb. Available: https://tigerweb.geo.census.gov/tigerwebmain/TIGERweb_main.html</w:t>
      </w:r>
    </w:p>
    <w:p w14:paraId="6E95B6E4" w14:textId="77777777" w:rsidR="00726BD2" w:rsidRDefault="00726BD2" w:rsidP="00726BD2">
      <w:pPr>
        <w:spacing w:after="120" w:line="240" w:lineRule="auto"/>
        <w:rPr>
          <w:rFonts w:ascii="Times New Roman" w:hAnsi="Times New Roman" w:cs="Times New Roman"/>
          <w:sz w:val="24"/>
        </w:rPr>
        <w:ind w:left="360" w:hanging="360"/>
      </w:pPr>
      <w:r>
        <w:rPr>
          <w:rFonts w:ascii="Times New Roman" w:hAnsi="Times New Roman" w:cs="Times New Roman"/>
          <w:sz w:val="24"/>
          <w:color w:val="000000"/>
          <w:b w:val="0"/>
        </w:rPr>
        <w:t>[9] Vite. Getting Started and Deployment Documentation. Available: https://vite.dev/guide/</w:t>
      </w:r>
    </w:p>
    <w:p w14:paraId="6E95B6E4" w14:textId="77777777" w:rsidR="00726BD2" w:rsidRDefault="00726BD2" w:rsidP="00726BD2">
      <w:pPr>
        <w:spacing w:after="120" w:line="240" w:lineRule="auto"/>
        <w:rPr>
          <w:rFonts w:ascii="Times New Roman" w:hAnsi="Times New Roman" w:cs="Times New Roman"/>
          <w:sz w:val="24"/>
        </w:rPr>
        <w:ind w:left="360" w:hanging="360"/>
      </w:pPr>
      <w:r>
        <w:rPr>
          <w:rFonts w:ascii="Times New Roman" w:hAnsi="Times New Roman" w:cs="Times New Roman"/>
          <w:sz w:val="24"/>
          <w:color w:val="000000"/>
          <w:b w:val="0"/>
        </w:rPr>
        <w:t>[10] Apache Software Foundation. Apache ECharts Documentation. Available: https://echarts.apache.org/en/index.html</w:t>
      </w:r>
    </w:p>
    <w:sectPr w:rsidR="00C9078B" w:rsidRPr="00DA7546">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442A"/>
    <w:rsid w:val="003547FD"/>
    <w:rsid w:val="0037779E"/>
    <w:rsid w:val="0059701F"/>
    <w:rsid w:val="00726BD2"/>
    <w:rsid w:val="00773025"/>
    <w:rsid w:val="007775EA"/>
    <w:rsid w:val="0086442A"/>
    <w:rsid w:val="00865DF8"/>
    <w:rsid w:val="00BB4589"/>
    <w:rsid w:val="00C9078B"/>
    <w:rsid w:val="00D07A5A"/>
    <w:rsid w:val="00DA7546"/>
    <w:rsid w:val="00DC597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B2C0BC"/>
  <w15:chartTrackingRefBased/>
  <w15:docId w15:val="{575AD59B-B36E-4A3F-BE4A-5B64A30763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86442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86442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86442A"/>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86442A"/>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86442A"/>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86442A"/>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86442A"/>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86442A"/>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86442A"/>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86442A"/>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86442A"/>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86442A"/>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86442A"/>
    <w:rPr>
      <w:rFonts w:cstheme="majorBidi"/>
      <w:color w:val="0F4761" w:themeColor="accent1" w:themeShade="BF"/>
      <w:sz w:val="28"/>
      <w:szCs w:val="28"/>
    </w:rPr>
  </w:style>
  <w:style w:type="character" w:customStyle="1" w:styleId="50">
    <w:name w:val="标题 5 字符"/>
    <w:basedOn w:val="a0"/>
    <w:link w:val="5"/>
    <w:uiPriority w:val="9"/>
    <w:semiHidden/>
    <w:rsid w:val="0086442A"/>
    <w:rPr>
      <w:rFonts w:cstheme="majorBidi"/>
      <w:color w:val="0F4761" w:themeColor="accent1" w:themeShade="BF"/>
      <w:sz w:val="24"/>
    </w:rPr>
  </w:style>
  <w:style w:type="character" w:customStyle="1" w:styleId="60">
    <w:name w:val="标题 6 字符"/>
    <w:basedOn w:val="a0"/>
    <w:link w:val="6"/>
    <w:uiPriority w:val="9"/>
    <w:semiHidden/>
    <w:rsid w:val="0086442A"/>
    <w:rPr>
      <w:rFonts w:cstheme="majorBidi"/>
      <w:b/>
      <w:bCs/>
      <w:color w:val="0F4761" w:themeColor="accent1" w:themeShade="BF"/>
    </w:rPr>
  </w:style>
  <w:style w:type="character" w:customStyle="1" w:styleId="70">
    <w:name w:val="标题 7 字符"/>
    <w:basedOn w:val="a0"/>
    <w:link w:val="7"/>
    <w:uiPriority w:val="9"/>
    <w:semiHidden/>
    <w:rsid w:val="0086442A"/>
    <w:rPr>
      <w:rFonts w:cstheme="majorBidi"/>
      <w:b/>
      <w:bCs/>
      <w:color w:val="595959" w:themeColor="text1" w:themeTint="A6"/>
    </w:rPr>
  </w:style>
  <w:style w:type="character" w:customStyle="1" w:styleId="80">
    <w:name w:val="标题 8 字符"/>
    <w:basedOn w:val="a0"/>
    <w:link w:val="8"/>
    <w:uiPriority w:val="9"/>
    <w:semiHidden/>
    <w:rsid w:val="0086442A"/>
    <w:rPr>
      <w:rFonts w:cstheme="majorBidi"/>
      <w:color w:val="595959" w:themeColor="text1" w:themeTint="A6"/>
    </w:rPr>
  </w:style>
  <w:style w:type="character" w:customStyle="1" w:styleId="90">
    <w:name w:val="标题 9 字符"/>
    <w:basedOn w:val="a0"/>
    <w:link w:val="9"/>
    <w:uiPriority w:val="9"/>
    <w:semiHidden/>
    <w:rsid w:val="0086442A"/>
    <w:rPr>
      <w:rFonts w:eastAsiaTheme="majorEastAsia" w:cstheme="majorBidi"/>
      <w:color w:val="595959" w:themeColor="text1" w:themeTint="A6"/>
    </w:rPr>
  </w:style>
  <w:style w:type="paragraph" w:styleId="a3">
    <w:name w:val="Title"/>
    <w:basedOn w:val="a"/>
    <w:next w:val="a"/>
    <w:link w:val="a4"/>
    <w:uiPriority w:val="10"/>
    <w:qFormat/>
    <w:rsid w:val="0086442A"/>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86442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6442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86442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6442A"/>
    <w:pPr>
      <w:spacing w:before="160"/>
      <w:jc w:val="center"/>
    </w:pPr>
    <w:rPr>
      <w:i/>
      <w:iCs/>
      <w:color w:val="404040" w:themeColor="text1" w:themeTint="BF"/>
    </w:rPr>
  </w:style>
  <w:style w:type="character" w:customStyle="1" w:styleId="a8">
    <w:name w:val="引用 字符"/>
    <w:basedOn w:val="a0"/>
    <w:link w:val="a7"/>
    <w:uiPriority w:val="29"/>
    <w:rsid w:val="0086442A"/>
    <w:rPr>
      <w:i/>
      <w:iCs/>
      <w:color w:val="404040" w:themeColor="text1" w:themeTint="BF"/>
    </w:rPr>
  </w:style>
  <w:style w:type="paragraph" w:styleId="a9">
    <w:name w:val="List Paragraph"/>
    <w:basedOn w:val="a"/>
    <w:uiPriority w:val="34"/>
    <w:qFormat/>
    <w:rsid w:val="0086442A"/>
    <w:pPr>
      <w:ind w:left="720"/>
      <w:contextualSpacing/>
    </w:pPr>
  </w:style>
  <w:style w:type="character" w:styleId="aa">
    <w:name w:val="Intense Emphasis"/>
    <w:basedOn w:val="a0"/>
    <w:uiPriority w:val="21"/>
    <w:qFormat/>
    <w:rsid w:val="0086442A"/>
    <w:rPr>
      <w:i/>
      <w:iCs/>
      <w:color w:val="0F4761" w:themeColor="accent1" w:themeShade="BF"/>
    </w:rPr>
  </w:style>
  <w:style w:type="paragraph" w:styleId="ab">
    <w:name w:val="Intense Quote"/>
    <w:basedOn w:val="a"/>
    <w:next w:val="a"/>
    <w:link w:val="ac"/>
    <w:uiPriority w:val="30"/>
    <w:qFormat/>
    <w:rsid w:val="008644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86442A"/>
    <w:rPr>
      <w:i/>
      <w:iCs/>
      <w:color w:val="0F4761" w:themeColor="accent1" w:themeShade="BF"/>
    </w:rPr>
  </w:style>
  <w:style w:type="character" w:styleId="ad">
    <w:name w:val="Intense Reference"/>
    <w:basedOn w:val="a0"/>
    <w:uiPriority w:val="32"/>
    <w:qFormat/>
    <w:rsid w:val="0086442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g"/><Relationship Id="rId5" Type="http://schemas.openxmlformats.org/officeDocument/2006/relationships/image" Target="media/image2.jpg"/><Relationship Id="rId4" Type="http://schemas.openxmlformats.org/officeDocument/2006/relationships/image" Target="media/image1.jpg"/><Relationship Id="rId9" Type="http://schemas.openxmlformats.org/officeDocument/2006/relationships/theme" Target="theme/theme1.xml"/><Relationship Id="rId10" Type="http://schemas.openxmlformats.org/officeDocument/2006/relationships/image" Target="media/image5.png"/><Relationship Id="rId1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Pages>
  <Words>5178</Words>
  <Characters>29521</Characters>
  <Application>Microsoft Office Word</Application>
  <DocSecurity>0</DocSecurity>
  <Lines>246</Lines>
  <Paragraphs>69</Paragraphs>
  <ScaleCrop>false</ScaleCrop>
  <Company/>
  <LinksUpToDate>false</LinksUpToDate>
  <CharactersWithSpaces>34630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桦 白</dc:creator>
  <cp:keywords/>
  <dc:description/>
  <cp:lastModifiedBy>桦 白</cp:lastModifiedBy>
  <cp:revision>7</cp:revision>
  <dcterms:created xsi:type="dcterms:W3CDTF">2026-10-21T23:38:00Z</dcterms:created>
  <dcterms:modified xsi:type="dcterms:W3CDTF">2026-10-22T01:09:00Z</dcterms:modified>
</cp:coreProperties>
</file>