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C185" w14:textId="77777777" w:rsidR="00DA7546" w:rsidRPr="007775EA" w:rsidRDefault="00DA7546" w:rsidP="00DA7546">
      <w:pPr>
        <w:spacing w:after="0" w:line="240" w:lineRule="auto"/>
        <w:jc w:val="center"/>
        <w:rPr>
          <w:rFonts w:ascii="Times New Roman" w:hAnsi="Times New Roman" w:cs="Times New Roman"/>
          <w:b/>
          <w:bCs/>
          <w:sz w:val="32"/>
          <w:szCs w:val="32"/>
        </w:rPr>
      </w:pPr>
      <w:r w:rsidRPr="007775EA">
        <w:rPr>
          <w:rFonts w:ascii="Times New Roman" w:hAnsi="Times New Roman" w:cs="Times New Roman"/>
          <w:b/>
          <w:bCs/>
          <w:sz w:val="32"/>
          <w:szCs w:val="32"/>
        </w:rPr>
        <w:t>Ginseng King Midterm Project Report</w:t>
      </w:r>
    </w:p>
    <w:p w14:paraId="65FDCB61" w14:textId="77777777" w:rsidR="00DA7546" w:rsidRDefault="00DA7546" w:rsidP="00DA7546">
      <w:pPr>
        <w:spacing w:line="240" w:lineRule="auto"/>
        <w:jc w:val="center"/>
        <w:rPr>
          <w:rFonts w:ascii="Times New Roman" w:hAnsi="Times New Roman" w:cs="Times New Roman"/>
          <w:szCs w:val="22"/>
        </w:rPr>
      </w:pPr>
      <w:r w:rsidRPr="00DA7546">
        <w:rPr>
          <w:rFonts w:ascii="Times New Roman" w:hAnsi="Times New Roman" w:cs="Times New Roman"/>
          <w:szCs w:val="22"/>
        </w:rPr>
        <w:t xml:space="preserve">Heming Bai | Cedar Huang | </w:t>
      </w:r>
      <w:proofErr w:type="spellStart"/>
      <w:r w:rsidRPr="00DA7546">
        <w:rPr>
          <w:rFonts w:ascii="Times New Roman" w:hAnsi="Times New Roman" w:cs="Times New Roman"/>
          <w:szCs w:val="22"/>
        </w:rPr>
        <w:t>Haiyue</w:t>
      </w:r>
      <w:proofErr w:type="spellEnd"/>
      <w:r w:rsidRPr="00DA7546">
        <w:rPr>
          <w:rFonts w:ascii="Times New Roman" w:hAnsi="Times New Roman" w:cs="Times New Roman"/>
          <w:szCs w:val="22"/>
        </w:rPr>
        <w:t xml:space="preserve"> Liu</w:t>
      </w:r>
    </w:p>
    <w:p w14:paraId="54702DB1" w14:textId="77777777" w:rsidR="00726BD2" w:rsidRPr="007775EA" w:rsidRDefault="00DA7546" w:rsidP="00726BD2">
      <w:pPr>
        <w:spacing w:after="120" w:line="240" w:lineRule="auto"/>
        <w:rPr>
          <w:rFonts w:ascii="Times New Roman" w:hAnsi="Times New Roman" w:cs="Times New Roman"/>
          <w:b/>
          <w:bCs/>
          <w:sz w:val="28"/>
          <w:szCs w:val="28"/>
        </w:rPr>
      </w:pPr>
      <w:r w:rsidRPr="007775EA">
        <w:rPr>
          <w:rFonts w:ascii="Times New Roman" w:hAnsi="Times New Roman" w:cs="Times New Roman"/>
          <w:b/>
          <w:bCs/>
          <w:sz w:val="28"/>
          <w:szCs w:val="28"/>
        </w:rPr>
        <w:t>1 Introduction</w:t>
      </w:r>
    </w:p>
    <w:p w14:paraId="6E95B6E4" w14:textId="77777777" w:rsidR="00726BD2" w:rsidRDefault="00726BD2" w:rsidP="00726BD2">
      <w:pPr>
        <w:spacing w:after="120" w:line="240" w:lineRule="auto"/>
        <w:rPr>
          <w:rFonts w:ascii="Times New Roman" w:hAnsi="Times New Roman" w:cs="Times New Roman"/>
          <w:sz w:val="24"/>
        </w:rPr>
      </w:pPr>
      <w:r w:rsidRPr="00726BD2">
        <w:rPr>
          <w:rFonts w:ascii="Times New Roman" w:hAnsi="Times New Roman" w:cs="Times New Roman"/>
          <w:sz w:val="24"/>
        </w:rPr>
        <w:t xml:space="preserve">American ginseng is an important specialty crop in Wisconsin, particularly in Marathon County. This project examines historical heat, freezing, and wet-weather exposure using daily temperature and precipitation data from 2004–2025. We use </w:t>
      </w:r>
      <w:proofErr w:type="spellStart"/>
      <w:r w:rsidRPr="00726BD2">
        <w:rPr>
          <w:rFonts w:ascii="Times New Roman" w:hAnsi="Times New Roman" w:cs="Times New Roman"/>
          <w:sz w:val="24"/>
        </w:rPr>
        <w:t>Daymet</w:t>
      </w:r>
      <w:proofErr w:type="spellEnd"/>
      <w:r w:rsidRPr="00726BD2">
        <w:rPr>
          <w:rFonts w:ascii="Times New Roman" w:hAnsi="Times New Roman" w:cs="Times New Roman"/>
          <w:sz w:val="24"/>
        </w:rPr>
        <w:t xml:space="preserve"> estimates at five sampling points within the county and observations from five nearby NOAA stations to compare weather patterns across locations and years. Our goal is to produce a reproducible dataset and accessible visualizations that support future agricultural research. The analysis describes outdoor weather exposure rather than predicting disease, yield, or root quality.</w:t>
      </w:r>
    </w:p>
    <w:p w14:paraId="00962FA2" w14:textId="77777777" w:rsidR="00726BD2" w:rsidRPr="00DA7546" w:rsidRDefault="00726BD2" w:rsidP="00726BD2">
      <w:pPr>
        <w:spacing w:after="120" w:line="240" w:lineRule="auto"/>
        <w:rPr>
          <w:rFonts w:ascii="Times New Roman" w:hAnsi="Times New Roman" w:cs="Times New Roman"/>
          <w:sz w:val="24"/>
        </w:rPr>
      </w:pPr>
    </w:p>
    <w:p w14:paraId="1CAE156C" w14:textId="77777777" w:rsidR="00DA7546" w:rsidRPr="007775EA" w:rsidRDefault="00DA7546" w:rsidP="00726BD2">
      <w:pPr>
        <w:spacing w:after="120" w:line="240" w:lineRule="auto"/>
        <w:rPr>
          <w:rFonts w:ascii="Times New Roman" w:hAnsi="Times New Roman" w:cs="Times New Roman"/>
          <w:b/>
          <w:bCs/>
          <w:sz w:val="28"/>
          <w:szCs w:val="28"/>
        </w:rPr>
      </w:pPr>
      <w:r w:rsidRPr="007775EA">
        <w:rPr>
          <w:rFonts w:ascii="Times New Roman" w:hAnsi="Times New Roman" w:cs="Times New Roman"/>
          <w:b/>
          <w:bCs/>
          <w:sz w:val="28"/>
          <w:szCs w:val="28"/>
        </w:rPr>
        <w:t>2 Work Completed and Deliverables</w:t>
      </w:r>
    </w:p>
    <w:p w14:paraId="5D789338" w14:textId="77777777" w:rsidR="00726BD2" w:rsidRPr="00726BD2" w:rsidRDefault="00726BD2" w:rsidP="00726BD2">
      <w:pPr>
        <w:spacing w:after="120" w:line="240" w:lineRule="auto"/>
        <w:rPr>
          <w:rFonts w:ascii="Times New Roman" w:hAnsi="Times New Roman" w:cs="Times New Roman"/>
          <w:sz w:val="24"/>
        </w:rPr>
      </w:pPr>
      <w:r>
        <w:rPr>
          <w:rFonts w:ascii="Times New Roman" w:hAnsi="Times New Roman" w:cs="Times New Roman" w:hint="eastAsia"/>
          <w:sz w:val="24"/>
        </w:rPr>
        <w:t>Our</w:t>
      </w:r>
      <w:r w:rsidRPr="00726BD2">
        <w:rPr>
          <w:rFonts w:ascii="Times New Roman" w:hAnsi="Times New Roman" w:cs="Times New Roman" w:hint="eastAsia"/>
          <w:sz w:val="24"/>
        </w:rPr>
        <w:t xml:space="preserve"> team has completed data acquisition and processing for the 22-year study period. Deliverables include cleaned NOAA observations from five stations, </w:t>
      </w:r>
      <w:proofErr w:type="spellStart"/>
      <w:r w:rsidRPr="00726BD2">
        <w:rPr>
          <w:rFonts w:ascii="Times New Roman" w:hAnsi="Times New Roman" w:cs="Times New Roman" w:hint="eastAsia"/>
          <w:sz w:val="24"/>
        </w:rPr>
        <w:t>Daymet</w:t>
      </w:r>
      <w:proofErr w:type="spellEnd"/>
      <w:r w:rsidRPr="00726BD2">
        <w:rPr>
          <w:rFonts w:ascii="Times New Roman" w:hAnsi="Times New Roman" w:cs="Times New Roman" w:hint="eastAsia"/>
          <w:sz w:val="24"/>
        </w:rPr>
        <w:t xml:space="preserve"> estimates for five Marathon County sampling points, and </w:t>
      </w:r>
      <w:proofErr w:type="spellStart"/>
      <w:r w:rsidRPr="00726BD2">
        <w:rPr>
          <w:rFonts w:ascii="Times New Roman" w:hAnsi="Times New Roman" w:cs="Times New Roman" w:hint="eastAsia"/>
          <w:sz w:val="24"/>
        </w:rPr>
        <w:t>Daymet</w:t>
      </w:r>
      <w:proofErr w:type="spellEnd"/>
      <w:r w:rsidRPr="00726BD2">
        <w:rPr>
          <w:rFonts w:ascii="Times New Roman" w:hAnsi="Times New Roman" w:cs="Times New Roman" w:hint="eastAsia"/>
          <w:sz w:val="24"/>
        </w:rPr>
        <w:t xml:space="preserve"> reference data at the five NOAA station coordinates. Each five-location dataset contains 40,180 daily calendar records and 220 annual and growing-season summary records. Raw data, processing scripts, quality-checking tools, and supporting documentation are organized in the shared repository.</w:t>
      </w:r>
    </w:p>
    <w:p w14:paraId="75B4BF84" w14:textId="77777777" w:rsidR="00726BD2" w:rsidRPr="00726BD2" w:rsidRDefault="00726BD2" w:rsidP="00726BD2">
      <w:pPr>
        <w:spacing w:after="120" w:line="240" w:lineRule="auto"/>
        <w:rPr>
          <w:rFonts w:ascii="Times New Roman" w:hAnsi="Times New Roman" w:cs="Times New Roman"/>
          <w:sz w:val="24"/>
        </w:rPr>
      </w:pPr>
      <w:r w:rsidRPr="00726BD2">
        <w:rPr>
          <w:rFonts w:ascii="Times New Roman" w:hAnsi="Times New Roman" w:cs="Times New Roman" w:hint="eastAsia"/>
          <w:sz w:val="24"/>
        </w:rPr>
        <w:t xml:space="preserve">We have implemented freezing-day, hot-day, wet-day, heavy-precipitation, and prolonged-wet-day indicators. The </w:t>
      </w:r>
      <w:proofErr w:type="spellStart"/>
      <w:r w:rsidRPr="00726BD2">
        <w:rPr>
          <w:rFonts w:ascii="Times New Roman" w:hAnsi="Times New Roman" w:cs="Times New Roman" w:hint="eastAsia"/>
          <w:sz w:val="24"/>
        </w:rPr>
        <w:t>Daymet</w:t>
      </w:r>
      <w:proofErr w:type="spellEnd"/>
      <w:r w:rsidRPr="00726BD2">
        <w:rPr>
          <w:rFonts w:ascii="Times New Roman" w:hAnsi="Times New Roman" w:cs="Times New Roman" w:hint="eastAsia"/>
          <w:sz w:val="24"/>
        </w:rPr>
        <w:t xml:space="preserve"> summaries also include the longest observed wet spell. Preliminary tables and figures compare exposure across years and county sampling points, identifying years with the highest counts for different indicators.</w:t>
      </w:r>
    </w:p>
    <w:p w14:paraId="32243054" w14:textId="77777777" w:rsidR="00726BD2" w:rsidRDefault="00726BD2" w:rsidP="00726BD2">
      <w:pPr>
        <w:spacing w:after="120" w:line="240" w:lineRule="auto"/>
        <w:rPr>
          <w:rFonts w:ascii="Times New Roman" w:hAnsi="Times New Roman" w:cs="Times New Roman"/>
          <w:sz w:val="24"/>
        </w:rPr>
      </w:pPr>
      <w:r w:rsidRPr="00726BD2">
        <w:rPr>
          <w:rFonts w:ascii="Times New Roman" w:hAnsi="Times New Roman" w:cs="Times New Roman" w:hint="eastAsia"/>
          <w:sz w:val="24"/>
        </w:rPr>
        <w:t xml:space="preserve">The team has also developed an interactive website that presents NOAA and </w:t>
      </w:r>
      <w:proofErr w:type="spellStart"/>
      <w:r w:rsidRPr="00726BD2">
        <w:rPr>
          <w:rFonts w:ascii="Times New Roman" w:hAnsi="Times New Roman" w:cs="Times New Roman" w:hint="eastAsia"/>
          <w:sz w:val="24"/>
        </w:rPr>
        <w:t>Daymet</w:t>
      </w:r>
      <w:proofErr w:type="spellEnd"/>
      <w:r w:rsidRPr="00726BD2">
        <w:rPr>
          <w:rFonts w:ascii="Times New Roman" w:hAnsi="Times New Roman" w:cs="Times New Roman" w:hint="eastAsia"/>
          <w:sz w:val="24"/>
        </w:rPr>
        <w:t xml:space="preserve"> results through charts, maps, heatmaps, and summary tables. It supports location and year filtering, daily weather inspection, exploratory changes to thresholds and growing-season settings, and figure and data exports. A reference-coordinate comparison view displays matching NOAA and </w:t>
      </w:r>
      <w:proofErr w:type="spellStart"/>
      <w:r w:rsidRPr="00726BD2">
        <w:rPr>
          <w:rFonts w:ascii="Times New Roman" w:hAnsi="Times New Roman" w:cs="Times New Roman" w:hint="eastAsia"/>
          <w:sz w:val="24"/>
        </w:rPr>
        <w:t>Daymet</w:t>
      </w:r>
      <w:proofErr w:type="spellEnd"/>
      <w:r w:rsidRPr="00726BD2">
        <w:rPr>
          <w:rFonts w:ascii="Times New Roman" w:hAnsi="Times New Roman" w:cs="Times New Roman" w:hint="eastAsia"/>
          <w:sz w:val="24"/>
        </w:rPr>
        <w:t xml:space="preserve"> summary indicators. These features provide a foundation for the remaining quantitative comparison and systematic sensitivity analysis.</w:t>
      </w:r>
    </w:p>
    <w:p w14:paraId="315EC648" w14:textId="77777777" w:rsidR="00726BD2" w:rsidRPr="00DA7546" w:rsidRDefault="00726BD2" w:rsidP="00726BD2">
      <w:pPr>
        <w:spacing w:after="120" w:line="240" w:lineRule="auto"/>
        <w:rPr>
          <w:rFonts w:ascii="Times New Roman" w:hAnsi="Times New Roman" w:cs="Times New Roman"/>
          <w:sz w:val="24"/>
        </w:rPr>
      </w:pPr>
    </w:p>
    <w:p w14:paraId="1BE981BD" w14:textId="77777777" w:rsidR="00DA7546" w:rsidRPr="007775EA" w:rsidRDefault="00DA7546" w:rsidP="00726BD2">
      <w:pPr>
        <w:spacing w:after="120" w:line="240" w:lineRule="auto"/>
        <w:rPr>
          <w:rFonts w:ascii="Times New Roman" w:hAnsi="Times New Roman" w:cs="Times New Roman"/>
          <w:b/>
          <w:bCs/>
          <w:sz w:val="28"/>
          <w:szCs w:val="28"/>
        </w:rPr>
      </w:pPr>
      <w:r w:rsidRPr="007775EA">
        <w:rPr>
          <w:rFonts w:ascii="Times New Roman" w:hAnsi="Times New Roman" w:cs="Times New Roman"/>
          <w:b/>
          <w:bCs/>
          <w:sz w:val="28"/>
          <w:szCs w:val="28"/>
        </w:rPr>
        <w:t>3 Data and Method</w:t>
      </w:r>
    </w:p>
    <w:p w14:paraId="6CCB89CF" w14:textId="77777777" w:rsidR="00DA7546" w:rsidRPr="00DA7546" w:rsidRDefault="00DA7546" w:rsidP="00726BD2">
      <w:pPr>
        <w:spacing w:after="120" w:line="240" w:lineRule="auto"/>
        <w:rPr>
          <w:rFonts w:ascii="Times New Roman" w:hAnsi="Times New Roman" w:cs="Times New Roman"/>
          <w:b/>
          <w:bCs/>
          <w:sz w:val="24"/>
        </w:rPr>
      </w:pPr>
      <w:r w:rsidRPr="00DA7546">
        <w:rPr>
          <w:rFonts w:ascii="Times New Roman" w:hAnsi="Times New Roman" w:cs="Times New Roman"/>
          <w:b/>
          <w:bCs/>
          <w:sz w:val="24"/>
        </w:rPr>
        <w:t xml:space="preserve">3.1 </w:t>
      </w:r>
      <w:proofErr w:type="spellStart"/>
      <w:r w:rsidRPr="00DA7546">
        <w:rPr>
          <w:rFonts w:ascii="Times New Roman" w:hAnsi="Times New Roman" w:cs="Times New Roman"/>
          <w:b/>
          <w:bCs/>
          <w:sz w:val="24"/>
        </w:rPr>
        <w:t>Daymet</w:t>
      </w:r>
      <w:proofErr w:type="spellEnd"/>
      <w:r w:rsidRPr="00DA7546">
        <w:rPr>
          <w:rFonts w:ascii="Times New Roman" w:hAnsi="Times New Roman" w:cs="Times New Roman"/>
          <w:b/>
          <w:bCs/>
          <w:sz w:val="24"/>
        </w:rPr>
        <w:t xml:space="preserve"> Data</w:t>
      </w:r>
    </w:p>
    <w:p w14:paraId="5772AB61"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Data scope and sampling locations</w:t>
      </w:r>
    </w:p>
    <w:p w14:paraId="652598B4"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lastRenderedPageBreak/>
        <w:t>We acquired and processed Daymet daily maximum temperature, minimum temperature, and precipitation from January 1, 2004 through December 31, 2025 at ten coordinates. Five geographic sampling points within Marathon County support spatial comparisons, while five separate reference points at NOAA station coordinates support NOAA-Daymet comparison.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3600"/>
        <w:gridCol w:w="3744"/>
      </w:tblGrid>
      <w:tr w:rsidR="0059701F" w14:paraId="498A7E68" w14:textId="77777777">
        <w:trPr>
          <w:cantSplit/>
          <w:tblHeader/>
        </w:trPr>
        <w:tc>
          <w:tcPr>
            <w:tcW w:w="2016" w:type="dxa"/>
          </w:tcPr>
          <w:p w14:paraId="6E6023E1"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Dataset</w:t>
            </w:r>
          </w:p>
        </w:tc>
        <w:tc>
          <w:tcPr>
            <w:tcW w:w="3600" w:type="dxa"/>
          </w:tcPr>
          <w:p w14:paraId="794D5D8E"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Locations</w:t>
            </w:r>
          </w:p>
        </w:tc>
        <w:tc>
          <w:tcPr>
            <w:tcW w:w="3744" w:type="dxa"/>
          </w:tcPr>
          <w:p w14:paraId="280B034E"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Purpose</w:t>
            </w:r>
          </w:p>
        </w:tc>
      </w:tr>
      <w:tr w:rsidR="0059701F" w14:paraId="61F4A438" w14:textId="77777777">
        <w:trPr>
          <w:cantSplit/>
        </w:trPr>
        <w:tc>
          <w:tcPr>
            <w:tcW w:w="2016" w:type="dxa"/>
          </w:tcPr>
          <w:p w14:paraId="61204906"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County sampling points</w:t>
            </w:r>
          </w:p>
        </w:tc>
        <w:tc>
          <w:tcPr>
            <w:tcW w:w="3600" w:type="dxa"/>
          </w:tcPr>
          <w:p w14:paraId="2E9E64F1"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Central, northern, southern, western, and eastern Marathon County</w:t>
            </w:r>
          </w:p>
        </w:tc>
        <w:tc>
          <w:tcPr>
            <w:tcW w:w="3744" w:type="dxa"/>
          </w:tcPr>
          <w:p w14:paraId="0D932B66"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Compare weather exposure across county points and years</w:t>
            </w:r>
          </w:p>
        </w:tc>
      </w:tr>
      <w:tr w:rsidR="0059701F" w14:paraId="797CA307" w14:textId="77777777">
        <w:trPr>
          <w:cantSplit/>
        </w:trPr>
        <w:tc>
          <w:tcPr>
            <w:tcW w:w="2016" w:type="dxa"/>
          </w:tcPr>
          <w:p w14:paraId="014CF315"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NOAA reference coordinates</w:t>
            </w:r>
          </w:p>
        </w:tc>
        <w:tc>
          <w:tcPr>
            <w:tcW w:w="3600" w:type="dxa"/>
          </w:tcPr>
          <w:p w14:paraId="00160DFA"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Five selected NOAA station coordinates</w:t>
            </w:r>
          </w:p>
        </w:tc>
        <w:tc>
          <w:tcPr>
            <w:tcW w:w="3744" w:type="dxa"/>
          </w:tcPr>
          <w:p w14:paraId="6922DCC7"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Match NOAA and Daymet records by station ID and calendar date</w:t>
            </w:r>
          </w:p>
        </w:tc>
      </w:tr>
    </w:tbl>
    <w:p w14:paraId="3D874A57"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The county coordinates were checked against the U.S. Census Bureau TIGERweb county boundary, GEOID 55073. They are geographic sampling locations, not verified ginseng farms or a random sample of agricultural land. Each download records its source URL, requested coordinates, retrieval time, source header, and SHA-256 checksum. Processing verifies the raw checksum and records the thresholds used.</w:t>
      </w:r>
    </w:p>
    <w:p w14:paraId="0A3BBCC2"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Calendar handling and output structure</w:t>
      </w:r>
    </w:p>
    <w:p w14:paraId="30C50717"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Each downloaded location file contains 8,030 records: 22 years of 365 Daymet days. Daymet includes February 29 but omits December 31 in leap years. The pipeline inserts the six omitted dates per location, keeping weather values and labels unknown. No interpolation or substitution with dry days is performed.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52"/>
        <w:gridCol w:w="2304"/>
        <w:gridCol w:w="2304"/>
      </w:tblGrid>
      <w:tr w:rsidR="0059701F" w14:paraId="12D72666" w14:textId="77777777">
        <w:trPr>
          <w:cantSplit/>
          <w:tblHeader/>
        </w:trPr>
        <w:tc>
          <w:tcPr>
            <w:tcW w:w="4752" w:type="dxa"/>
          </w:tcPr>
          <w:p w14:paraId="11ADC211"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Output measure</w:t>
            </w:r>
          </w:p>
        </w:tc>
        <w:tc>
          <w:tcPr>
            <w:tcW w:w="2304" w:type="dxa"/>
          </w:tcPr>
          <w:p w14:paraId="51FACF4E"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Per location</w:t>
            </w:r>
          </w:p>
        </w:tc>
        <w:tc>
          <w:tcPr>
            <w:tcW w:w="2304" w:type="dxa"/>
          </w:tcPr>
          <w:p w14:paraId="1DEFC7F8"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Per five-point group</w:t>
            </w:r>
          </w:p>
        </w:tc>
      </w:tr>
      <w:tr w:rsidR="0059701F" w14:paraId="5E56C631" w14:textId="77777777">
        <w:trPr>
          <w:cantSplit/>
        </w:trPr>
        <w:tc>
          <w:tcPr>
            <w:tcW w:w="4752" w:type="dxa"/>
          </w:tcPr>
          <w:p w14:paraId="62E8DE76"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Daily calendar rows</w:t>
            </w:r>
          </w:p>
        </w:tc>
        <w:tc>
          <w:tcPr>
            <w:tcW w:w="2304" w:type="dxa"/>
          </w:tcPr>
          <w:p w14:paraId="1AAB32AE"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8,036</w:t>
            </w:r>
          </w:p>
        </w:tc>
        <w:tc>
          <w:tcPr>
            <w:tcW w:w="2304" w:type="dxa"/>
          </w:tcPr>
          <w:p w14:paraId="34C40093"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40,180</w:t>
            </w:r>
          </w:p>
        </w:tc>
      </w:tr>
      <w:tr w:rsidR="0059701F" w14:paraId="57D2701B" w14:textId="77777777">
        <w:trPr>
          <w:cantSplit/>
        </w:trPr>
        <w:tc>
          <w:tcPr>
            <w:tcW w:w="4752" w:type="dxa"/>
          </w:tcPr>
          <w:p w14:paraId="41FE27E2"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Annual and April-October summary rows</w:t>
            </w:r>
          </w:p>
        </w:tc>
        <w:tc>
          <w:tcPr>
            <w:tcW w:w="2304" w:type="dxa"/>
          </w:tcPr>
          <w:p w14:paraId="4E4CDA06"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44</w:t>
            </w:r>
          </w:p>
        </w:tc>
        <w:tc>
          <w:tcPr>
            <w:tcW w:w="2304" w:type="dxa"/>
          </w:tcPr>
          <w:p w14:paraId="7554F89C"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220</w:t>
            </w:r>
          </w:p>
        </w:tc>
      </w:tr>
      <w:tr w:rsidR="0059701F" w14:paraId="0CE14FCF" w14:textId="77777777">
        <w:trPr>
          <w:cantSplit/>
        </w:trPr>
        <w:tc>
          <w:tcPr>
            <w:tcW w:w="4752" w:type="dxa"/>
          </w:tcPr>
          <w:p w14:paraId="3F23AA54"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Calendar omissions retained as unknown</w:t>
            </w:r>
          </w:p>
        </w:tc>
        <w:tc>
          <w:tcPr>
            <w:tcW w:w="2304" w:type="dxa"/>
          </w:tcPr>
          <w:p w14:paraId="564A2F48"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6</w:t>
            </w:r>
          </w:p>
        </w:tc>
        <w:tc>
          <w:tcPr>
            <w:tcW w:w="2304" w:type="dxa"/>
          </w:tcPr>
          <w:p w14:paraId="7704C408"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30</w:t>
            </w:r>
          </w:p>
        </w:tc>
      </w:tr>
      <w:tr w:rsidR="0059701F" w14:paraId="58F01CCC" w14:textId="77777777">
        <w:trPr>
          <w:cantSplit/>
        </w:trPr>
        <w:tc>
          <w:tcPr>
            <w:tcW w:w="4752" w:type="dxa"/>
          </w:tcPr>
          <w:p w14:paraId="3ABF7711"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Days in each April-October season</w:t>
            </w:r>
          </w:p>
        </w:tc>
        <w:tc>
          <w:tcPr>
            <w:tcW w:w="2304" w:type="dxa"/>
          </w:tcPr>
          <w:p w14:paraId="5E4789DC"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214</w:t>
            </w:r>
          </w:p>
        </w:tc>
        <w:tc>
          <w:tcPr>
            <w:tcW w:w="2304" w:type="dxa"/>
          </w:tcPr>
          <w:p w14:paraId="7980B015"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214 per location</w:t>
            </w:r>
          </w:p>
        </w:tc>
      </w:tr>
    </w:tbl>
    <w:p w14:paraId="0E8DB207"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Outputs include cleaned daily files, annual and April-October summaries, combined datasets, simple five-point yearly means, processing metadata, and audit results. Raw downloads, processing scripts, and progress documentation are stored in the shared repository.</w:t>
      </w:r>
    </w:p>
    <w:p w14:paraId="6CF369F1"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Weather indicators and wet-spell calculations</w:t>
      </w:r>
    </w:p>
    <w:p w14:paraId="5134339E"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The baseline growing season is April through October. Temperatures are already in degrees Celsius. Daily precipitation is expressed as water-equivalent millimeters, including forms other than rain.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4"/>
        <w:gridCol w:w="6336"/>
      </w:tblGrid>
      <w:tr w:rsidR="0059701F" w14:paraId="257B724E" w14:textId="77777777">
        <w:trPr>
          <w:cantSplit/>
          <w:tblHeader/>
        </w:trPr>
        <w:tc>
          <w:tcPr>
            <w:tcW w:w="3024" w:type="dxa"/>
          </w:tcPr>
          <w:p w14:paraId="5AAD11FC"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Indicator</w:t>
            </w:r>
          </w:p>
        </w:tc>
        <w:tc>
          <w:tcPr>
            <w:tcW w:w="6336" w:type="dxa"/>
          </w:tcPr>
          <w:p w14:paraId="3C97C55E"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Operational definition</w:t>
            </w:r>
          </w:p>
        </w:tc>
      </w:tr>
      <w:tr w:rsidR="0059701F" w14:paraId="347600CD" w14:textId="77777777">
        <w:trPr>
          <w:cantSplit/>
        </w:trPr>
        <w:tc>
          <w:tcPr>
            <w:tcW w:w="3024" w:type="dxa"/>
          </w:tcPr>
          <w:p w14:paraId="0BDCD4EF"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Freezing day</w:t>
            </w:r>
          </w:p>
        </w:tc>
        <w:tc>
          <w:tcPr>
            <w:tcW w:w="6336" w:type="dxa"/>
          </w:tcPr>
          <w:p w14:paraId="31E189F3"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TMIN &lt; 0 degrees Celsius</w:t>
            </w:r>
          </w:p>
        </w:tc>
      </w:tr>
      <w:tr w:rsidR="0059701F" w14:paraId="113E12AF" w14:textId="77777777">
        <w:trPr>
          <w:cantSplit/>
        </w:trPr>
        <w:tc>
          <w:tcPr>
            <w:tcW w:w="3024" w:type="dxa"/>
          </w:tcPr>
          <w:p w14:paraId="2E0983ED"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lastRenderedPageBreak/>
              <w:t>Hot day</w:t>
            </w:r>
          </w:p>
        </w:tc>
        <w:tc>
          <w:tcPr>
            <w:tcW w:w="6336" w:type="dxa"/>
          </w:tcPr>
          <w:p w14:paraId="3E16F191"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TMAX &gt;= 30 degrees Celsius</w:t>
            </w:r>
          </w:p>
        </w:tc>
      </w:tr>
      <w:tr w:rsidR="0059701F" w14:paraId="7958FB07" w14:textId="77777777">
        <w:trPr>
          <w:cantSplit/>
        </w:trPr>
        <w:tc>
          <w:tcPr>
            <w:tcW w:w="3024" w:type="dxa"/>
          </w:tcPr>
          <w:p w14:paraId="155F703C"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Wet day</w:t>
            </w:r>
          </w:p>
        </w:tc>
        <w:tc>
          <w:tcPr>
            <w:tcW w:w="6336" w:type="dxa"/>
          </w:tcPr>
          <w:p w14:paraId="09616B2B"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Precipitation &gt;= 1 mm</w:t>
            </w:r>
          </w:p>
        </w:tc>
      </w:tr>
      <w:tr w:rsidR="0059701F" w14:paraId="3DA9CF6D" w14:textId="77777777">
        <w:trPr>
          <w:cantSplit/>
        </w:trPr>
        <w:tc>
          <w:tcPr>
            <w:tcW w:w="3024" w:type="dxa"/>
          </w:tcPr>
          <w:p w14:paraId="65A33466"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Heavy-precipitation day</w:t>
            </w:r>
          </w:p>
        </w:tc>
        <w:tc>
          <w:tcPr>
            <w:tcW w:w="6336" w:type="dxa"/>
          </w:tcPr>
          <w:p w14:paraId="411E2CCF"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Precipitation &gt;= 20 mm</w:t>
            </w:r>
          </w:p>
        </w:tc>
      </w:tr>
      <w:tr w:rsidR="0059701F" w14:paraId="3FA7C35E" w14:textId="77777777">
        <w:trPr>
          <w:cantSplit/>
        </w:trPr>
        <w:tc>
          <w:tcPr>
            <w:tcW w:w="3024" w:type="dxa"/>
          </w:tcPr>
          <w:p w14:paraId="3687545A"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Prolonged-wet day</w:t>
            </w:r>
          </w:p>
        </w:tc>
        <w:tc>
          <w:tcPr>
            <w:tcW w:w="6336" w:type="dxa"/>
          </w:tcPr>
          <w:p w14:paraId="00BBCCAD"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A day belonging to an observed run of at least three consecutive wet days</w:t>
            </w:r>
          </w:p>
        </w:tc>
      </w:tr>
      <w:tr w:rsidR="0059701F" w14:paraId="73BB007E" w14:textId="77777777">
        <w:trPr>
          <w:cantSplit/>
        </w:trPr>
        <w:tc>
          <w:tcPr>
            <w:tcW w:w="3024" w:type="dxa"/>
          </w:tcPr>
          <w:p w14:paraId="21FEC1AC"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Longest observed wet spell</w:t>
            </w:r>
          </w:p>
        </w:tc>
        <w:tc>
          <w:tcPr>
            <w:tcW w:w="6336" w:type="dxa"/>
          </w:tcPr>
          <w:p w14:paraId="45589E3A"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Longest observed consecutive wet-day run within the annual or growing-season period</w:t>
            </w:r>
          </w:p>
        </w:tc>
      </w:tr>
    </w:tbl>
    <w:p w14:paraId="680ED16A"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The heat threshold and three-day duration are project screening choices rather than validated crop-damage thresholds. Wet-spell membership is calculated on the complete continuous calendar before filtering by season or year. Every day in a confirmed run is labeled true. Missing precipitation interrupts confirmation; short runs adjoining missing data or dataset boundaries remain unknown when their full duration cannot be established. Runs never bridge missing precipitation. The longest observed wet spell is reported separately from cumulative prolonged-wet-day membership. With missing observations, it is an observed lower bound.</w:t>
      </w:r>
    </w:p>
    <w:p w14:paraId="1B84C23A"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Quality checks</w:t>
      </w:r>
    </w:p>
    <w:p w14:paraId="4F1BE211"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Both five-point groups passed calendar and summary-accounting checks. These covered expected row counts, unique location-date keys, complete calendars, growing-season flags, valid true/false/unknown labels, agreement between daily label counts and summary counts, and agreement between nonmissing values and reported coverage. The pipeline rejects negative precipitation and TMAX below TMIN when both temperatures are available. All three variables had 100% availability in every April-October location-year period. Raw-data checksums were also verified against the staged Git files. These checks support reproducibility and internal consistency; they do not establish the accuracy of gridded estimates against field conditions.</w:t>
      </w:r>
    </w:p>
    <w:p w14:paraId="7BBC8C73"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Preliminary county sampling-point results</w:t>
      </w:r>
    </w:p>
    <w:p w14:paraId="0B6515A9"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Three preliminary figures compare hot-day counts, freezing-day counts, and the longest observed wet spell across county points and years. The table below reports the highest mean year for each count indicator during April-October. Values are simple means across the five county sampling points, not area-weighted county averages or counts of dates when an event occurred at every point.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08"/>
        <w:gridCol w:w="2592"/>
        <w:gridCol w:w="2160"/>
      </w:tblGrid>
      <w:tr w:rsidR="0059701F" w14:paraId="51E8CB2D" w14:textId="77777777">
        <w:trPr>
          <w:cantSplit/>
          <w:tblHeader/>
        </w:trPr>
        <w:tc>
          <w:tcPr>
            <w:tcW w:w="4608" w:type="dxa"/>
          </w:tcPr>
          <w:p w14:paraId="3FFCADDD"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Indicator</w:t>
            </w:r>
          </w:p>
        </w:tc>
        <w:tc>
          <w:tcPr>
            <w:tcW w:w="2592" w:type="dxa"/>
          </w:tcPr>
          <w:p w14:paraId="5BA6DD56"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Highest mean year</w:t>
            </w:r>
          </w:p>
        </w:tc>
        <w:tc>
          <w:tcPr>
            <w:tcW w:w="2160" w:type="dxa"/>
          </w:tcPr>
          <w:p w14:paraId="2B861538"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b/>
                <w:color w:val="000000"/>
                <w:sz w:val="24"/>
              </w:rPr>
              <w:t>Mean days</w:t>
            </w:r>
          </w:p>
        </w:tc>
      </w:tr>
      <w:tr w:rsidR="0059701F" w14:paraId="2CE38D5D" w14:textId="77777777">
        <w:trPr>
          <w:cantSplit/>
        </w:trPr>
        <w:tc>
          <w:tcPr>
            <w:tcW w:w="4608" w:type="dxa"/>
          </w:tcPr>
          <w:p w14:paraId="6AC76246"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Freezing days</w:t>
            </w:r>
          </w:p>
        </w:tc>
        <w:tc>
          <w:tcPr>
            <w:tcW w:w="2592" w:type="dxa"/>
          </w:tcPr>
          <w:p w14:paraId="7E120AF7"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2018</w:t>
            </w:r>
          </w:p>
        </w:tc>
        <w:tc>
          <w:tcPr>
            <w:tcW w:w="2160" w:type="dxa"/>
          </w:tcPr>
          <w:p w14:paraId="153BA988"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43.8</w:t>
            </w:r>
          </w:p>
        </w:tc>
      </w:tr>
      <w:tr w:rsidR="0059701F" w14:paraId="64AF7A25" w14:textId="77777777">
        <w:trPr>
          <w:cantSplit/>
        </w:trPr>
        <w:tc>
          <w:tcPr>
            <w:tcW w:w="4608" w:type="dxa"/>
          </w:tcPr>
          <w:p w14:paraId="30B30326"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Hot days</w:t>
            </w:r>
          </w:p>
        </w:tc>
        <w:tc>
          <w:tcPr>
            <w:tcW w:w="2592" w:type="dxa"/>
          </w:tcPr>
          <w:p w14:paraId="5E8CA4E4"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2012</w:t>
            </w:r>
          </w:p>
        </w:tc>
        <w:tc>
          <w:tcPr>
            <w:tcW w:w="2160" w:type="dxa"/>
          </w:tcPr>
          <w:p w14:paraId="549EA1BC"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32.2</w:t>
            </w:r>
          </w:p>
        </w:tc>
      </w:tr>
      <w:tr w:rsidR="0059701F" w14:paraId="13DC7EFF" w14:textId="77777777">
        <w:trPr>
          <w:cantSplit/>
        </w:trPr>
        <w:tc>
          <w:tcPr>
            <w:tcW w:w="4608" w:type="dxa"/>
          </w:tcPr>
          <w:p w14:paraId="3AEDB6E8"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Wet days</w:t>
            </w:r>
          </w:p>
        </w:tc>
        <w:tc>
          <w:tcPr>
            <w:tcW w:w="2592" w:type="dxa"/>
          </w:tcPr>
          <w:p w14:paraId="4C8EB779"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2014</w:t>
            </w:r>
          </w:p>
        </w:tc>
        <w:tc>
          <w:tcPr>
            <w:tcW w:w="2160" w:type="dxa"/>
          </w:tcPr>
          <w:p w14:paraId="1A218AF4"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88.2</w:t>
            </w:r>
          </w:p>
        </w:tc>
      </w:tr>
      <w:tr w:rsidR="0059701F" w14:paraId="3FB10DB2" w14:textId="77777777">
        <w:trPr>
          <w:cantSplit/>
        </w:trPr>
        <w:tc>
          <w:tcPr>
            <w:tcW w:w="4608" w:type="dxa"/>
          </w:tcPr>
          <w:p w14:paraId="0D00B3A3"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Heavy-precipitation days</w:t>
            </w:r>
          </w:p>
        </w:tc>
        <w:tc>
          <w:tcPr>
            <w:tcW w:w="2592" w:type="dxa"/>
          </w:tcPr>
          <w:p w14:paraId="6EF83420"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2019</w:t>
            </w:r>
          </w:p>
        </w:tc>
        <w:tc>
          <w:tcPr>
            <w:tcW w:w="2160" w:type="dxa"/>
          </w:tcPr>
          <w:p w14:paraId="42F4AD81"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14.4</w:t>
            </w:r>
          </w:p>
        </w:tc>
      </w:tr>
      <w:tr w:rsidR="0059701F" w14:paraId="1CB8522C" w14:textId="77777777">
        <w:trPr>
          <w:cantSplit/>
        </w:trPr>
        <w:tc>
          <w:tcPr>
            <w:tcW w:w="4608" w:type="dxa"/>
          </w:tcPr>
          <w:p w14:paraId="06674BB8"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lastRenderedPageBreak/>
              <w:t>Prolonged-wet-day membership</w:t>
            </w:r>
          </w:p>
        </w:tc>
        <w:tc>
          <w:tcPr>
            <w:tcW w:w="2592" w:type="dxa"/>
          </w:tcPr>
          <w:p w14:paraId="43D09475"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2014</w:t>
            </w:r>
          </w:p>
        </w:tc>
        <w:tc>
          <w:tcPr>
            <w:tcW w:w="2160" w:type="dxa"/>
          </w:tcPr>
          <w:p w14:paraId="33DC1257"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47.8</w:t>
            </w:r>
          </w:p>
        </w:tc>
      </w:tr>
    </w:tbl>
    <w:p w14:paraId="66352F29"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Yearly means are calculated only when all five points have complete labels for the indicator and period. Different peak years show why a single weather measure cannot summarize a growing season. For example, 2014 had the highest mean wet-day count, while 2019 had the highest mean heavy-precipitation count. Rainfall frequency and heavy-event frequency describe different aspects of exposure. The 47.8-day value is cumulative prolonged-wet-day membership, not one continuous spell.</w:t>
      </w:r>
    </w:p>
    <w:p w14:paraId="215F152F" w14:textId="77777777" w:rsidR="0059701F" w:rsidRDefault="00000000">
      <w:pPr>
        <w:spacing w:after="120" w:line="240" w:lineRule="auto"/>
        <w:rPr>
          <w:rFonts w:ascii="Times New Roman" w:hAnsi="Times New Roman" w:cs="Times New Roman"/>
          <w:sz w:val="24"/>
        </w:rPr>
      </w:pPr>
      <w:r>
        <w:rPr>
          <w:rFonts w:ascii="Times New Roman" w:hAnsi="Times New Roman" w:cs="Times New Roman"/>
          <w:color w:val="000000"/>
          <w:sz w:val="24"/>
        </w:rPr>
        <w:t>Freezing-day totals also require timing information because April and October freezes may have different agricultural implications. These descriptive results do not establish a long-term trend, statistical significance, or effects on disease, yield, or root quality. Outdoor weather estimates do not directly represent shaded-canopy temperature, leaf wetness, or soil moisture.</w:t>
      </w:r>
    </w:p>
    <w:p w14:paraId="57BC6505" w14:textId="77777777" w:rsidR="00DA7546" w:rsidRPr="00DA7546" w:rsidRDefault="00DA7546" w:rsidP="00726BD2">
      <w:pPr>
        <w:spacing w:after="120" w:line="240" w:lineRule="auto"/>
        <w:rPr>
          <w:rFonts w:ascii="Times New Roman" w:hAnsi="Times New Roman" w:cs="Times New Roman"/>
          <w:b/>
          <w:bCs/>
          <w:sz w:val="24"/>
        </w:rPr>
      </w:pPr>
      <w:r w:rsidRPr="00DA7546">
        <w:rPr>
          <w:rFonts w:ascii="Times New Roman" w:hAnsi="Times New Roman" w:cs="Times New Roman"/>
          <w:b/>
          <w:bCs/>
          <w:sz w:val="24"/>
        </w:rPr>
        <w:t>3.2 NOAA Data</w:t>
      </w:r>
    </w:p>
    <w:p>
      <w:pPr>
        <w:spacing w:after="120" w:line="240" w:lineRule="auto"/>
        <w:rPr>
          <w:rFonts w:ascii="Times New Roman" w:hAnsi="Times New Roman" w:cs="Times New Roman"/>
          <w:sz w:val="24"/>
        </w:rPr>
      </w:pPr>
      <w:r>
        <w:rPr>
          <w:rFonts w:ascii="Times New Roman" w:hAnsi="Times New Roman" w:cs="Times New Roman"/>
          <w:b/>
          <w:color w:val="000000"/>
          <w:sz w:val="24"/>
        </w:rPr>
        <w:t>Data source and station screening</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We obtained NOAA GHCN-Daily daily maximum temperature (TMAX), minimum temperature (TMIN), and precipitation (PRCP) for January 1, 2004 through December 31, 2025. Station metadata and variable-specific record years were checked using NOAA station and element inventories. Inventory endpoints indicate listed record years, not continuous daily coverage.</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Candidates were first checked for recent availability of all three required variables. Antigo was excluded from the recent three-variable screen because its temperature records end in 2010. Stratford 1 NW and Wausau WSAW TV lack the required recent temperature records.</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Daily records for calendar year 2025, the latest complete calendar year at the time of selection, were downloaded for ten candidates across two screening rounds. Coverage was checked for the full year (365 days) and the initial April–October growing season (214 days). A usable daily value was defined as nonmissing and having a blank NOAA quality flag. Checks also included duplicate records, consecutive missing-day gaps, negative precipitation, and daily maximum temperature below daily minimum temperature. Missing values were not filled.</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Selection emphasized PRCP completeness because missing precipitation can substantially distort rainy-day counts and the longest consecutive rainy period. Temperature completeness and geographic distribution were also considered. A proposed screening threshold was at least 95% usable growing-season observations for each variable; this was a project screening choice, not a NOAA standard. Blank quality flags and high coverage do not independently establish measurement accuracy.</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4"/>
        <w:gridCol w:w="1224"/>
        <w:gridCol w:w="1224"/>
        <w:gridCol w:w="1224"/>
        <w:gridCol w:w="3096"/>
      </w:tblGrid>
      <w:tr>
        <w:trPr>
          <w:cantSplit/>
          <w:tblHeader/>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Screened station</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Usable growing-season TMAX</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Usable growing-season TMIN</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Usable growing-season PRCP</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Selection decision</w:t>
            </w:r>
          </w:p>
        </w:tc>
      </w:tr>
      <w:tr>
        <w:trPr>
          <w:cantSplit/>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WAUSAU ASOS</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Selected</w:t>
            </w:r>
          </w:p>
        </w:tc>
      </w:tr>
      <w:tr>
        <w:trPr>
          <w:cantSplit/>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MERRILL</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Selected</w:t>
            </w:r>
          </w:p>
        </w:tc>
      </w:tr>
      <w:tr>
        <w:trPr>
          <w:cantSplit/>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MARSHFIELD EXP FARM</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Selected</w:t>
            </w:r>
          </w:p>
        </w:tc>
      </w:tr>
      <w:tr>
        <w:trPr>
          <w:cantSplit/>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STEVENS PT</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Selected</w:t>
            </w:r>
          </w:p>
        </w:tc>
      </w:tr>
      <w:tr>
        <w:trPr>
          <w:cantSplit/>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MARSHFIELD MUNI AP</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213/214</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Selected; one missing precipitation day</w:t>
            </w:r>
          </w:p>
        </w:tc>
      </w:tr>
      <w:tr>
        <w:trPr>
          <w:cantSplit/>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STOCKBRIDGE-MUNSEE RSVN</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206/214</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Initially selected; subsequently removed after the full-period PRCP audit</w:t>
            </w:r>
          </w:p>
        </w:tc>
      </w:tr>
      <w:tr>
        <w:trPr>
          <w:cantSplit/>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MEDFORD</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120/214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119/214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Not selected because of substantial temperature gaps</w:t>
            </w:r>
          </w:p>
        </w:tc>
      </w:tr>
      <w:tr>
        <w:trPr>
          <w:cantSplit/>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ROSHOLT</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203/214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204/214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201/214</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Not selected because of missing observations, particularly PRCP</w:t>
            </w:r>
          </w:p>
        </w:tc>
      </w:tr>
      <w:tr>
        <w:trPr>
          <w:cantSplit/>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OWEN 1E</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194/214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205/214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196/214</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Not selected because of temperature and precipitation gaps</w:t>
            </w:r>
          </w:p>
        </w:tc>
      </w:tr>
      <w:tr>
        <w:trPr>
          <w:cantSplit/>
        </w:trPr>
        <w:tc>
          <w:tcPr>
            <w:tcW w:type="dxa" w:w="230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NEILLSVILLE 3ESE</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214/214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193/214</w:t>
            </w:r>
          </w:p>
        </w:tc>
        <w:tc>
          <w:tcPr>
            <w:tcW w:type="dxa" w:w="309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Not selected because of precipitation gaps</w:t>
            </w:r>
          </w:p>
        </w:tc>
      </w:tr>
    </w:tbl>
    <w:p>
      <w:pPr>
        <w:spacing w:after="120" w:line="240" w:lineRule="auto"/>
        <w:rPr>
          <w:rFonts w:ascii="Times New Roman" w:hAnsi="Times New Roman" w:cs="Times New Roman"/>
          <w:sz w:val="24"/>
        </w:rPr>
      </w:pPr>
      <w:r>
        <w:rPr>
          <w:rFonts w:ascii="Times New Roman" w:hAnsi="Times New Roman" w:cs="Times New Roman"/>
          <w:b w:val="0"/>
          <w:color w:val="000000"/>
          <w:sz w:val="24"/>
        </w:rPr>
        <w:t>Stockbridge-Munsee initially met the proposed screening threshold, with 96.26% usable growing-season PRCP in 2025. However, the 2004–2025 audit found that its PRCP coverage reached 95% in only one growing season (2025); its temperature variables each passed in 19 growing seasons. It was therefore removed from the final selection and raw delivery. Its candidate metadata and initial screening results remain above as selection history. Missing days must not be treated as dry days or automatically bridged in rainfall-spell calculations.</w:t>
      </w:r>
    </w:p>
    <w:p>
      <w:pPr>
        <w:spacing w:after="120" w:line="240" w:lineRule="auto"/>
        <w:rPr>
          <w:rFonts w:ascii="Times New Roman" w:hAnsi="Times New Roman" w:cs="Times New Roman"/>
          <w:sz w:val="24"/>
        </w:rPr>
      </w:pPr>
      <w:r>
        <w:rPr>
          <w:rFonts w:ascii="Times New Roman" w:hAnsi="Times New Roman" w:cs="Times New Roman"/>
          <w:b/>
          <w:color w:val="000000"/>
          <w:sz w:val="24"/>
        </w:rPr>
        <w:t>Final station set and historical coverage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2448"/>
        <w:gridCol w:w="1080"/>
        <w:gridCol w:w="1224"/>
        <w:gridCol w:w="2448"/>
      </w:tblGrid>
      <w:tr>
        <w:trPr>
          <w:cantSplit/>
          <w:tblHeader/>
        </w:trPr>
        <w:tc>
          <w:tcPr>
            <w:tcW w:type="dxa" w:w="1872"/>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Station ID</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NOAA name</w:t>
            </w:r>
          </w:p>
        </w:tc>
        <w:tc>
          <w:tcPr>
            <w:tcW w:type="dxa" w:w="1080"/>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Latitude</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Longitude</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Geographic role</w:t>
            </w:r>
          </w:p>
        </w:tc>
      </w:tr>
      <w:tr>
        <w:trPr>
          <w:cantSplit/>
        </w:trPr>
        <w:tc>
          <w:tcPr>
            <w:tcW w:type="dxa" w:w="187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USW00014897</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WAUSAU ASOS</w:t>
            </w:r>
          </w:p>
        </w:tc>
        <w:tc>
          <w:tcPr>
            <w:tcW w:type="dxa" w:w="108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44.9275</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-89.6253</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Central and local reference</w:t>
            </w:r>
          </w:p>
        </w:tc>
      </w:tr>
      <w:tr>
        <w:trPr>
          <w:cantSplit/>
        </w:trPr>
        <w:tc>
          <w:tcPr>
            <w:tcW w:type="dxa" w:w="187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USC00475364</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MERRILL</w:t>
            </w:r>
          </w:p>
        </w:tc>
        <w:tc>
          <w:tcPr>
            <w:tcW w:type="dxa" w:w="108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45.1786</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-89.6617</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Northern reference</w:t>
            </w:r>
          </w:p>
        </w:tc>
      </w:tr>
      <w:tr>
        <w:trPr>
          <w:cantSplit/>
        </w:trPr>
        <w:tc>
          <w:tcPr>
            <w:tcW w:type="dxa" w:w="187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USC00475120</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MARSHFIELD EXP FARM</w:t>
            </w:r>
          </w:p>
        </w:tc>
        <w:tc>
          <w:tcPr>
            <w:tcW w:type="dxa" w:w="108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44.6411</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-90.1333</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Southwestern reference</w:t>
            </w:r>
          </w:p>
        </w:tc>
      </w:tr>
      <w:tr>
        <w:trPr>
          <w:cantSplit/>
        </w:trPr>
        <w:tc>
          <w:tcPr>
            <w:tcW w:type="dxa" w:w="187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USC00478171</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STEVENS PT</w:t>
            </w:r>
          </w:p>
        </w:tc>
        <w:tc>
          <w:tcPr>
            <w:tcW w:type="dxa" w:w="108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44.5114</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-89.5853</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Southern reference</w:t>
            </w:r>
          </w:p>
        </w:tc>
      </w:tr>
      <w:tr>
        <w:trPr>
          <w:cantSplit/>
        </w:trPr>
        <w:tc>
          <w:tcPr>
            <w:tcW w:type="dxa" w:w="187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USW00094985</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MARSHFIELD MUNI AP</w:t>
            </w:r>
          </w:p>
        </w:tc>
        <w:tc>
          <w:tcPr>
            <w:tcW w:type="dxa" w:w="108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44.6378</w:t>
            </w:r>
          </w:p>
        </w:tc>
        <w:tc>
          <w:tcPr>
            <w:tcW w:type="dxa" w:w="12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-90.1875</w:t>
            </w:r>
          </w:p>
        </w:tc>
        <w:tc>
          <w:tcPr>
            <w:tcW w:type="dxa" w:w="2448"/>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Additional southwestern reference</w:t>
            </w:r>
          </w:p>
        </w:tc>
      </w:tr>
    </w:tbl>
    <w:p>
      <w:pPr>
        <w:spacing w:after="120" w:line="240" w:lineRule="auto"/>
        <w:rPr>
          <w:rFonts w:ascii="Times New Roman" w:hAnsi="Times New Roman" w:cs="Times New Roman"/>
          <w:sz w:val="24"/>
        </w:rPr>
      </w:pPr>
      <w:r>
        <w:rPr>
          <w:rFonts w:ascii="Times New Roman" w:hAnsi="Times New Roman" w:cs="Times New Roman"/>
          <w:b w:val="0"/>
          <w:color w:val="000000"/>
          <w:sz w:val="24"/>
        </w:rPr>
        <w:t>The two Marshfield stations are approximately 4.3 km apart, so the five stations must not be treated as independent spatial samples. Removing Stockbridge-Munsee reduces eastern coverage. NOAA stations provide observations for comparison with Daymet and are separate from the project's planned 5–10 county sampling points.</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The full-period audit verified that all five retained stations meet the 95% usable-day threshold for TMAX, TMIN, and PRCP in every April–October growing season from 2004 through 2025. All 22 growing seasons therefore pass this initial coverage criterion; no arbitrary reduction to 20 years is required. This does not mean that all observations are present: only five years (2008, 2012, 2013, 2015, and 2017) have fully observed, unflagged growing-season data for all three variables across all five stations. Indicator-specific gap treatment remains necessary.</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For full calendar years, only 18 years meet the same 95% threshold simultaneously across all five stations. Annual and growing-season suitability must therefore be distinguished. The threshold is a project screening criterion, not proof of measurement accuracy or reliable rainfall-spell estimates across gaps.</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The five raw station files preserve original NOAA monthly lines, native units, missing-value codes, flags, and all available elements. Only the 2004-2025 year filter was applied. The delivery includes the official format documentation and a download manifest with source URLs and SHA-256 checksums. Raw files remain unchanged during cleaning.</w:t>
      </w:r>
    </w:p>
    <w:p>
      <w:pPr>
        <w:spacing w:after="120" w:line="240" w:lineRule="auto"/>
        <w:rPr>
          <w:rFonts w:ascii="Times New Roman" w:hAnsi="Times New Roman" w:cs="Times New Roman"/>
          <w:sz w:val="24"/>
        </w:rPr>
      </w:pPr>
      <w:r>
        <w:rPr>
          <w:rFonts w:ascii="Times New Roman" w:hAnsi="Times New Roman" w:cs="Times New Roman"/>
          <w:b/>
          <w:color w:val="000000"/>
          <w:sz w:val="24"/>
        </w:rPr>
        <w:t>Cleaning and missing-value handling</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daily_weather.csv contains one row per station and date: station ID and name, latitude, longitude, calendar date, temperatures in degrees Celsius, precipitation in millimeters, the growing-season flag, original raw integer values, NOAA flags, variable-specific processing status, and weather labels. All 40,180 station-days are retained, including leap days and dates without usable observations. is_growing_season is true for April through October. Weather labels are computed throughout the year, independently of this season flag.</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6"/>
        <w:gridCol w:w="5760"/>
      </w:tblGrid>
      <w:tr>
        <w:trPr>
          <w:cantSplit/>
          <w:tblHeader/>
        </w:trPr>
        <w:tc>
          <w:tcPr>
            <w:tcW w:type="dxa" w:w="3456"/>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Condition</w:t>
            </w:r>
          </w:p>
        </w:tc>
        <w:tc>
          <w:tcPr>
            <w:tcW w:type="dxa" w:w="5760"/>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Analysis treatment</w:t>
            </w:r>
          </w:p>
        </w:tc>
      </w:tr>
      <w:tr>
        <w:trPr>
          <w:cantSplit/>
        </w:trPr>
        <w:tc>
          <w:tcPr>
            <w:tcW w:type="dxa" w:w="345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Native units</w:t>
            </w:r>
          </w:p>
        </w:tc>
        <w:tc>
          <w:tcPr>
            <w:tcW w:type="dxa" w:w="57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Divide TMAX, TMIN, and PRCP by ten to obtain degrees Celsius and millimeters</w:t>
            </w:r>
          </w:p>
        </w:tc>
      </w:tr>
      <w:tr>
        <w:trPr>
          <w:cantSplit/>
        </w:trPr>
        <w:tc>
          <w:tcPr>
            <w:tcW w:type="dxa" w:w="345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Raw -9999 or absent observation</w:t>
            </w:r>
          </w:p>
        </w:tc>
        <w:tc>
          <w:tcPr>
            <w:tcW w:type="dxa" w:w="57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Leave the corresponding analysis value empty</w:t>
            </w:r>
          </w:p>
        </w:tc>
      </w:tr>
      <w:tr>
        <w:trPr>
          <w:cantSplit/>
        </w:trPr>
        <w:tc>
          <w:tcPr>
            <w:tcW w:type="dxa" w:w="345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Nonblank QFLAG</w:t>
            </w:r>
          </w:p>
        </w:tc>
        <w:tc>
          <w:tcPr>
            <w:tcW w:type="dxa" w:w="57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Exclude the affected variable while retaining original values and flags</w:t>
            </w:r>
          </w:p>
        </w:tc>
      </w:tr>
      <w:tr>
        <w:trPr>
          <w:cantSplit/>
        </w:trPr>
        <w:tc>
          <w:tcPr>
            <w:tcW w:type="dxa" w:w="345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Negative precipitation</w:t>
            </w:r>
          </w:p>
        </w:tc>
        <w:tc>
          <w:tcPr>
            <w:tcW w:type="dxa" w:w="57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Exclude PRCP and record the processing status</w:t>
            </w:r>
          </w:p>
        </w:tc>
      </w:tr>
      <w:tr>
        <w:trPr>
          <w:cantSplit/>
        </w:trPr>
        <w:tc>
          <w:tcPr>
            <w:tcW w:type="dxa" w:w="345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Otherwise usable TMAX below TMIN</w:t>
            </w:r>
          </w:p>
        </w:tc>
        <w:tc>
          <w:tcPr>
            <w:tcW w:type="dxa" w:w="57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Exclude both temperature values and record the status</w:t>
            </w:r>
          </w:p>
        </w:tc>
      </w:tr>
      <w:tr>
        <w:trPr>
          <w:cantSplit/>
        </w:trPr>
        <w:tc>
          <w:tcPr>
            <w:tcW w:type="dxa" w:w="345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PRCP measurement flags A or P</w:t>
            </w:r>
          </w:p>
        </w:tc>
        <w:tc>
          <w:tcPr>
            <w:tcW w:type="dxa" w:w="57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Exclude accumulated or presumed-zero precipitation from daily analysis</w:t>
            </w:r>
          </w:p>
        </w:tc>
      </w:tr>
      <w:tr>
        <w:trPr>
          <w:cantSplit/>
        </w:trPr>
        <w:tc>
          <w:tcPr>
            <w:tcW w:type="dxa" w:w="345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Trace precipitation, T flag</w:t>
            </w:r>
          </w:p>
        </w:tc>
        <w:tc>
          <w:tcPr>
            <w:tcW w:type="dxa" w:w="57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Retain the recorded zero and trace flag</w:t>
            </w:r>
          </w:p>
        </w:tc>
      </w:tr>
      <w:tr>
        <w:trPr>
          <w:cantSplit/>
        </w:trPr>
        <w:tc>
          <w:tcPr>
            <w:tcW w:type="dxa" w:w="345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Other measurement and source flags</w:t>
            </w:r>
          </w:p>
        </w:tc>
        <w:tc>
          <w:tcPr>
            <w:tcW w:type="dxa" w:w="57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Preserve without automatic exclusion</w:t>
            </w:r>
          </w:p>
        </w:tc>
      </w:tr>
      <w:tr>
        <w:trPr>
          <w:cantSplit/>
        </w:trPr>
        <w:tc>
          <w:tcPr>
            <w:tcW w:type="dxa" w:w="3456"/>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Missing observations</w:t>
            </w:r>
          </w:p>
        </w:tc>
        <w:tc>
          <w:tcPr>
            <w:tcW w:type="dxa" w:w="57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No interpolation or imputation; exclusion of one variable does not remove other variables on the same date</w:t>
            </w:r>
          </w:p>
        </w:tc>
      </w:tr>
    </w:tbl>
    <w:p>
      <w:pPr>
        <w:spacing w:after="120" w:line="240" w:lineRule="auto"/>
        <w:rPr>
          <w:rFonts w:ascii="Times New Roman" w:hAnsi="Times New Roman" w:cs="Times New Roman"/>
          <w:sz w:val="24"/>
        </w:rPr>
      </w:pPr>
      <w:r>
        <w:rPr>
          <w:rFonts w:ascii="Times New Roman" w:hAnsi="Times New Roman" w:cs="Times New Roman"/>
          <w:b w:val="0"/>
          <w:color w:val="000000"/>
          <w:sz w:val="24"/>
        </w:rPr>
        <w:t>CSV boolean cells contain lowercase true or false. Empty label cells mean unknown, not false. Downstream readers should explicitly preserve this distinction when importing the CSV. Empty weather-value cells mean missing or excluded, with the reason recorded in the corresponding status column.</w:t>
      </w:r>
    </w:p>
    <w:p>
      <w:pPr>
        <w:spacing w:after="120" w:line="240" w:lineRule="auto"/>
        <w:rPr>
          <w:rFonts w:ascii="Times New Roman" w:hAnsi="Times New Roman" w:cs="Times New Roman"/>
          <w:sz w:val="24"/>
        </w:rPr>
      </w:pPr>
      <w:r>
        <w:rPr>
          <w:rFonts w:ascii="Times New Roman" w:hAnsi="Times New Roman" w:cs="Times New Roman"/>
          <w:b/>
          <w:color w:val="000000"/>
          <w:sz w:val="24"/>
        </w:rPr>
        <w:t>Weather labels and wet-spell calculations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3744"/>
        <w:gridCol w:w="3312"/>
      </w:tblGrid>
      <w:tr>
        <w:trPr>
          <w:cantSplit/>
          <w:tblHeader/>
        </w:trPr>
        <w:tc>
          <w:tcPr>
            <w:tcW w:type="dxa" w:w="2160"/>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Field</w:t>
            </w:r>
          </w:p>
        </w:tc>
        <w:tc>
          <w:tcPr>
            <w:tcW w:type="dxa" w:w="3744"/>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Operational definition</w:t>
            </w:r>
          </w:p>
        </w:tc>
        <w:tc>
          <w:tcPr>
            <w:tcW w:type="dxa" w:w="3312"/>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Basis</w:t>
            </w:r>
          </w:p>
        </w:tc>
      </w:tr>
      <w:tr>
        <w:trPr>
          <w:cantSplit/>
        </w:trPr>
        <w:tc>
          <w:tcPr>
            <w:tcW w:type="dxa" w:w="21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is_freezing_day</w:t>
            </w:r>
          </w:p>
        </w:tc>
        <w:tc>
          <w:tcPr>
            <w:tcW w:type="dxa" w:w="374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TMIN &lt; 0 degrees Celsius</w:t>
            </w:r>
          </w:p>
        </w:tc>
        <w:tc>
          <w:tcPr>
            <w:tcW w:type="dxa" w:w="331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Meteorological freezing exposure; consistent with the project proposal</w:t>
            </w:r>
          </w:p>
        </w:tc>
      </w:tr>
      <w:tr>
        <w:trPr>
          <w:cantSplit/>
        </w:trPr>
        <w:tc>
          <w:tcPr>
            <w:tcW w:type="dxa" w:w="21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is_hot_day</w:t>
            </w:r>
          </w:p>
        </w:tc>
        <w:tc>
          <w:tcPr>
            <w:tcW w:type="dxa" w:w="374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TMAX &gt;= 30 degrees Celsius</w:t>
            </w:r>
          </w:p>
        </w:tc>
        <w:tc>
          <w:tcPr>
            <w:tcW w:type="dxa" w:w="331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Initial configurable project screening threshold; not a numerical crop-damage threshold established by the cited planting guides</w:t>
            </w:r>
          </w:p>
        </w:tc>
      </w:tr>
      <w:tr>
        <w:trPr>
          <w:cantSplit/>
        </w:trPr>
        <w:tc>
          <w:tcPr>
            <w:tcW w:type="dxa" w:w="21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is_wet_day</w:t>
            </w:r>
          </w:p>
        </w:tc>
        <w:tc>
          <w:tcPr>
            <w:tcW w:type="dxa" w:w="374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PRCP &gt;= 1 mm</w:t>
            </w:r>
          </w:p>
        </w:tc>
        <w:tc>
          <w:tcPr>
            <w:tcW w:type="dxa" w:w="331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Climdex wet-day convention</w:t>
            </w:r>
          </w:p>
        </w:tc>
      </w:tr>
      <w:tr>
        <w:trPr>
          <w:cantSplit/>
        </w:trPr>
        <w:tc>
          <w:tcPr>
            <w:tcW w:type="dxa" w:w="21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is_heavy_precip_day</w:t>
            </w:r>
          </w:p>
        </w:tc>
        <w:tc>
          <w:tcPr>
            <w:tcW w:type="dxa" w:w="374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PRCP &gt;= 20 mm</w:t>
            </w:r>
          </w:p>
        </w:tc>
        <w:tc>
          <w:tcPr>
            <w:tcW w:type="dxa" w:w="331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Climdex R20mm precipitation convention</w:t>
            </w:r>
          </w:p>
        </w:tc>
      </w:tr>
      <w:tr>
        <w:trPr>
          <w:cantSplit/>
        </w:trPr>
        <w:tc>
          <w:tcPr>
            <w:tcW w:type="dxa" w:w="2160"/>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is_prolonged_wet_day</w:t>
            </w:r>
          </w:p>
        </w:tc>
        <w:tc>
          <w:tcPr>
            <w:tcW w:type="dxa" w:w="374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A day belonging to an observed run of at least three consecutive wet days</w:t>
            </w:r>
          </w:p>
        </w:tc>
        <w:tc>
          <w:tcPr>
            <w:tcW w:type="dxa" w:w="331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Configurable project duration choice using the wet-day definition</w:t>
            </w:r>
          </w:p>
        </w:tc>
      </w:tr>
    </w:tbl>
    <w:p>
      <w:pPr>
        <w:spacing w:after="120" w:line="240" w:lineRule="auto"/>
        <w:rPr>
          <w:rFonts w:ascii="Times New Roman" w:hAnsi="Times New Roman" w:cs="Times New Roman"/>
          <w:sz w:val="24"/>
        </w:rPr>
      </w:pPr>
      <w:r>
        <w:rPr>
          <w:rFonts w:ascii="Times New Roman" w:hAnsi="Times New Roman" w:cs="Times New Roman"/>
          <w:b w:val="0"/>
          <w:color w:val="000000"/>
          <w:sz w:val="24"/>
        </w:rPr>
        <w:t>Every date in a confirmed wet run of at least three days is marked true, including the first two days retrospectively. Runs are computed on the full continuous station calendar, across month, season, and year boundaries. Known dry days are false. Missing precipitation days are unknown. A short wet run touching a missing day or the dataset boundary is also unknown because its full duration cannot be established; short runs bounded by observed dry days are false. Confirmed runs of three or more observed wet days are true even if a missing neighbor leaves their full extent uncertain. Unknown days are never bridged or converted to dry days.</w:t>
      </w:r>
    </w:p>
    <w:p>
      <w:pPr>
        <w:spacing w:after="120" w:line="240" w:lineRule="auto"/>
        <w:rPr>
          <w:rFonts w:ascii="Times New Roman" w:hAnsi="Times New Roman" w:cs="Times New Roman"/>
          <w:sz w:val="24"/>
        </w:rPr>
      </w:pPr>
      <w:r>
        <w:rPr>
          <w:rFonts w:ascii="Times New Roman" w:hAnsi="Times New Roman" w:cs="Times New Roman"/>
          <w:b/>
          <w:color w:val="000000"/>
          <w:sz w:val="24"/>
        </w:rPr>
        <w:t>Outputs and verification</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24"/>
        <w:gridCol w:w="6192"/>
      </w:tblGrid>
      <w:tr>
        <w:trPr>
          <w:cantSplit/>
          <w:tblHeader/>
        </w:trPr>
        <w:tc>
          <w:tcPr>
            <w:tcW w:type="dxa" w:w="3024"/>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Output</w:t>
            </w:r>
          </w:p>
        </w:tc>
        <w:tc>
          <w:tcPr>
            <w:tcW w:type="dxa" w:w="6192"/>
          </w:tcPr>
          <w:p>
            <w:pPr>
              <w:spacing w:after="120" w:line="240" w:lineRule="auto"/>
              <w:ind w:left="0" w:firstLine="0"/>
              <w:rPr>
                <w:rFonts w:ascii="Times New Roman" w:hAnsi="Times New Roman" w:cs="Times New Roman"/>
                <w:sz w:val="24"/>
              </w:rPr>
            </w:pPr>
            <w:r>
              <w:rPr>
                <w:rFonts w:ascii="Times New Roman" w:hAnsi="Times New Roman" w:cs="Times New Roman"/>
                <w:b/>
                <w:color w:val="000000"/>
                <w:sz w:val="24"/>
              </w:rPr>
              <w:t>Contents</w:t>
            </w:r>
          </w:p>
        </w:tc>
      </w:tr>
      <w:tr>
        <w:trPr>
          <w:cantSplit/>
        </w:trPr>
        <w:tc>
          <w:tcPr>
            <w:tcW w:type="dxa" w:w="30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daily_weather.csv</w:t>
            </w:r>
          </w:p>
        </w:tc>
        <w:tc>
          <w:tcPr>
            <w:tcW w:type="dxa" w:w="619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40,180 station-day rows; 8,036 dates per station, including all six leap days</w:t>
            </w:r>
          </w:p>
        </w:tc>
      </w:tr>
      <w:tr>
        <w:trPr>
          <w:cantSplit/>
        </w:trPr>
        <w:tc>
          <w:tcPr>
            <w:tcW w:type="dxa" w:w="30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seasonal_summary.csv</w:t>
            </w:r>
          </w:p>
        </w:tc>
        <w:tc>
          <w:tcPr>
            <w:tcW w:type="dxa" w:w="619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220 station-year-period rows with annual and April-October label counts and variable coverage</w:t>
            </w:r>
          </w:p>
        </w:tc>
      </w:tr>
      <w:tr>
        <w:trPr>
          <w:cantSplit/>
        </w:trPr>
        <w:tc>
          <w:tcPr>
            <w:tcW w:type="dxa" w:w="3024"/>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processing_metadata.json</w:t>
            </w:r>
          </w:p>
        </w:tc>
        <w:tc>
          <w:tcPr>
            <w:tcW w:type="dxa" w:w="6192"/>
          </w:tcPr>
          <w:p>
            <w:pPr>
              <w:spacing w:after="120" w:line="240" w:lineRule="auto"/>
              <w:ind w:left="0" w:firstLine="0"/>
              <w:rPr>
                <w:rFonts w:ascii="Times New Roman" w:hAnsi="Times New Roman" w:cs="Times New Roman"/>
                <w:sz w:val="24"/>
              </w:rPr>
            </w:pPr>
            <w:r>
              <w:rPr>
                <w:rFonts w:ascii="Times New Roman" w:hAnsi="Times New Roman" w:cs="Times New Roman"/>
                <w:b w:val="0"/>
                <w:color w:val="000000"/>
                <w:sz w:val="24"/>
              </w:rPr>
              <w:t>Thresholds, station set, row count, input SHA-256 checksums, and cleaning-status counts</w:t>
            </w:r>
          </w:p>
        </w:tc>
      </w:tr>
    </w:tbl>
    <w:p>
      <w:pPr>
        <w:spacing w:after="120" w:line="240" w:lineRule="auto"/>
        <w:rPr>
          <w:rFonts w:ascii="Times New Roman" w:hAnsi="Times New Roman" w:cs="Times New Roman"/>
          <w:sz w:val="24"/>
        </w:rPr>
      </w:pPr>
      <w:r>
        <w:rPr>
          <w:rFonts w:ascii="Times New Roman" w:hAnsi="Times New Roman" w:cs="Times New Roman"/>
          <w:b w:val="0"/>
          <w:color w:val="000000"/>
          <w:sz w:val="24"/>
        </w:rPr>
        <w:t>seasonal_summary.csv records observed true, false, and unknown label counts and variable coverage for every station-year, separately for annual and April–October periods. A count of observed true labels is not an imputed full-period total. Growing-season wet-run membership can reflect adjoining dates outside April–October because labels are assigned before seasonal filtering.</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Input checksums are verified against the raw delivery manifest, and the parser rejects duplicate monthly records and malformed records. Three focused validation checks passed, covering wet-run uncertainty, threshold and quality handling, row uniqueness, label recomputation, summary-count accounting, and unchanged raw checksums. An explicit calendar-set comparison confirmed all 8,036 unique dates per station, including all six leap days. Empty observations or labels must be distinguished from missing dates. Final cleaning additionally excludes accumulated or presumed-zero precipitation, so usable coverage can differ from the earlier missing-value and QFLAG screening.</w:t>
      </w:r>
    </w:p>
    <w:p>
      <w:pPr>
        <w:spacing w:after="120" w:line="240" w:lineRule="auto"/>
        <w:rPr>
          <w:rFonts w:ascii="Times New Roman" w:hAnsi="Times New Roman" w:cs="Times New Roman"/>
          <w:sz w:val="24"/>
        </w:rPr>
      </w:pPr>
      <w:r>
        <w:rPr>
          <w:rFonts w:ascii="Times New Roman" w:hAnsi="Times New Roman" w:cs="Times New Roman"/>
          <w:b/>
          <w:color w:val="000000"/>
          <w:sz w:val="24"/>
        </w:rPr>
        <w:t>Interpretation limits</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Indicator categories were selected by considering ginseng production guidance alongside the available station weather variables. Official guidance identifies heat, excessive moisture, and freezing-related conditions as relevant concerns, but station air temperature and precipitation do not measure shaded-canopy conditions, root temperature, leaf wetness, or soil moisture. The numerical definitions combine meteorological conventions and explicitly identified project choices. They are reference labels for weather analysis, not diagnoses of plant injury, disease, yield loss, or verified field conditions.</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The cited production guides do not establish a universal 30-degree heat threshold or three-day wet-spell damage threshold. These parameters were not calibrated using Daymet; the earlier Wausau sample demonstrated format matching only. PRCP includes water-equivalent precipitation rather than separately observed liquid rain. Station data and the resulting labels do not establish effects on disease, yield, or root quality.</w:t>
      </w:r>
    </w:p>
    <w:p w14:paraId="717C4C73" w14:textId="77777777" w:rsidR="00DA7546" w:rsidRPr="00DA7546" w:rsidRDefault="00DA7546" w:rsidP="00726BD2">
      <w:pPr>
        <w:spacing w:after="120" w:line="240" w:lineRule="auto"/>
        <w:rPr>
          <w:rFonts w:ascii="Times New Roman" w:hAnsi="Times New Roman" w:cs="Times New Roman"/>
          <w:b/>
          <w:bCs/>
          <w:sz w:val="24"/>
        </w:rPr>
      </w:pPr>
      <w:r w:rsidRPr="00DA7546">
        <w:rPr>
          <w:rFonts w:ascii="Times New Roman" w:hAnsi="Times New Roman" w:cs="Times New Roman"/>
          <w:b/>
          <w:bCs/>
          <w:sz w:val="24"/>
        </w:rPr>
        <w:t>3.3 Website Development</w:t>
      </w:r>
    </w:p>
    <w:p>
      <w:pPr>
        <w:spacing w:after="120" w:line="240" w:lineRule="auto"/>
        <w:rPr>
          <w:rFonts w:ascii="Times New Roman" w:hAnsi="Times New Roman" w:cs="Times New Roman"/>
          <w:sz w:val="24"/>
        </w:rPr>
      </w:pPr>
      <w:r>
        <w:rPr>
          <w:rFonts w:ascii="Times New Roman" w:hAnsi="Times New Roman" w:cs="Times New Roman"/>
          <w:b/>
          <w:color w:val="000000"/>
          <w:sz w:val="24"/>
        </w:rPr>
        <w:t>Development and data integration</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We developed a browser-based dashboard to make the NOAA and Daymet outputs accessible through interactive charts, maps, and tables. The application is a static website: data exploration and exploratory calculations run in the browser, without a backend or database.</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The website uses HTML and CSS for page structure and styling, vanilla JavaScript for navigation, filtering, and browser-side calculations, and Vite for local development and production builds. Apache ECharts provides interactive charts, heatmaps, maps, tooltips, zooming, and PNG exports. County boundaries are prepared using us-atlas and topojson-client. Unit and data-integration tests use the Node.js test runner.</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Before development or production builds, the preparation script validates and copies the canonical cleaned files into public/data/. It also extracts Lincoln, Marathon, Wood, and Portage county boundaries for the regional map. The website uses the repository datasets rather than requesting live NOAA, Daymet, GitHub, or external map services. The data-integration test checks whether the default browser calculations reproduce the NOAA baseline daily labels.</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Missing observations remain distinct from zero values and false labels. Daily temperature charts show gaps for missing values, and the precipitation chart marks unknown observations separately. Browser sensitivity controls do not overwrite the cleaned source files or official baseline summaries.</w:t>
      </w:r>
    </w:p>
    <w:p>
      <w:pPr>
        <w:spacing w:after="120" w:line="240" w:lineRule="auto"/>
        <w:rPr>
          <w:rFonts w:ascii="Times New Roman" w:hAnsi="Times New Roman" w:cs="Times New Roman"/>
          <w:sz w:val="24"/>
        </w:rPr>
      </w:pPr>
      <w:r>
        <w:rPr>
          <w:rFonts w:ascii="Times New Roman" w:hAnsi="Times New Roman" w:cs="Times New Roman"/>
          <w:b/>
          <w:color w:val="000000"/>
          <w:sz w:val="24"/>
        </w:rPr>
        <w:t>Build and deployment</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The project is run from the website directory using Node.js and npm. Vite uses port 5173 for local development and port 4173 for production preview. The production build is written to dist/. Relative asset paths are configured so the build can be served from a static hosting subdirectory.</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From the website directory, npm install installs dependencies and npm run dev prepares the data and starts the local server. npm test runs the tests, npm run build generates the production files, and npm run preview serves the build locally for inspection. npm run check runs tests followed by the build. Deployment consists of publishing the contents of dist/ through a static web server or hosting service.</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The build includes the prepared data and map geometry, so deployment does not require database setup or runtime API credentials. The repository documents the build and preview workflow but does not identify a confirmed public deployment URL.</w:t>
      </w:r>
    </w:p>
    <w:p>
      <w:pPr>
        <w:spacing w:after="120" w:line="240" w:lineRule="auto"/>
        <w:rPr>
          <w:rFonts w:ascii="Times New Roman" w:hAnsi="Times New Roman" w:cs="Times New Roman"/>
          <w:sz w:val="24"/>
        </w:rPr>
      </w:pPr>
      <w:r>
        <w:rPr>
          <w:rFonts w:ascii="Times New Roman" w:hAnsi="Times New Roman" w:cs="Times New Roman"/>
          <w:b/>
          <w:color w:val="000000"/>
          <w:sz w:val="24"/>
        </w:rPr>
        <w:t>Dashboard use</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Users navigate between the following panels. NOAA and Daymet exploration supports selection of locations, year ranges, annual or April-October periods, and weather metrics. Hovering reveals exact values; chart controls support zooming and image export.</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The Overview page introduces the dataset, station map, weather summaries, and coverage. Explore Data lets users compare NOAA stations through trend charts, heatmaps, and summary statistics, then export filtered CSV data or PNG figures.</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The Daymet page presents county sampling-point trends, yearly means, and heatmaps, together with matching NOAA and Daymet reference-coordinate count indicators. Daily Detail &amp; Sensitivity lets users select a station and year, inspect daily observations, adjust thresholds and growing-season settings, and compare exploratory results with the baseline.</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The Data Quality, Methods &amp; Limitations page documents coverage, usable and unknown observations, cleaning rules, provenance, and interpretation limits. About Us introduces the team and proposal-defined responsibilities.</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In Daily Detail &amp; Sensitivity, users can inspect daily temperature and precipitation, the longest observed wet run, the last observed spring freeze from January through June, and an event-and-gap log. Restore baseline returns the controls to the documented defaults. Freezing remains defined as TMIN below 0 degrees Celsius. Unknown precipitation breaks observed wet runs, so a longest-run value with missing data is an observed lower bound.</w:t>
      </w:r>
    </w:p>
    <w:p>
      <w:pPr>
        <w:spacing w:after="120" w:line="240" w:lineRule="auto"/>
        <w:rPr>
          <w:rFonts w:ascii="Times New Roman" w:hAnsi="Times New Roman" w:cs="Times New Roman"/>
          <w:sz w:val="24"/>
        </w:rPr>
      </w:pPr>
      <w:r>
        <w:rPr>
          <w:rFonts w:ascii="Times New Roman" w:hAnsi="Times New Roman" w:cs="Times New Roman"/>
          <w:b w:val="0"/>
          <w:color w:val="000000"/>
          <w:sz w:val="24"/>
        </w:rPr>
        <w:t>The Daymet reference comparison is available for count indicators shared by the two summary datasets. It is not shown for longest wet spell because that field is absent from the NOAA seasonal summary. These views support descriptive comparison and exploratory sensitivity checks; their availability does not itself establish cross-source agreement or the stability of findings under alternative assumptions.</w:t>
      </w:r>
    </w:p>
    <w:p w14:paraId="488DDD99" w14:textId="77777777" w:rsidR="00DA7546" w:rsidRPr="007775EA" w:rsidRDefault="00DA7546" w:rsidP="00726BD2">
      <w:pPr>
        <w:spacing w:after="120" w:line="240" w:lineRule="auto"/>
        <w:rPr>
          <w:rFonts w:ascii="Times New Roman" w:hAnsi="Times New Roman" w:cs="Times New Roman"/>
          <w:b/>
          <w:bCs/>
          <w:sz w:val="28"/>
          <w:szCs w:val="28"/>
        </w:rPr>
      </w:pPr>
      <w:r w:rsidRPr="007775EA">
        <w:rPr>
          <w:rFonts w:ascii="Times New Roman" w:hAnsi="Times New Roman" w:cs="Times New Roman"/>
          <w:b/>
          <w:bCs/>
          <w:sz w:val="28"/>
          <w:szCs w:val="28"/>
        </w:rPr>
        <w:t>4 Preliminary Results and Demonstration</w:t>
      </w:r>
    </w:p>
    <w:p w14:paraId="057B204F" w14:textId="77777777" w:rsidR="00DA7546" w:rsidRPr="007775EA" w:rsidRDefault="00DA7546" w:rsidP="00726BD2">
      <w:pPr>
        <w:spacing w:after="120" w:line="240" w:lineRule="auto"/>
        <w:rPr>
          <w:rFonts w:ascii="Times New Roman" w:hAnsi="Times New Roman" w:cs="Times New Roman"/>
          <w:b/>
          <w:bCs/>
          <w:sz w:val="28"/>
          <w:szCs w:val="28"/>
        </w:rPr>
      </w:pPr>
      <w:r w:rsidRPr="007775EA">
        <w:rPr>
          <w:rFonts w:ascii="Times New Roman" w:hAnsi="Times New Roman" w:cs="Times New Roman"/>
          <w:b/>
          <w:bCs/>
          <w:sz w:val="28"/>
          <w:szCs w:val="28"/>
        </w:rPr>
        <w:t>5 Discussion and Critical Evaluation</w:t>
      </w:r>
    </w:p>
    <w:p w14:paraId="5F93357D" w14:textId="77777777" w:rsidR="00DA7546" w:rsidRPr="007775EA" w:rsidRDefault="00DA7546" w:rsidP="00726BD2">
      <w:pPr>
        <w:spacing w:after="120" w:line="240" w:lineRule="auto"/>
        <w:rPr>
          <w:rFonts w:ascii="Times New Roman" w:hAnsi="Times New Roman" w:cs="Times New Roman"/>
          <w:b/>
          <w:bCs/>
          <w:sz w:val="28"/>
          <w:szCs w:val="28"/>
        </w:rPr>
      </w:pPr>
      <w:r w:rsidRPr="007775EA">
        <w:rPr>
          <w:rFonts w:ascii="Times New Roman" w:hAnsi="Times New Roman" w:cs="Times New Roman"/>
          <w:b/>
          <w:bCs/>
          <w:sz w:val="28"/>
          <w:szCs w:val="28"/>
        </w:rPr>
        <w:t>6 Project Management and Team Contributions</w:t>
      </w:r>
    </w:p>
    <w:p w14:paraId="2D77DE7E" w14:textId="77777777" w:rsidR="00DA7546" w:rsidRPr="007775EA" w:rsidRDefault="00DA7546" w:rsidP="00726BD2">
      <w:pPr>
        <w:spacing w:after="120" w:line="240" w:lineRule="auto"/>
        <w:rPr>
          <w:rFonts w:ascii="Times New Roman" w:hAnsi="Times New Roman" w:cs="Times New Roman"/>
          <w:b/>
          <w:bCs/>
          <w:sz w:val="28"/>
          <w:szCs w:val="28"/>
        </w:rPr>
      </w:pPr>
      <w:r w:rsidRPr="007775EA">
        <w:rPr>
          <w:rFonts w:ascii="Times New Roman" w:hAnsi="Times New Roman" w:cs="Times New Roman"/>
          <w:b/>
          <w:bCs/>
          <w:sz w:val="28"/>
          <w:szCs w:val="28"/>
        </w:rPr>
        <w:t>7 Milestone Status and Remaining Work</w:t>
      </w:r>
    </w:p>
    <w:p w14:paraId="6A9F58B2" w14:textId="77777777" w:rsidR="00DA7546" w:rsidRPr="007775EA" w:rsidRDefault="00DA7546" w:rsidP="00726BD2">
      <w:pPr>
        <w:spacing w:after="120" w:line="240" w:lineRule="auto"/>
        <w:rPr>
          <w:rFonts w:ascii="Times New Roman" w:hAnsi="Times New Roman" w:cs="Times New Roman"/>
          <w:b/>
          <w:bCs/>
          <w:sz w:val="28"/>
          <w:szCs w:val="28"/>
        </w:rPr>
      </w:pPr>
      <w:r w:rsidRPr="007775EA">
        <w:rPr>
          <w:rFonts w:ascii="Times New Roman" w:hAnsi="Times New Roman" w:cs="Times New Roman"/>
          <w:b/>
          <w:bCs/>
          <w:sz w:val="28"/>
          <w:szCs w:val="28"/>
        </w:rPr>
        <w:t>References</w:t>
      </w:r>
    </w:p>
    <w:p w14:paraId="7E1A8518" w14:textId="77777777" w:rsidR="00C9078B" w:rsidRPr="00DA7546" w:rsidRDefault="00C9078B" w:rsidP="00DA7546">
      <w:pPr>
        <w:spacing w:line="240" w:lineRule="auto"/>
        <w:rPr>
          <w:rFonts w:hint="eastAsia"/>
        </w:rPr>
      </w:pPr>
    </w:p>
    <w:sectPr w:rsidR="00C9078B" w:rsidRPr="00DA75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42A"/>
    <w:rsid w:val="0059701F"/>
    <w:rsid w:val="00726BD2"/>
    <w:rsid w:val="007775EA"/>
    <w:rsid w:val="0086442A"/>
    <w:rsid w:val="00865DF8"/>
    <w:rsid w:val="00BB4589"/>
    <w:rsid w:val="00C9078B"/>
    <w:rsid w:val="00D07A5A"/>
    <w:rsid w:val="00DA7546"/>
    <w:rsid w:val="00DC5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25945"/>
  <w15:chartTrackingRefBased/>
  <w15:docId w15:val="{575AD59B-B36E-4A3F-BE4A-5B64A307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644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644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644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644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644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644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644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44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644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44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644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644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6442A"/>
    <w:rPr>
      <w:rFonts w:cstheme="majorBidi"/>
      <w:color w:val="0F4761" w:themeColor="accent1" w:themeShade="BF"/>
      <w:sz w:val="28"/>
      <w:szCs w:val="28"/>
    </w:rPr>
  </w:style>
  <w:style w:type="character" w:customStyle="1" w:styleId="50">
    <w:name w:val="标题 5 字符"/>
    <w:basedOn w:val="a0"/>
    <w:link w:val="5"/>
    <w:uiPriority w:val="9"/>
    <w:semiHidden/>
    <w:rsid w:val="0086442A"/>
    <w:rPr>
      <w:rFonts w:cstheme="majorBidi"/>
      <w:color w:val="0F4761" w:themeColor="accent1" w:themeShade="BF"/>
      <w:sz w:val="24"/>
    </w:rPr>
  </w:style>
  <w:style w:type="character" w:customStyle="1" w:styleId="60">
    <w:name w:val="标题 6 字符"/>
    <w:basedOn w:val="a0"/>
    <w:link w:val="6"/>
    <w:uiPriority w:val="9"/>
    <w:semiHidden/>
    <w:rsid w:val="0086442A"/>
    <w:rPr>
      <w:rFonts w:cstheme="majorBidi"/>
      <w:b/>
      <w:bCs/>
      <w:color w:val="0F4761" w:themeColor="accent1" w:themeShade="BF"/>
    </w:rPr>
  </w:style>
  <w:style w:type="character" w:customStyle="1" w:styleId="70">
    <w:name w:val="标题 7 字符"/>
    <w:basedOn w:val="a0"/>
    <w:link w:val="7"/>
    <w:uiPriority w:val="9"/>
    <w:semiHidden/>
    <w:rsid w:val="0086442A"/>
    <w:rPr>
      <w:rFonts w:cstheme="majorBidi"/>
      <w:b/>
      <w:bCs/>
      <w:color w:val="595959" w:themeColor="text1" w:themeTint="A6"/>
    </w:rPr>
  </w:style>
  <w:style w:type="character" w:customStyle="1" w:styleId="80">
    <w:name w:val="标题 8 字符"/>
    <w:basedOn w:val="a0"/>
    <w:link w:val="8"/>
    <w:uiPriority w:val="9"/>
    <w:semiHidden/>
    <w:rsid w:val="0086442A"/>
    <w:rPr>
      <w:rFonts w:cstheme="majorBidi"/>
      <w:color w:val="595959" w:themeColor="text1" w:themeTint="A6"/>
    </w:rPr>
  </w:style>
  <w:style w:type="character" w:customStyle="1" w:styleId="90">
    <w:name w:val="标题 9 字符"/>
    <w:basedOn w:val="a0"/>
    <w:link w:val="9"/>
    <w:uiPriority w:val="9"/>
    <w:semiHidden/>
    <w:rsid w:val="0086442A"/>
    <w:rPr>
      <w:rFonts w:eastAsiaTheme="majorEastAsia" w:cstheme="majorBidi"/>
      <w:color w:val="595959" w:themeColor="text1" w:themeTint="A6"/>
    </w:rPr>
  </w:style>
  <w:style w:type="paragraph" w:styleId="a3">
    <w:name w:val="Title"/>
    <w:basedOn w:val="a"/>
    <w:next w:val="a"/>
    <w:link w:val="a4"/>
    <w:uiPriority w:val="10"/>
    <w:qFormat/>
    <w:rsid w:val="008644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44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44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44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442A"/>
    <w:pPr>
      <w:spacing w:before="160"/>
      <w:jc w:val="center"/>
    </w:pPr>
    <w:rPr>
      <w:i/>
      <w:iCs/>
      <w:color w:val="404040" w:themeColor="text1" w:themeTint="BF"/>
    </w:rPr>
  </w:style>
  <w:style w:type="character" w:customStyle="1" w:styleId="a8">
    <w:name w:val="引用 字符"/>
    <w:basedOn w:val="a0"/>
    <w:link w:val="a7"/>
    <w:uiPriority w:val="29"/>
    <w:rsid w:val="0086442A"/>
    <w:rPr>
      <w:i/>
      <w:iCs/>
      <w:color w:val="404040" w:themeColor="text1" w:themeTint="BF"/>
    </w:rPr>
  </w:style>
  <w:style w:type="paragraph" w:styleId="a9">
    <w:name w:val="List Paragraph"/>
    <w:basedOn w:val="a"/>
    <w:uiPriority w:val="34"/>
    <w:qFormat/>
    <w:rsid w:val="0086442A"/>
    <w:pPr>
      <w:ind w:left="720"/>
      <w:contextualSpacing/>
    </w:pPr>
  </w:style>
  <w:style w:type="character" w:styleId="aa">
    <w:name w:val="Intense Emphasis"/>
    <w:basedOn w:val="a0"/>
    <w:uiPriority w:val="21"/>
    <w:qFormat/>
    <w:rsid w:val="0086442A"/>
    <w:rPr>
      <w:i/>
      <w:iCs/>
      <w:color w:val="0F4761" w:themeColor="accent1" w:themeShade="BF"/>
    </w:rPr>
  </w:style>
  <w:style w:type="paragraph" w:styleId="ab">
    <w:name w:val="Intense Quote"/>
    <w:basedOn w:val="a"/>
    <w:next w:val="a"/>
    <w:link w:val="ac"/>
    <w:uiPriority w:val="30"/>
    <w:qFormat/>
    <w:rsid w:val="00864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442A"/>
    <w:rPr>
      <w:i/>
      <w:iCs/>
      <w:color w:val="0F4761" w:themeColor="accent1" w:themeShade="BF"/>
    </w:rPr>
  </w:style>
  <w:style w:type="character" w:styleId="ad">
    <w:name w:val="Intense Reference"/>
    <w:basedOn w:val="a0"/>
    <w:uiPriority w:val="32"/>
    <w:qFormat/>
    <w:rsid w:val="00864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1157</Words>
  <Characters>6598</Characters>
  <Application>Microsoft Office Word</Application>
  <DocSecurity>0</DocSecurity>
  <Lines>54</Lines>
  <Paragraphs>15</Paragraphs>
  <ScaleCrop>false</ScaleCrop>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桦 白</dc:creator>
  <cp:keywords/>
  <dc:description/>
  <cp:lastModifiedBy>桦 白</cp:lastModifiedBy>
  <cp:revision>5</cp:revision>
  <dcterms:created xsi:type="dcterms:W3CDTF">2026-10-21T23:38:00Z</dcterms:created>
  <dcterms:modified xsi:type="dcterms:W3CDTF">2026-10-22T00:05:00Z</dcterms:modified>
</cp:coreProperties>
</file>