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Estimación de la Humedad Relativa</w:t>
      </w:r>
    </w:p>
    <w:p>
      <w:pPr>
        <w:spacing w:after="120" w:before="0" w:line="276"/>
      </w:pPr>
      <w:r>
        <w:rPr>
          <w:color w:val="555555"/>
          <w:sz w:val="26"/>
          <w:szCs w:val="26"/>
        </w:rPr>
        <w:t xml:space="preserve">Función de Densidad de Probabilidad como solapamiento de funciones Beta</w:t>
      </w:r>
    </w:p>
    <w:p>
      <w:pPr>
        <w:spacing w:after="240" w:before="0" w:line="276"/>
      </w:pPr>
      <w:r>
        <w:rPr>
          <w:i/>
          <w:iCs/>
          <w:color w:val="777777"/>
          <w:sz w:val="22"/>
          <w:szCs w:val="22"/>
        </w:rPr>
        <w:t xml:space="preserve">Metodología de cálculo, justificación del número de curvas (K = 5) y comparación con la hoja de cálculo de referencia</w:t>
      </w:r>
    </w:p>
    <w:p>
      <w:pPr>
        <w:pBdr>
          <w:bottom w:val="single" w:color="1F4E79" w:sz="6" w:space="1"/>
        </w:pBdr>
      </w:pPr>
    </w:p>
    <w:p>
      <w:pPr>
        <w:spacing w:after="240" w:before="80" w:line="276"/>
      </w:pPr>
      <w:r>
        <w:rPr>
          <w:color w:val="777777"/>
          <w:sz w:val="20"/>
          <w:szCs w:val="20"/>
        </w:rPr>
        <w:t xml:space="preserve">Cantón de Belén, Valle Central Occidental, Costa Rica  ·  Datos IMN 2010–2020</w:t>
      </w:r>
    </w:p>
    <w:p>
      <w:pPr>
        <w:spacing w:after="120"/>
      </w:pPr>
      <w:r>
        <w:rPr>
          <w:b/>
          <w:bCs/>
          <w:color w:val="1F4E79"/>
          <w:sz w:val="24"/>
          <w:szCs w:val="24"/>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before="0" w:line="276"/>
      </w:pPr>
      <w:r>
        <w:rPr>
          <w:sz w:val="22"/>
          <w:szCs w:val="22"/>
        </w:rPr>
        <w:t xml:space="preserve">La humedad relativa (HR) es uno de los factores principales en el análisis de la corrosión atmosférica tropical en zonas de baja contaminación. Su distribución estadística no es unimodal: presenta varios picos asociados a regímenes horarios y estacionales distintos (épocas seca, de transición y lluviosa; horarios diurnos y nocturnos).</w:t>
      </w:r>
    </w:p>
    <w:p>
      <w:pPr>
        <w:spacing w:after="120" w:before="0" w:line="276"/>
      </w:pPr>
      <w:r>
        <w:rPr>
          <w:sz w:val="22"/>
          <w:szCs w:val="22"/>
        </w:rPr>
        <w:t xml:space="preserve">Este documento describe, paso a paso, el procedimiento implementado en el sistema para estimar la Función de Densidad de Probabilidad (FDP) de la HR mediante una suma ponderada de funciones Beta, justifica por qué se emplean cinco curvas (K = 5), y compara el resultado del algoritmo con la hoja de cálculo de referencia, explicando el origen de las diferencias observadas.</w:t>
      </w:r>
    </w:p>
    <w:p>
      <w:pPr>
        <w:pStyle w:val="Heading1"/>
      </w:pPr>
      <w:r>
        <w:t xml:space="preserve">2. Marco teórico</w:t>
      </w:r>
    </w:p>
    <w:p>
      <w:pPr>
        <w:pStyle w:val="Heading2"/>
      </w:pPr>
      <w:r>
        <w:t xml:space="preserve">2.1. Por qué funciones Beta</w:t>
      </w:r>
    </w:p>
    <w:p>
      <w:pPr>
        <w:spacing w:after="120" w:before="0" w:line="276"/>
      </w:pPr>
      <w:r>
        <w:rPr>
          <w:sz w:val="22"/>
          <w:szCs w:val="22"/>
        </w:rPr>
        <w:t xml:space="preserve">La HR está acotada físicamente entre 0 % y 100 %. Las distribuciones de variables acotadas se modelan adecuadamente con funciones Beta, que están definidas sobre un intervalo finito y admiten una gran variedad de formas (simétricas, sesgadas, en forma de J o de U) según sus dos parámetros de forma, α (alfa) y β (beta).</w:t>
      </w:r>
    </w:p>
    <w:p>
      <w:pPr>
        <w:spacing w:after="120" w:before="0" w:line="276"/>
      </w:pPr>
      <w:r>
        <w:rPr>
          <w:b/>
          <w:bCs/>
          <w:sz w:val="22"/>
          <w:szCs w:val="22"/>
        </w:rPr>
        <w:t xml:space="preserve">Beta generalizada. </w:t>
      </w:r>
      <w:r>
        <w:rPr>
          <w:sz w:val="22"/>
          <w:szCs w:val="22"/>
        </w:rPr>
        <w:t xml:space="preserve">Para que cada pico actúe sólo dentro de su rango propio [A, B] (y no sobre todo el intervalo 0–100), se usa la Beta generalizada: se reescala la variable a x′ = (x − A) / (B − A) y se evalúa la Beta estándar sobre x′. Así cada curva queda “truncada” a su intervalo de acción.</w:t>
      </w:r>
    </w:p>
    <w:p>
      <w:pPr>
        <w:pStyle w:val="Heading2"/>
      </w:pPr>
      <w:r>
        <w:t xml:space="preserve">2.2. Moda y varianza de cada Beta</w:t>
      </w:r>
    </w:p>
    <w:p>
      <w:pPr>
        <w:spacing w:after="120" w:before="0" w:line="276"/>
      </w:pPr>
      <w:r>
        <w:rPr>
          <w:sz w:val="22"/>
          <w:szCs w:val="22"/>
        </w:rPr>
        <w:t xml:space="preserve">Para α &gt; 1 y β &gt; 1 la moda (punto de máximo) y la varianza de cada curva, ya reescaladas al intervalo [A, B], se obtienen de:</w:t>
      </w:r>
    </w:p>
    <w:p>
      <w:pPr>
        <w:pStyle w:val="ListParagraph"/>
        <w:numPr>
          <w:ilvl w:val="0"/>
          <w:numId w:val="2"/>
        </w:numPr>
        <w:spacing w:after="80" w:line="276"/>
      </w:pPr>
      <w:r>
        <w:rPr>
          <w:sz w:val="22"/>
          <w:szCs w:val="22"/>
        </w:rPr>
        <w:t xml:space="preserve">Moda = A + (α − 1) / (α + β − 2) × (B − A)</w:t>
      </w:r>
    </w:p>
    <w:p>
      <w:pPr>
        <w:pStyle w:val="ListParagraph"/>
        <w:numPr>
          <w:ilvl w:val="0"/>
          <w:numId w:val="2"/>
        </w:numPr>
        <w:spacing w:after="80" w:line="276"/>
      </w:pPr>
      <w:r>
        <w:rPr>
          <w:sz w:val="22"/>
          <w:szCs w:val="22"/>
        </w:rPr>
        <w:t xml:space="preserve">Varianza (en [0,1]) = αβ / [ (α + β)² (α + β + 1) ];  Varianza en HR = Varianza×(B − A)²</w:t>
      </w:r>
    </w:p>
    <w:p>
      <w:pPr>
        <w:spacing w:after="120" w:before="0" w:line="276"/>
      </w:pPr>
      <w:r>
        <w:rPr>
          <w:b/>
          <w:bCs/>
          <w:sz w:val="22"/>
          <w:szCs w:val="22"/>
        </w:rPr>
        <w:t xml:space="preserve">Caso de saturación. </w:t>
      </w:r>
      <w:r>
        <w:rPr>
          <w:sz w:val="22"/>
          <w:szCs w:val="22"/>
        </w:rPr>
        <w:t xml:space="preserve">Cuando la curva se “pega” al extremo de 100 % (saturación), no tiene un máximo interior: crece de forma monótona hacia el borde. Esto se representa con una Beta de β &lt; 1, que produce una rama ascendente (exponencial) sin pico, como indica el método de referencia.</w:t>
      </w:r>
    </w:p>
    <w:p>
      <w:pPr>
        <w:pStyle w:val="Heading1"/>
      </w:pPr>
      <w:r>
        <w:t xml:space="preserve">3. Metodología paso a paso</w:t>
      </w:r>
    </w:p>
    <w:p>
      <w:pPr>
        <w:spacing w:after="120" w:before="0" w:line="276"/>
      </w:pPr>
      <w:r>
        <w:rPr>
          <w:sz w:val="22"/>
          <w:szCs w:val="22"/>
        </w:rPr>
        <w:t xml:space="preserve">El procedimiento es determinista y reproducible. Cada etapa corresponde directamente a una parte del algoritmo implementado en el backend.</w:t>
      </w:r>
    </w:p>
    <w:p>
      <w:pPr>
        <w:pStyle w:val="Heading2"/>
      </w:pPr>
      <w:r>
        <w:t xml:space="preserve">3.1. Construcción de la FDP empírica</w:t>
      </w:r>
    </w:p>
    <w:p>
      <w:pPr>
        <w:spacing w:after="120" w:before="0" w:line="276"/>
      </w:pPr>
      <w:r>
        <w:rPr>
          <w:sz w:val="22"/>
          <w:szCs w:val="22"/>
        </w:rPr>
        <w:t xml:space="preserve">Se filtran los valores válidos de HR (0–100 %) y se agrupan en clases de ancho 1 % (resolución 1 %/bin). La frecuencia de cada clase se normaliza como fracción del total:</w:t>
      </w:r>
    </w:p>
    <w:p>
      <w:pPr>
        <w:spacing w:after="120" w:before="0" w:line="276"/>
        <w:jc w:val="center"/>
      </w:pPr>
      <w:r>
        <w:rPr>
          <w:i/>
          <w:iCs/>
          <w:sz w:val="22"/>
          <w:szCs w:val="22"/>
        </w:rPr>
        <w:t xml:space="preserve">freq[bin] = conteo[bin] / N_total</w:t>
      </w:r>
    </w:p>
    <w:p>
      <w:pPr>
        <w:spacing w:after="120" w:before="0" w:line="276"/>
      </w:pPr>
      <w:r>
        <w:rPr>
          <w:sz w:val="22"/>
          <w:szCs w:val="22"/>
        </w:rPr>
        <w:t xml:space="preserve">De modo que la suma de todas las frecuencias es 1. Esta es la curva empírica (“Frec norm”) que se busca reproducir.</w:t>
      </w:r>
    </w:p>
    <w:p>
      <w:pPr>
        <w:pStyle w:val="Heading2"/>
      </w:pPr>
      <w:r>
        <w:t xml:space="preserve">3.2. Suavizado y derivadas</w:t>
      </w:r>
    </w:p>
    <w:p>
      <w:pPr>
        <w:spacing w:after="120" w:before="0" w:line="276"/>
      </w:pPr>
      <w:r>
        <w:rPr>
          <w:sz w:val="22"/>
          <w:szCs w:val="22"/>
        </w:rPr>
        <w:t xml:space="preserve">La FDP empírica es ruidosa. Se aplica un suavizado gaussiano ligero y luego se calculan numéricamente la primera y la segunda derivada respecto a la HR. Esto reproduce la idea del método original de “tomar la pendiente cada pocos puntos”, pero de forma estable frente al ruido.</w:t>
      </w:r>
    </w:p>
    <w:p>
      <w:pPr>
        <w:pStyle w:val="Heading2"/>
      </w:pPr>
      <w:r>
        <w:t xml:space="preserve">3.3. Detección de picos y número de curvas</w:t>
      </w:r>
    </w:p>
    <w:p>
      <w:pPr>
        <w:spacing w:after="120" w:before="0" w:line="276"/>
      </w:pPr>
      <w:r>
        <w:rPr>
          <w:sz w:val="22"/>
          <w:szCs w:val="22"/>
        </w:rPr>
        <w:t xml:space="preserve">Se identifican las curvas candidatas combinando dos criterios:</w:t>
      </w:r>
    </w:p>
    <w:p>
      <w:pPr>
        <w:pStyle w:val="ListParagraph"/>
        <w:numPr>
          <w:ilvl w:val="0"/>
          <w:numId w:val="2"/>
        </w:numPr>
        <w:spacing w:after="80" w:line="276"/>
      </w:pPr>
      <w:r>
        <w:rPr>
          <w:b/>
          <w:bCs/>
          <w:sz w:val="22"/>
          <w:szCs w:val="22"/>
        </w:rPr>
        <w:t xml:space="preserve">Primera derivada: </w:t>
      </w:r>
      <w:r>
        <w:rPr>
          <w:sz w:val="22"/>
          <w:szCs w:val="22"/>
        </w:rPr>
        <w:t xml:space="preserve">los cruces por cero de positivo a negativo marcan máximos claros (picos principales). Los cruces de negativo a positivo marcan los valles, que sirven como límites entre curvas.</w:t>
      </w:r>
    </w:p>
    <w:p>
      <w:pPr>
        <w:pStyle w:val="ListParagraph"/>
        <w:numPr>
          <w:ilvl w:val="0"/>
          <w:numId w:val="2"/>
        </w:numPr>
        <w:spacing w:after="80" w:line="276"/>
      </w:pPr>
      <w:r>
        <w:rPr>
          <w:b/>
          <w:bCs/>
          <w:sz w:val="22"/>
          <w:szCs w:val="22"/>
        </w:rPr>
        <w:t xml:space="preserve">Segunda derivada: </w:t>
      </w:r>
      <w:r>
        <w:rPr>
          <w:sz w:val="22"/>
          <w:szCs w:val="22"/>
        </w:rPr>
        <w:t xml:space="preserve">cada región cóncava hacia abajo (segunda derivada negativa) corresponde a un pico u hombro. Este criterio detecta los “hombros” solapados que la primera derivada no marca como cero limpio.</w:t>
      </w:r>
    </w:p>
    <w:p>
      <w:pPr>
        <w:spacing w:after="120" w:before="0" w:line="276"/>
      </w:pPr>
      <w:r>
        <w:rPr>
          <w:sz w:val="22"/>
          <w:szCs w:val="22"/>
        </w:rPr>
        <w:t xml:space="preserve">Adicionalmente se detecta la subida final hacia 100 % (saturación) cuando la frecuencia de los últimos bins supera claramente la media.</w:t>
      </w:r>
    </w:p>
    <w:p>
      <w:pPr>
        <w:pStyle w:val="Heading2"/>
      </w:pPr>
      <w:r>
        <w:t xml:space="preserve">3.4. Límites [A, B] de cada curva</w:t>
      </w:r>
    </w:p>
    <w:p>
      <w:pPr>
        <w:spacing w:after="120" w:before="0" w:line="276"/>
      </w:pPr>
      <w:r>
        <w:rPr>
          <w:sz w:val="22"/>
          <w:szCs w:val="22"/>
        </w:rPr>
        <w:t xml:space="preserve">Para cada pico, el intervalo de acción [A, B] se fija con los valles vecinos (cambios de signo de la derivada). Es la “estimación burda del rango de cada pico” del método original. Estos límites se usan como punto de partida y se permite que el optimizador los ajuste dentro de un margen acotado.</w:t>
      </w:r>
    </w:p>
    <w:p>
      <w:pPr>
        <w:pStyle w:val="Heading2"/>
      </w:pPr>
      <w:r>
        <w:t xml:space="preserve">3.5. Estimación inicial de α y β</w:t>
      </w:r>
    </w:p>
    <w:p>
      <w:pPr>
        <w:spacing w:after="120" w:before="0" w:line="276"/>
      </w:pPr>
      <w:r>
        <w:rPr>
          <w:sz w:val="22"/>
          <w:szCs w:val="22"/>
        </w:rPr>
        <w:t xml:space="preserve">A partir de la moda relativa de cada pico dentro de su intervalo [A, B], m′ = (Moda − A)/(B − A), se obtienen los valores iniciales de los parámetros de forma. Esto equivale a buscar, en las tablas estándar Moda–(α, β), la pareja cuyo máximo cae cerca del punto de interés. Para la curva de saturación se fija β &lt; 1 (rama ascendente sin máximo).</w:t>
      </w:r>
    </w:p>
    <w:p>
      <w:pPr>
        <w:pStyle w:val="Heading2"/>
      </w:pPr>
      <w:r>
        <w:t xml:space="preserve">3.6. Estimación inicial de los pesos (p)</w:t>
      </w:r>
    </w:p>
    <w:p>
      <w:pPr>
        <w:spacing w:after="120" w:before="0" w:line="276"/>
      </w:pPr>
      <w:r>
        <w:rPr>
          <w:sz w:val="22"/>
          <w:szCs w:val="22"/>
        </w:rPr>
        <w:t xml:space="preserve">El peso inicial de cada curva se estima con la masa de datos contenida en su intervalo [A, B] (proporción de la curva acumulada). No se exige que sumen exactamente 1 al inicio; el ajuste se encarga de llevarlos a esa condición.</w:t>
      </w:r>
    </w:p>
    <w:p>
      <w:pPr>
        <w:pStyle w:val="Heading2"/>
      </w:pPr>
      <w:r>
        <w:t xml:space="preserve">3.7. Optimización</w:t>
      </w:r>
    </w:p>
    <w:p>
      <w:pPr>
        <w:spacing w:after="120" w:before="0" w:line="276"/>
      </w:pPr>
      <w:r>
        <w:rPr>
          <w:sz w:val="22"/>
          <w:szCs w:val="22"/>
        </w:rPr>
        <w:t xml:space="preserve">Con los valores iniciales (α, β, A, B, p de cada curva) se minimiza el error cuadrático medio entre la curva empírica y el modelo, mediante optimización no lineal con restricciones (SLSQP), bajo la condición de que la suma de los pesos sea igual a 1. Para evitar mínimos locales pobres, el ajuste se repite con varios niveles de concentración inicial y se conserva el de menor error.</w:t>
      </w:r>
    </w:p>
    <w:p>
      <w:pPr>
        <w:spacing w:after="120" w:before="0" w:line="276"/>
        <w:jc w:val="center"/>
      </w:pPr>
      <w:r>
        <w:rPr>
          <w:i/>
          <w:iCs/>
          <w:sz w:val="22"/>
          <w:szCs w:val="22"/>
        </w:rPr>
        <w:t xml:space="preserve">modelo(x) = Σᵢ  pᵢ · BetaGen(x | αᵢ, βᵢ, Aᵢ, Bᵢ)</w:t>
      </w:r>
    </w:p>
    <w:p>
      <w:pPr>
        <w:pStyle w:val="Heading2"/>
      </w:pPr>
      <w:r>
        <w:t xml:space="preserve">3.8. Métricas de calidad</w:t>
      </w:r>
    </w:p>
    <w:p>
      <w:pPr>
        <w:spacing w:after="120" w:before="0" w:line="276"/>
      </w:pPr>
      <w:r>
        <w:rPr>
          <w:sz w:val="22"/>
          <w:szCs w:val="22"/>
        </w:rPr>
        <w:t xml:space="preserve">El ajuste se evalúa con cuatro indicadores y sus umbrales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Indicador</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Umbral objetivo</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Significado</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R²</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 0.95</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Proporción de variación explicada por el modelo</w:t>
            </w:r>
          </w:p>
        </w:tc>
      </w:tr>
      <w:tr>
        <w:trPr>
          <w:tblHeader w:val="false"/>
        </w:trPr>
        <w:tc>
          <w:tcPr>
            <w:tcW w:type="dxa" w:w="3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EMC (error cuad. medio)</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 1×10⁻⁵</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Error promedio punto a punto</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Error máximo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 1×10⁻³</w:t>
            </w:r>
          </w:p>
        </w:tc>
        <w:tc>
          <w:tcPr>
            <w:tcW w:type="dxa" w:w="3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Mayor diferencia puntual entre dato y modelo</w:t>
            </w:r>
          </w:p>
        </w:tc>
      </w:tr>
      <w:tr>
        <w:trPr>
          <w:tblHeader w:val="false"/>
        </w:trPr>
        <w:tc>
          <w:tcPr>
            <w:tcW w:type="dxa" w:w="32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Σ pesos</w:t>
            </w:r>
          </w:p>
        </w:tc>
        <w:tc>
          <w:tcPr>
            <w:tcW w:type="dxa" w:w="2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 1.000</w:t>
            </w:r>
          </w:p>
        </w:tc>
        <w:tc>
          <w:tcPr>
            <w:tcW w:type="dxa" w:w="3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Conservación de la masa de probabilidad</w:t>
            </w:r>
          </w:p>
        </w:tc>
      </w:tr>
    </w:tbl>
    <w:p>
      <w:r>
        <w:br w:type="page"/>
      </w:r>
    </w:p>
    <w:p>
      <w:pPr>
        <w:pStyle w:val="Heading1"/>
      </w:pPr>
      <w:r>
        <w:t xml:space="preserve">4. Justificación del número de curvas (K = 5)</w:t>
      </w:r>
    </w:p>
    <w:p>
      <w:pPr>
        <w:spacing w:after="120" w:before="0" w:line="276"/>
      </w:pPr>
      <w:r>
        <w:rPr>
          <w:sz w:val="22"/>
          <w:szCs w:val="22"/>
        </w:rPr>
        <w:t xml:space="preserve">El número de curvas no se fija arbitrariamente: surge del análisis de derivadas sobre los datos reales de Belén. Aplicando el procedimiento de la sección 3.3 a la FDP empírica se obtiene: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Criterio</w:t>
            </w:r>
          </w:p>
        </w:tc>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Ubicaciones detectadas (HR %)</w:t>
            </w:r>
          </w:p>
        </w:tc>
        <w:tc>
          <w:tcPr>
            <w:tcW w:type="dxa" w:w="36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Interpretación</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Máximos de 1ª derivada (pos→neg)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 71 y 94</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Dos picos principales (concuerdan con el método de referencia: 72 y 95)</w:t>
            </w:r>
          </w:p>
        </w:tc>
      </w:tr>
      <w:tr>
        <w:trPr>
          <w:tblHeader w:val="false"/>
        </w:trPr>
        <w:tc>
          <w:tcPr>
            <w:tcW w:type="dxa" w:w="27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Regiones cóncavas de 2ª derivada (hombros)</w:t>
            </w:r>
          </w:p>
        </w:tc>
        <w:tc>
          <w:tcPr>
            <w:tcW w:type="dxa" w:w="30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 44 y 55</w:t>
            </w:r>
          </w:p>
        </w:tc>
        <w:tc>
          <w:tcPr>
            <w:tcW w:type="dxa" w:w="36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Dos hombros solapados sobre los picos principales</w:t>
            </w:r>
          </w:p>
        </w:tc>
      </w:tr>
      <w:tr>
        <w:trPr>
          <w:tblHeader w:val="false"/>
        </w:trP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Subida final (últimos bins ≈ 2.15× la media)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100</w:t>
            </w:r>
          </w:p>
        </w:tc>
        <w:tc>
          <w:tcPr>
            <w:tcW w:type="dxa" w:w="3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Una curva de saturación (β &lt; 1, sin máximo)</w:t>
            </w:r>
          </w:p>
        </w:tc>
      </w:tr>
    </w:tbl>
    <w:p>
      <w:pPr>
        <w:spacing w:after="120" w:before="80" w:line="276"/>
      </w:pPr>
      <w:r>
        <w:rPr>
          <w:sz w:val="22"/>
          <w:szCs w:val="22"/>
        </w:rPr>
        <w:t xml:space="preserve">Total: 2 picos principales + 2 hombros + 1 curva de saturación = </w:t>
      </w:r>
      <w:r>
        <w:rPr>
          <w:b/>
          <w:bCs/>
          <w:sz w:val="22"/>
          <w:szCs w:val="22"/>
        </w:rPr>
        <w:t xml:space="preserve">5 curvas (K = 5)</w:t>
      </w:r>
      <w:r>
        <w:rPr>
          <w:sz w:val="22"/>
          <w:szCs w:val="22"/>
        </w:rPr>
        <w:t xml:space="preserve">.</w:t>
      </w:r>
    </w:p>
    <w:p>
      <w:pPr>
        <w:spacing w:after="120" w:before="0" w:line="276"/>
      </w:pPr>
      <w:r>
        <w:rPr>
          <w:sz w:val="22"/>
          <w:szCs w:val="22"/>
        </w:rPr>
        <w:t xml:space="preserve">Esto coincide exactamente con lo descrito en el método original: de los cambios de signo de la segunda derivada se obtienen cinco curvas posibles; dos son concordantes con ceros de la primera derivada (los picos en 72 y 95), mientras que las restantes corresponden a hombros solapados o a la rama de saturación final. Por ello K = 5 es el mínimo número de componentes que reproduce la estructura observada sin sobreajustar.</w:t>
      </w:r>
    </w:p>
    <w:p>
      <w:pPr>
        <w:pStyle w:val="Heading1"/>
      </w:pPr>
      <w:r>
        <w:t xml:space="preserve">5. Resultados del ajuste</w:t>
      </w:r>
    </w:p>
    <w:p>
      <w:pPr>
        <w:spacing w:after="120" w:before="0" w:line="276"/>
      </w:pPr>
      <w:r>
        <w:rPr>
          <w:sz w:val="22"/>
          <w:szCs w:val="22"/>
        </w:rPr>
        <w:t xml:space="preserve">Aplicando el procedimiento a la FDP de referencia, las cinco curvas obtenidas por el algoritmo 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1300"/>
        <w:gridCol w:w="1300"/>
        <w:gridCol w:w="186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Curva</w:t>
            </w:r>
          </w:p>
        </w:tc>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Moda (HR %)</w:t>
            </w:r>
          </w:p>
        </w:tc>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[A, B]</w:t>
            </w:r>
          </w:p>
        </w:tc>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α</w:t>
            </w:r>
          </w:p>
        </w:tc>
        <w:tc>
          <w:tcPr>
            <w:tcW w:type="dxa" w:w="1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β</w:t>
            </w:r>
          </w:p>
        </w:tc>
        <w:tc>
          <w:tcPr>
            <w:tcW w:type="dxa" w:w="18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Peso p</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1 (hombro)</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38.6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[23.9, 48.8]</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7.46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5.48</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0.026</w:t>
            </w:r>
          </w:p>
        </w:tc>
      </w:tr>
      <w:tr>
        <w:trPr>
          <w:tblHeader w:val="false"/>
        </w:trPr>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2 (hombro)</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53.8</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[39.5, 62.7]</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2.17</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1.73</w:t>
            </w:r>
          </w:p>
        </w:tc>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0.186</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3 (principal)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70.1</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[50.5, 83.3]</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4.46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3.34</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0.468</w:t>
            </w:r>
          </w:p>
        </w:tc>
      </w:tr>
      <w:tr>
        <w:trPr>
          <w:tblHeader w:val="false"/>
        </w:trPr>
        <w:tc>
          <w:tcPr>
            <w:tcW w:type="dxa" w:w="11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4 (principal)</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92.8</w:t>
            </w:r>
          </w:p>
        </w:tc>
        <w:tc>
          <w:tcPr>
            <w:tcW w:type="dxa" w:w="14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[69.7, 98.2]</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2.72</w:t>
            </w:r>
          </w:p>
        </w:tc>
        <w:tc>
          <w:tcPr>
            <w:tcW w:type="dxa" w:w="1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1.41</w:t>
            </w:r>
          </w:p>
        </w:tc>
        <w:tc>
          <w:tcPr>
            <w:tcW w:type="dxa" w:w="18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0.248</w:t>
            </w:r>
          </w:p>
        </w:tc>
      </w:tr>
      <w:tr>
        <w:trPr>
          <w:tblHeader w:val="false"/>
        </w:trP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5 (saturación)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100.0</w:t>
            </w:r>
          </w:p>
        </w:tc>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[88.6, 100.5]</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10.56</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0.74</w:t>
            </w:r>
          </w:p>
        </w:tc>
        <w:tc>
          <w:tcPr>
            <w:tcW w:type="dxa" w:w="1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0.072</w:t>
            </w:r>
          </w:p>
        </w:tc>
      </w:tr>
    </w:tbl>
    <w:p>
      <w:pPr>
        <w:spacing w:after="120" w:before="60" w:line="276"/>
      </w:pPr>
      <w:r>
        <w:rPr>
          <w:b/>
          <w:bCs/>
          <w:sz w:val="20"/>
          <w:szCs w:val="20"/>
        </w:rPr>
        <w:t xml:space="preserve">Nota: </w:t>
      </w:r>
      <w:r>
        <w:rPr>
          <w:i/>
          <w:iCs/>
          <w:sz w:val="20"/>
          <w:szCs w:val="20"/>
        </w:rPr>
        <w:t xml:space="preserve">la curva 5 presenta β = 0.74 &lt; 1, confirmando la rama ascendente de saturación sin máximo interior. La suma de pesos es 1.000.</w:t>
      </w:r>
    </w:p>
    <w:p>
      <w:pPr>
        <w:pStyle w:val="Heading1"/>
      </w:pPr>
      <w:r>
        <w:t xml:space="preserve">6. Comparación con la hoja de cálculo de referencia</w:t>
      </w:r>
    </w:p>
    <w:p>
      <w:pPr>
        <w:spacing w:after="120" w:before="0" w:line="276"/>
      </w:pPr>
      <w:r>
        <w:rPr>
          <w:sz w:val="22"/>
          <w:szCs w:val="22"/>
        </w:rPr>
        <w:t xml:space="preserve">La hoja de cálculo original (Excel) emplea cinco funciones Beta con parámetros fijados manualmente a partir de las tablas estándar. El algoritmo, en cambio, parte de esos mismos criterios pero ajusta los parámetros numéricamente. Para una comparación justa, se evaluaron ambos conjuntos de parámetros sobre exactamente los mismos datos (la columna “Frec norm” de la hoja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Modelo</w:t>
            </w:r>
          </w:p>
        </w:tc>
        <w:tc>
          <w:tcPr>
            <w:tcW w:type="dxa" w:w="20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R²</w:t>
            </w:r>
          </w:p>
        </w:tc>
        <w:tc>
          <w:tcPr>
            <w:tcW w:type="dxa" w:w="20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EMC</w:t>
            </w:r>
          </w:p>
        </w:tc>
        <w:tc>
          <w:tcPr>
            <w:tcW w:type="dxa" w:w="20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b/>
                <w:bCs/>
                <w:color w:val="FFFFFF"/>
                <w:sz w:val="20"/>
                <w:szCs w:val="20"/>
              </w:rPr>
              <w:t xml:space="preserve">Error máximo</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Excel (parámetros fijos)</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0.9403</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5.87×10⁻⁶</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20"/>
                <w:szCs w:val="20"/>
              </w:rPr>
              <w:t xml:space="preserve">0.0177</w:t>
            </w:r>
          </w:p>
        </w:tc>
      </w:tr>
      <w:tr>
        <w:trPr>
          <w:tblHeader w:val="false"/>
        </w:trPr>
        <w:tc>
          <w:tcPr>
            <w:tcW w:type="dxa" w:w="312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Algoritmo (optimizado)</w:t>
            </w:r>
          </w:p>
        </w:tc>
        <w:tc>
          <w:tcPr>
            <w:tcW w:type="dxa" w:w="20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0.9906</w:t>
            </w:r>
          </w:p>
        </w:tc>
        <w:tc>
          <w:tcPr>
            <w:tcW w:type="dxa" w:w="20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9.27×10⁻⁷</w:t>
            </w:r>
          </w:p>
        </w:tc>
        <w:tc>
          <w:tcPr>
            <w:tcW w:type="dxa" w:w="20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tcPr>
          <w:p>
            <w:pPr>
              <w:jc w:val="left"/>
            </w:pPr>
            <w:r>
              <w:rPr>
                <w:b w:val="false"/>
                <w:bCs w:val="false"/>
                <w:color w:val="000000"/>
                <w:sz w:val="20"/>
                <w:szCs w:val="20"/>
              </w:rPr>
              <w:t xml:space="preserve">0.0030</w:t>
            </w:r>
          </w:p>
        </w:tc>
      </w:tr>
    </w:tbl>
    <w:p>
      <w:pPr>
        <w:spacing w:after="120" w:before="0" w:line="276"/>
      </w:pPr>
      <w:r>
        <w:rPr>
          <w:b/>
          <w:bCs/>
          <w:sz w:val="22"/>
          <w:szCs w:val="22"/>
        </w:rPr>
        <w:t xml:space="preserve">Conclusión de la comparación: </w:t>
      </w:r>
      <w:r>
        <w:rPr>
          <w:sz w:val="22"/>
          <w:szCs w:val="22"/>
        </w:rPr>
        <w:t xml:space="preserve">sobre los mismos datos, el ajuste automático reproduce la curva empírica con mayor fidelidad que los parámetros fijos del Excel (R² 0.991 frente a 0.940, y un error máximo casi seis veces menor). Ninguno de los dos es incorrecto; ambos describen la misma curva, pero el algoritmo cumple holgadamente los umbrales de calidad.</w:t>
      </w:r>
    </w:p>
    <w:p>
      <w:pPr>
        <w:pStyle w:val="Heading2"/>
      </w:pPr>
      <w:r>
        <w:t xml:space="preserve">6.1. ¿Por qué difieren los valores de α y β?</w:t>
      </w:r>
    </w:p>
    <w:p>
      <w:pPr>
        <w:spacing w:after="120" w:before="0" w:line="276"/>
      </w:pPr>
      <w:r>
        <w:rPr>
          <w:sz w:val="22"/>
          <w:szCs w:val="22"/>
        </w:rPr>
        <w:t xml:space="preserve">La descomposición de una curva en suma de varias funciones Beta es un problema no único (identificabilidad de mezclas). Es decir, distintas combinaciones de α, β, A, B y p pueden reconstruir prácticamente la misma curva total. Donde dos curvas se solapan (los hombros en 50–60 % y la zona 80–95 %), el área puede repartirse de varias formas equivalentes.</w:t>
      </w:r>
    </w:p>
    <w:p>
      <w:pPr>
        <w:spacing w:after="120" w:before="0" w:line="276"/>
      </w:pPr>
      <w:r>
        <w:rPr>
          <w:sz w:val="22"/>
          <w:szCs w:val="22"/>
        </w:rPr>
        <w:t xml:space="preserve">En consecuencia:</w:t>
      </w:r>
    </w:p>
    <w:p>
      <w:pPr>
        <w:pStyle w:val="ListParagraph"/>
        <w:numPr>
          <w:ilvl w:val="0"/>
          <w:numId w:val="2"/>
        </w:numPr>
        <w:spacing w:after="80" w:line="276"/>
      </w:pPr>
      <w:r>
        <w:rPr>
          <w:sz w:val="22"/>
          <w:szCs w:val="22"/>
        </w:rPr>
        <w:t xml:space="preserve">Lo que está bien determinado y es robusto: la curva suma, la posición de las modas (picos) y el cumplimiento de los umbrales de calidad.</w:t>
      </w:r>
    </w:p>
    <w:p>
      <w:pPr>
        <w:pStyle w:val="ListParagraph"/>
        <w:numPr>
          <w:ilvl w:val="0"/>
          <w:numId w:val="2"/>
        </w:numPr>
        <w:spacing w:after="80" w:line="276"/>
      </w:pPr>
      <w:r>
        <w:rPr>
          <w:sz w:val="22"/>
          <w:szCs w:val="22"/>
        </w:rPr>
        <w:t xml:space="preserve">Lo que no es único: los valores individuales de α y β y los soportes [A, B] de cada curva, que pueden variar entre soluciones igualmente válidas.</w:t>
      </w:r>
    </w:p>
    <w:p>
      <w:pPr>
        <w:spacing w:after="120" w:before="0" w:line="276"/>
      </w:pPr>
      <w:r>
        <w:rPr>
          <w:sz w:val="22"/>
          <w:szCs w:val="22"/>
        </w:rPr>
        <w:t xml:space="preserve">Las modas obtenidas por el algoritmo (≈ 39, 54, 70, 93, 100) son concordantes con las de la hoja de referencia (43, 56, 72, 95, 100). Las diferencias en α y β son la parte esperable y no única del problema, y no implican error en ninguno de los dos enfoques.</w:t>
      </w:r>
    </w:p>
    <w:p>
      <w:pPr>
        <w:spacing w:after="120" w:before="0" w:line="276"/>
      </w:pPr>
      <w:r>
        <w:rPr>
          <w:b/>
          <w:bCs/>
          <w:sz w:val="22"/>
          <w:szCs w:val="22"/>
        </w:rPr>
        <w:t xml:space="preserve">Redacción sugerida para el informe: </w:t>
      </w:r>
      <w:r>
        <w:rPr>
          <w:i/>
          <w:iCs/>
          <w:sz w:val="22"/>
          <w:szCs w:val="22"/>
        </w:rPr>
        <w:t xml:space="preserve">“Las diferencias en los parámetros α y β individuales respecto a la hoja de cálculo de referencia se deben a la no‑unicidad inherente de la descomposición en mezcla de funciones Beta; ambas soluciones reconstruyen la curva empírica con R² equivalente o superior (&gt; 0.94) y modas concordantes.”</w:t>
      </w:r>
    </w:p>
    <w:p>
      <w:pPr>
        <w:pStyle w:val="Heading1"/>
      </w:pPr>
      <w:r>
        <w:t xml:space="preserve">7. Conclusiones</w:t>
      </w:r>
    </w:p>
    <w:p>
      <w:pPr>
        <w:pStyle w:val="ListParagraph"/>
        <w:numPr>
          <w:ilvl w:val="0"/>
          <w:numId w:val="3"/>
        </w:numPr>
        <w:spacing w:after="80" w:line="276"/>
      </w:pPr>
      <w:r>
        <w:rPr>
          <w:sz w:val="22"/>
          <w:szCs w:val="22"/>
        </w:rPr>
        <w:t xml:space="preserve">El procedimiento estima la FDP de la HR como suma ponderada de cinco funciones Beta generalizadas, siguiendo un método determinista basado en el análisis de derivadas de la curva empírica.</w:t>
      </w:r>
    </w:p>
    <w:p>
      <w:pPr>
        <w:pStyle w:val="ListParagraph"/>
        <w:numPr>
          <w:ilvl w:val="0"/>
          <w:numId w:val="3"/>
        </w:numPr>
        <w:spacing w:after="80" w:line="276"/>
      </w:pPr>
      <w:r>
        <w:rPr>
          <w:sz w:val="22"/>
          <w:szCs w:val="22"/>
        </w:rPr>
        <w:t xml:space="preserve">El número de curvas K = 5 se justifica por evidencia: dos picos principales (1ª derivada), dos hombros solapados (2ª derivada) y una rama de saturación a 100 % (β &lt; 1).</w:t>
      </w:r>
    </w:p>
    <w:p>
      <w:pPr>
        <w:pStyle w:val="ListParagraph"/>
        <w:numPr>
          <w:ilvl w:val="0"/>
          <w:numId w:val="3"/>
        </w:numPr>
        <w:spacing w:after="80" w:line="276"/>
      </w:pPr>
      <w:r>
        <w:rPr>
          <w:sz w:val="22"/>
          <w:szCs w:val="22"/>
        </w:rPr>
        <w:t xml:space="preserve">El ajuste automático cumple los umbrales de calidad (R² = 0.991, EMC = 9.3×10⁻⁷) y, sobre los mismos datos, supera en fidelidad a los parámetros fijos de la hoja de referencia (R² = 0.940).</w:t>
      </w:r>
    </w:p>
    <w:p>
      <w:pPr>
        <w:pStyle w:val="ListParagraph"/>
        <w:numPr>
          <w:ilvl w:val="0"/>
          <w:numId w:val="3"/>
        </w:numPr>
        <w:spacing w:after="80" w:line="276"/>
      </w:pPr>
      <w:r>
        <w:rPr>
          <w:sz w:val="22"/>
          <w:szCs w:val="22"/>
        </w:rPr>
        <w:t xml:space="preserve">Las diferencias en los parámetros α y β frente al Excel no indican error: son consecuencia de la no‑unicidad de la descomposición en mezcla de Beta. Las magnitudes robustas (curva suma y modas) son concordantes entre ambos enfoques.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Estimación de la Humedad Relativa — Metodología FDP Beta   ·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4E79"/>
      <w:sz w:val="40"/>
      <w:szCs w:val="4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2026-06-15T21:05:39.822Z</dcterms:created>
  <dcterms:modified xsi:type="dcterms:W3CDTF">2026-06-15T21:05:39.823Z</dcterms:modified>
</cp:coreProperties>
</file>

<file path=docProps/custom.xml><?xml version="1.0" encoding="utf-8"?>
<Properties xmlns="http://schemas.openxmlformats.org/officeDocument/2006/custom-properties" xmlns:vt="http://schemas.openxmlformats.org/officeDocument/2006/docPropsVTypes"/>
</file>