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left"/>
        <w:rPr/>
      </w:pPr>
      <w:r w:rsidDel="00000000" w:rsidR="00000000" w:rsidRPr="00000000">
        <w:rPr/>
        <w:drawing>
          <wp:inline distB="0" distT="0" distL="114300" distR="114300">
            <wp:extent cx="1828800" cy="44958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320" w:before="340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6"/>
          <w:szCs w:val="46"/>
          <w:rtl w:val="0"/>
        </w:rPr>
        <w:t xml:space="preserve">Avance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34"/>
          <w:szCs w:val="34"/>
          <w:rtl w:val="0"/>
        </w:rPr>
        <w:t xml:space="preserve">Aprueba Administración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90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8"/>
          <w:szCs w:val="28"/>
          <w:rtl w:val="0"/>
        </w:rPr>
        <w:t xml:space="preserve">Módulo de pago y suscripción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Integrantes: Sebastián Araya, César Garrido y Thiare Gómez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Asignatura: Capstone PTY4614 · Sección 004D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Institución: Duoc UC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Fecha de referencia: 30 de octubre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El avance presenta el estado disponible del módulo de pagos y suscripciones. Su objetivo es identificar funciones comprobadas, fallos y limitaciones para orientar el desarrollo posterior. No acredita que el producto esté terminado ni aceptado por Alloxentric.</w:t>
      </w:r>
    </w:p>
    <w:p w:rsidR="00000000" w:rsidDel="00000000" w:rsidP="00000000" w:rsidRDefault="00000000" w:rsidRPr="00000000" w14:paraId="00000015">
      <w:pPr>
        <w:pStyle w:val="Heading1"/>
        <w:keepNext w:val="1"/>
        <w:spacing w:after="80" w:line="259" w:lineRule="auto"/>
        <w:rPr/>
      </w:pPr>
      <w:r w:rsidDel="00000000" w:rsidR="00000000" w:rsidRPr="00000000">
        <w:rPr>
          <w:rtl w:val="0"/>
        </w:rPr>
        <w:t xml:space="preserve">Resultados de la evaluación</w:t>
      </w:r>
    </w:p>
    <w:tbl>
      <w:tblPr>
        <w:tblStyle w:val="Table1"/>
        <w:tblW w:w="9639.0" w:type="dxa"/>
        <w:jc w:val="center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377"/>
        <w:gridCol w:w="1377"/>
        <w:gridCol w:w="1377"/>
        <w:gridCol w:w="1377"/>
        <w:gridCol w:w="1377"/>
        <w:gridCol w:w="1377"/>
        <w:gridCol w:w="1377"/>
        <w:tblGridChange w:id="0">
          <w:tblGrid>
            <w:gridCol w:w="1377"/>
            <w:gridCol w:w="1377"/>
            <w:gridCol w:w="1377"/>
            <w:gridCol w:w="1377"/>
            <w:gridCol w:w="1377"/>
            <w:gridCol w:w="1377"/>
            <w:gridCol w:w="1377"/>
          </w:tblGrid>
        </w:tblGridChange>
      </w:tblGrid>
      <w:tr>
        <w:trPr>
          <w:cantSplit w:val="0"/>
          <w:tblHeader w:val="1"/>
        </w:trPr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Aprobados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Fallidos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Bloqueados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 ejecutados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Datos y permisos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Los intentos repetidos, las 18 comprobaciones EX y los escenarios complementarios se registran aparte. La matriz relaciona 24 requisitos funcionales, 24 historias de usuario y 96 criterios de aceptación; esa trazabilidad no demuestra cumplimiento íntegro.</w:t>
      </w:r>
    </w:p>
    <w:p w:rsidR="00000000" w:rsidDel="00000000" w:rsidP="00000000" w:rsidRDefault="00000000" w:rsidRPr="00000000" w14:paraId="0000003A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Hay evidencia de contratación mensual y anual, rechazo y recuperación de pagos, consultas y persistencia. La cancelación cuenta con evidencia del estado final, pero la transición temporal de acceso no está íntegramente acreditada. El reloj simulado de Stripe no equivale al reloj de Aprueba.</w:t>
      </w:r>
    </w:p>
    <w:p w:rsidR="00000000" w:rsidDel="00000000" w:rsidP="00000000" w:rsidRDefault="00000000" w:rsidRPr="00000000" w14:paraId="0000003B">
      <w:pPr>
        <w:pStyle w:val="Heading1"/>
        <w:keepNext w:val="1"/>
        <w:spacing w:after="80" w:line="259" w:lineRule="auto"/>
        <w:rPr/>
      </w:pPr>
      <w:r w:rsidDel="00000000" w:rsidR="00000000" w:rsidRPr="00000000">
        <w:rPr>
          <w:rtl w:val="0"/>
        </w:rPr>
        <w:t xml:space="preserve">Alcance y limitaciones</w:t>
      </w:r>
    </w:p>
    <w:p w:rsidR="00000000" w:rsidDel="00000000" w:rsidP="00000000" w:rsidRDefault="00000000" w:rsidRPr="00000000" w14:paraId="0000003C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La evaluación se limita al código disponible y a los entornos declarados en cada ejecución. Los ensayos locales sobre módulos originales conservan sus límites y no se extrapolan al despliegue completo. Los candidatos de código modificado no acreditan el proyecto actual.</w:t>
      </w:r>
    </w:p>
    <w:p w:rsidR="00000000" w:rsidDel="00000000" w:rsidP="00000000" w:rsidRDefault="00000000" w:rsidRPr="00000000" w14:paraId="0000003D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El catálogo no habilitado, la auditoría por intento, las mediciones internas de rendimiento y las combinaciones de permisos, navegadores y accesibilidad no comprobadas permanecen documentados para seguimiento. Los avisos financieros no cuentan con ejecución acreditada. La vista estrecha evaluada corresponde a emulación web, no a la aplicación móvil de otro equipo.</w:t>
      </w:r>
    </w:p>
    <w:p w:rsidR="00000000" w:rsidDel="00000000" w:rsidP="00000000" w:rsidRDefault="00000000" w:rsidRPr="00000000" w14:paraId="0000003E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El plan de todas las pruebas mantiene M2 e Historia dentro del beneficio previsto; su validación funcional depende de contenido o código de otro equipo. No se agregan días de gracia ni reglas sin confirmación. Según lo informado por el equipo, no se recibió feedback ni correcciones nuevas de Alloxentric.</w:t>
      </w:r>
    </w:p>
    <w:p w:rsidR="00000000" w:rsidDel="00000000" w:rsidP="00000000" w:rsidRDefault="00000000" w:rsidRPr="00000000" w14:paraId="0000003F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El registro de una evaluación puede estar terminado aunque la prueba sea parcial, fallida, bloqueada o no ejecutada. Las implementaciones pendientes y las nuevas validaciones corresponden al desarrollo posterior. No se mide el porcentaje de desarrollo a partir del número de casos aprobados.</w:t>
      </w:r>
    </w:p>
    <w:p w:rsidR="00000000" w:rsidDel="00000000" w:rsidP="00000000" w:rsidRDefault="00000000" w:rsidRPr="00000000" w14:paraId="00000040">
      <w:pPr>
        <w:pStyle w:val="Heading1"/>
        <w:keepNext w:val="1"/>
        <w:spacing w:after="80" w:line="259" w:lineRule="auto"/>
        <w:rPr/>
      </w:pPr>
      <w:r w:rsidDel="00000000" w:rsidR="00000000" w:rsidRPr="00000000">
        <w:rPr>
          <w:rtl w:val="0"/>
        </w:rPr>
        <w:t xml:space="preserve">Documentos y evidencias</w:t>
      </w:r>
    </w:p>
    <w:p w:rsidR="00000000" w:rsidDel="00000000" w:rsidP="00000000" w:rsidRDefault="00000000" w:rsidRPr="00000000" w14:paraId="00000041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Evidencias Individuales contiene los diarios de los tres integrantes. Evidencias Grupales reúne la guía Duoc y la planilla de evaluación. Evidencias organiza los documentos de diseño, gestión, metodología y pruebas por tema. El README de esa carpeta identifica los documentos principales.</w:t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6838" w:w="11906" w:orient="portrait"/>
      <w:pgMar w:bottom="1134" w:top="1134" w:left="1134" w:right="1134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jc w:val="right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jc w:val="right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120" w:before="0" w:line="25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Aprueba Administración · Fase 2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120" w:before="0" w:line="25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Aprueba Administración · Fase 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2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i w:val="1"/>
      <w:i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120" w:before="0" w:line="259" w:lineRule="auto"/>
    </w:pPr>
    <w:rPr>
      <w:rFonts w:ascii="Arial" w:cs="Arial" w:eastAsia="Arial" w:hAnsi="Arial"/>
      <w:b w:val="1"/>
      <w:bCs w:val="1"/>
      <w:color w:val="000000"/>
      <w:sz w:val="36"/>
      <w:szCs w:val="36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120" w:before="0" w:line="259" w:lineRule="auto"/>
    </w:pPr>
    <w:rPr>
      <w:rFonts w:ascii="Arial" w:hAnsi="Arial"/>
      <w:b w:val="0"/>
      <w:color w:val="000000"/>
      <w:sz w:val="18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120" w:before="0" w:line="259" w:lineRule="auto"/>
    </w:pPr>
    <w:rPr>
      <w:rFonts w:ascii="Arial" w:hAnsi="Arial"/>
      <w:b w:val="0"/>
      <w:color w:val="000000"/>
      <w:sz w:val="18"/>
    </w:rPr>
  </w:style>
  <w:style w:type="character" w:styleId="FooterChar" w:customStyle="1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Arial" w:hAnsi="Arial" w:asciiTheme="majorHAnsi" w:cstheme="majorBidi" w:eastAsiaTheme="majorEastAsia" w:hAnsiTheme="majorHAnsi"/>
      <w:i w:val="1"/>
      <w:iCs w:val="1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Arial" w:hAnsi="Arial" w:asciiTheme="majorHAnsi" w:cstheme="majorBidi" w:eastAsiaTheme="majorEastAsia" w:hAnsiTheme="majorHAns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Arial" w:hAnsi="Arial" w:asciiTheme="majorHAnsi" w:cstheme="majorBidi" w:eastAsiaTheme="majorEastAsia" w:hAnsiTheme="majorHAnsi"/>
      <w:i w:val="1"/>
      <w:iCs w:val="1"/>
      <w:color w:val="00000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  <w:rPr>
      <w:rFonts w:ascii="Arial" w:hAnsi="Arial"/>
      <w:color w:val="000000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  <w:rPr>
      <w:rFonts w:ascii="Arial" w:hAnsi="Arial"/>
      <w:color w:val="000000"/>
    </w:r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Arial" w:hAnsi="Arial" w:asciiTheme="majorHAnsi" w:cstheme="majorBidi" w:eastAsiaTheme="majorEastAsia" w:hAnsiTheme="majorHAnsi"/>
      <w:b w:val="1"/>
      <w:bCs w:val="1"/>
      <w:color w:val="000000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Arial" w:hAnsi="Arial" w:asciiTheme="majorHAnsi" w:cstheme="majorBidi" w:eastAsiaTheme="majorEastAsia" w:hAnsiTheme="majorHAnsi"/>
      <w:b w:val="1"/>
      <w:bCs w:val="1"/>
      <w:color w:val="000000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Arial" w:hAnsi="Arial" w:asciiTheme="majorHAnsi" w:cstheme="majorBidi" w:eastAsiaTheme="majorEastAsia" w:hAnsiTheme="majorHAnsi"/>
      <w:b w:val="1"/>
      <w:bCs w:val="1"/>
      <w:color w:val="000000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Arial" w:hAnsi="Arial"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  <w:rPr>
      <w:rFonts w:ascii="Arial" w:hAnsi="Arial"/>
      <w:color w:val="000000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  <w:rPr>
      <w:rFonts w:ascii="Arial" w:hAnsi="Arial"/>
      <w:color w:val="000000"/>
    </w:rPr>
  </w:style>
  <w:style w:type="character" w:styleId="BodyTextChar" w:customStyle="1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  <w:rPr>
      <w:rFonts w:ascii="Arial" w:hAnsi="Arial"/>
      <w:color w:val="000000"/>
    </w:rPr>
  </w:style>
  <w:style w:type="character" w:styleId="BodyText2Char" w:customStyle="1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rFonts w:ascii="Arial" w:hAnsi="Arial"/>
      <w:color w:val="000000"/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  <w:rPr>
      <w:rFonts w:ascii="Arial" w:hAnsi="Arial"/>
      <w:color w:val="000000"/>
    </w:r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  <w:rPr>
      <w:rFonts w:ascii="Arial" w:hAnsi="Arial"/>
      <w:color w:val="000000"/>
    </w:r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  <w:rPr>
      <w:rFonts w:ascii="Arial" w:hAnsi="Arial"/>
      <w:color w:val="000000"/>
    </w:r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  <w:rPr>
      <w:rFonts w:ascii="Arial" w:hAnsi="Arial"/>
      <w:color w:val="000000"/>
    </w:r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  <w:rPr>
      <w:rFonts w:ascii="Arial" w:hAnsi="Arial"/>
      <w:color w:val="000000"/>
    </w:r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  <w:rPr>
      <w:rFonts w:ascii="Arial" w:hAnsi="Arial"/>
      <w:color w:val="000000"/>
    </w:r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  <w:rPr>
      <w:rFonts w:ascii="Arial" w:hAnsi="Arial"/>
      <w:color w:val="000000"/>
    </w:r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  <w:rPr>
      <w:rFonts w:ascii="Arial" w:hAnsi="Arial"/>
      <w:color w:val="000000"/>
    </w:r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  <w:rPr>
      <w:rFonts w:ascii="Arial" w:hAnsi="Arial"/>
      <w:color w:val="000000"/>
    </w:r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  <w:rPr>
      <w:rFonts w:ascii="Arial" w:hAnsi="Arial"/>
      <w:color w:val="000000"/>
    </w:r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  <w:rPr>
      <w:rFonts w:ascii="Arial" w:hAnsi="Arial"/>
      <w:color w:val="000000"/>
    </w:r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  <w:rPr>
      <w:rFonts w:ascii="Arial" w:hAnsi="Arial"/>
      <w:color w:val="000000"/>
    </w:r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rFonts w:ascii="Arial" w:hAnsi="Arial"/>
      <w:i w:val="1"/>
      <w:iCs w:val="1"/>
      <w:color w:val="00000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rFonts w:ascii="Arial" w:hAnsi="Arial"/>
      <w:i w:val="1"/>
      <w:iCs w:val="1"/>
      <w:color w:val="000000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="Arial" w:hAnsi="Arial" w:asciiTheme="majorHAnsi" w:cstheme="majorBidi" w:eastAsiaTheme="majorEastAsia" w:hAnsiTheme="majorHAnsi"/>
      <w:b w:val="1"/>
      <w:bCs w:val="1"/>
      <w:i w:val="1"/>
      <w:iCs w:val="1"/>
      <w:color w:val="000000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="Arial" w:hAnsi="Arial" w:asciiTheme="majorHAnsi" w:cstheme="majorBidi" w:eastAsiaTheme="majorEastAsia" w:hAnsiTheme="majorHAnsi"/>
      <w:color w:val="000000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="Arial" w:hAnsi="Arial" w:asciiTheme="majorHAnsi" w:cstheme="majorBidi" w:eastAsiaTheme="majorEastAsia" w:hAnsiTheme="majorHAnsi"/>
      <w:color w:val="000000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rFonts w:ascii="Arial" w:hAnsi="Arial"/>
      <w:b w:val="1"/>
      <w:bCs w:val="1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rFonts w:ascii="Arial" w:hAnsi="Arial"/>
      <w:b w:val="1"/>
      <w:bCs w:val="1"/>
      <w:color w:val="000000"/>
    </w:rPr>
  </w:style>
  <w:style w:type="character" w:styleId="Emphasis">
    <w:name w:val="Emphasis"/>
    <w:basedOn w:val="DefaultParagraphFont"/>
    <w:uiPriority w:val="20"/>
    <w:qFormat w:val="1"/>
    <w:rsid w:val="00FC693F"/>
    <w:rPr>
      <w:rFonts w:ascii="Arial" w:hAnsi="Arial"/>
      <w:i w:val="1"/>
      <w:iCs w:val="1"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spacing w:after="280" w:before="200"/>
      <w:ind w:left="936" w:right="936"/>
    </w:pPr>
    <w:rPr>
      <w:rFonts w:ascii="Arial" w:hAnsi="Arial"/>
      <w:b w:val="1"/>
      <w:bCs w:val="1"/>
      <w:i w:val="1"/>
      <w:iCs w:val="1"/>
      <w:color w:val="000000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rFonts w:ascii="Arial" w:hAnsi="Arial"/>
      <w:b w:val="1"/>
      <w:bCs w:val="1"/>
      <w:i w:val="1"/>
      <w:iCs w:val="1"/>
      <w:color w:val="000000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rFonts w:ascii="Arial" w:hAnsi="Arial"/>
      <w:i w:val="1"/>
      <w:iCs w:val="1"/>
      <w:color w:val="000000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rFonts w:ascii="Arial" w:hAnsi="Arial"/>
      <w:b w:val="1"/>
      <w:bCs w:val="1"/>
      <w:i w:val="1"/>
      <w:iCs w:val="1"/>
      <w:color w:val="000000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rFonts w:ascii="Arial" w:hAnsi="Arial"/>
      <w:smallCaps w:val="1"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rFonts w:ascii="Arial" w:hAnsi="Arial"/>
      <w:b w:val="1"/>
      <w:bCs w:val="1"/>
      <w:smallCaps w:val="1"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rFonts w:ascii="Arial" w:hAnsi="Arial"/>
      <w:b w:val="1"/>
      <w:bCs w:val="1"/>
      <w:smallCaps w:val="1"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>
      <w:rFonts w:ascii="Arial" w:hAnsi="Arial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>
      <w:spacing w:after="120" w:before="0" w:line="259" w:lineRule="auto"/>
    </w:pPr>
    <w:rPr>
      <w:rFonts w:ascii="Arial" w:cs="Arial" w:eastAsia="Arial" w:hAnsi="Arial"/>
      <w:b w:val="0"/>
      <w:bCs w:val="0"/>
      <w:i w:val="1"/>
      <w:iCs w:val="1"/>
      <w:color w:val="000000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TZbVlZZdevT1T1RdJJvn8HirkQ==">CgMxLjA4AHIhMXkyMUFQNklxZjRsNk5Pa0VvblgyZ1BmN2xpbURFMjdQ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Equipo Aprueba Administración</dc:creator>
</cp:coreProperties>
</file>