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left="72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Diagramas de casos de uso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color w:val="000000"/>
          <w:sz w:val="34"/>
          <w:szCs w:val="34"/>
        </w:rPr>
      </w:pPr>
      <w:r w:rsidDel="00000000" w:rsidR="00000000" w:rsidRPr="00000000">
        <w:rPr>
          <w:color w:val="000000"/>
          <w:sz w:val="34"/>
          <w:szCs w:val="34"/>
          <w:rtl w:val="0"/>
        </w:rPr>
        <w:t xml:space="preserve">Aprueba Administración - Módulo de pago y suscripción</w:t>
      </w:r>
    </w:p>
    <w:p w:rsidR="00000000" w:rsidDel="00000000" w:rsidP="00000000" w:rsidRDefault="00000000" w:rsidRPr="00000000" w14:paraId="0000000C">
      <w:pPr>
        <w:spacing w:after="0" w:line="360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Integrantes: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Sebastián Araya, César Garrido y Thiare Gómez</w:t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Asignatura: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Capstone (PTY4614 - 004D)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Institución: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Duoc UC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Fecha: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10/09/2026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Este documento presenta los diagramas de casos de uso del módulo de pagos y suscripciones de Aprueba. Los modelos identifican las funciones ofrecidas por el sistema, los actores externos que participan y las relaciones obligatorias o condicionales entre capacidades. Su propósito es convertir los requerimientos funcionales del documento IEEE 830 en una representación UML comprensible y trazable.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 Objetivo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El objetivo es delimitar las interacciones necesarias para consultar planes, contratar y administrar una suscripción, procesar renovaciones y fallos, realizar funciones financieras y mantener el catálogo. Los diagramas describen comportamiento funcional; la secuencia temporal, las decisiones y los estados alternativos se documentan por separado mediante diagramas de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La evidencia cubre los requerimientos RF-01 a RF-24. El MVP se considera integrado con Stripe en modo de prueba y no implica movimiento de dinero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 Criterios de modelado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en 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Asociación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Línea continua sin flecha. Indica que un actor participa en un caso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«include»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Flecha discontinua hacia una función que siempre forma parte del caso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«extend»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Flecha discontinua desde una función condicional hacia el caso base que amplía.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RF-nn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Identificador que mantiene la trazabilidad con el documento de requerimientos.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1"/>
        <w:spacing w:after="10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3.1 Reglas de interpretación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Los actores se ubican fuera del límite del módulo y los casos de uso dentro de él.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Las asociaciones no representan orden, transferencia de datos ni dirección del flujo.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Los componentes internos, como frontend, backend y Firestore, no se modelan como actores.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Stripe y el servicio de notificaciones se modelan como sistemas externos.</w:t>
      </w:r>
    </w:p>
    <w:p w:rsidR="00000000" w:rsidDel="00000000" w:rsidP="00000000" w:rsidRDefault="00000000" w:rsidRPr="00000000" w14:paraId="00000038">
      <w:pPr>
        <w:pStyle w:val="Heading2"/>
        <w:keepNext w:val="1"/>
        <w:spacing w:after="10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3.2 Actores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dentro del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Consulta planes, contrata, revisa pagos y administra su suscripción y su medio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Administrador de Finanzas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Consulta operaciones financieras y gestiona reembolsos, disputas y conciliación.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Administrador de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Investiga eventos fallidos o pendientes y solicita reprocesos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Administrador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Supervisa la información, mantiene el catálogo y controla funciones administrativas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Procesa pagos y suscripciones, administra referencias externas y comunica eventos al backend de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Servicio de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Entrega al estudiante los avisos generados por el módulo y devuelve el resultado del envío.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1"/>
        <w:spacing w:after="10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3.3 Organización de los diagramas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Los casos se distribuyen en cinco vistas para conservar legibilidad sin perder cobertura. Un mismo requerimiento puede aparecer en más de un diagrama cuando funciona como capacidad compartida; en esos casos se identifica como reutilizado.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 DCU 01 Contratación y activación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Representa las interacciones necesarias para consultar y configurar una oferta, iniciar y completar el checkout de Stripe, procesar la confirmación firmada y activar la suscripción. La activación solo amplía el procesamiento del webhook cuando el pago está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4902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Figura 1. Casos de uso de contratación y activación.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 DCU 02 Autogestión de la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Agrupa las acciones independientes que puede iniciar un estudiante autenticado para mantener su relación de suscripción. Stripe participa en las operaciones que modifican la suscripción o el medio de pago, mientras que el historial se consulta desde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4800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Figura 2. Casos de uso de autogestión de la suscripción.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 DCU 03 Renovaciones y cobros fallidos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Describe los procesos automáticos originados por eventos de Stripe. Toda renovación o fallo mantiene un registro persistente; la finalización de beneficios ocurre únicamente cuando se agotan los reintentos y vence el periodo de gracia aplicable.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4749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Figura 3. Casos de uso de renovaciones y cobros fallidos.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7 DCU 04 Administración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Presenta las capacidades de consulta, auditoría, reembolso, disputa, conciliación y exportación. Las extensiones indican acciones opcionales disponibles después de seleccionar información o validar que una transacción admite la operación solicitada.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5715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Figura 4. Casos de uso de administración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8 DCU 05 Operación técnica y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Separa las responsabilidades técnicas y comerciales. Operaciones puede reprocesar un evento fallido o pendiente después de revisar su detalle, mientras que Administración General mantiene los planes y las referencias de precio vinculadas con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4622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569"/>
          <w:sz w:val="18"/>
          <w:szCs w:val="18"/>
          <w:rtl w:val="0"/>
        </w:rPr>
        <w:t xml:space="preserve">Figura 5. Casos de uso de operación técnica y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9 Matriz de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La matriz relaciona cada diagrama con los requerimientos funcionales de la especificación IEEE 830. Los requerimientos reutilizados conservan el mismo identificador para evitar duplicar definiciones.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Requerimientos cubiertos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DCU-01 Contratación y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RF-01, RF-02, RF-03, RF-04, RF-05, RF-06, RF-07 y 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DCU-02 Autogestión de la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RF-09, RF-10, RF-17 y 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DCU-03 Renovaciones y cobros 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RF-13, RF-14, RF-15, RF-16 y reutilización de RF-06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DCU-04 Administración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b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RF-11, RF-12, RF-18, RF-19, RF-21 y RF-22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DCU-05 Operación técnica y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8"/>
                <w:szCs w:val="18"/>
                <w:rtl w:val="0"/>
              </w:rPr>
              <w:t xml:space="preserve">RF-23, RF-24 y reutilización de RF-12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La cobertura consolidada comprende RF-01 a RF-24. RF-06 se reutiliza para mantener trazabilidad de renovaciones y fallos, mientras que RF-12 se reutiliza como punto de consulta previo al reproceso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10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f172a"/>
          <w:sz w:val="21"/>
          <w:szCs w:val="21"/>
          <w:rtl w:val="0"/>
        </w:rPr>
        <w:t xml:space="preserve">Los cinco diagramas delimitan las responsabilidades del estudiante, los perfiles administrativos y los servicios externos involucrados en el módulo. La separación por dominio evita confundir el orden de ejecución con las relaciones entre actores y funciones, y permite verificar que todos los requerimientos funcionales disponen de una representación UML. Estos modelos sirven como referencia para diseñar los diagramas de actividad, priorizar el desarrollo incremental y preparar las pruebas del flujo de pagos y suscripciones.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11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Documento de requerimientos IEEE 830 e historias de usuario del módulo de pagos y suscripciones, versión 1.0.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1"/>
          <w:szCs w:val="21"/>
          <w:u w:val="none"/>
          <w:shd w:fill="auto" w:val="clear"/>
          <w:vertAlign w:val="baseline"/>
          <w:rtl w:val="0"/>
        </w:rPr>
        <w:t xml:space="preserve">Documentación técnica de Aprueba entregada por Alloxentric: contrato de API, modelo de datos Firestore y plan del módulo administrativo.</w:t>
      </w:r>
    </w:p>
    <w:sectPr>
      <w:headerReference r:id="rId12" w:type="default"/>
      <w:footerReference r:id="rId13" w:type="default"/>
      <w:pgSz w:h="15840" w:w="12240" w:orient="portrait"/>
      <w:pgMar w:bottom="1008" w:top="1008" w:left="1080" w:right="1080" w:header="720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f172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748b"/>
        <w:sz w:val="17"/>
        <w:szCs w:val="17"/>
        <w:u w:val="none"/>
        <w:shd w:fill="auto" w:val="clear"/>
        <w:vertAlign w:val="baseline"/>
        <w:rtl w:val="0"/>
      </w:rPr>
      <w:t xml:space="preserve">Capstone PTY4614   |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748b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</wp:posOffset>
          </wp:positionH>
          <wp:positionV relativeFrom="paragraph">
            <wp:posOffset>-342899</wp:posOffset>
          </wp:positionV>
          <wp:extent cx="1787191" cy="442913"/>
          <wp:effectExtent b="0" l="0" r="0" t="0"/>
          <wp:wrapTopAndBottom distB="114300" distT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6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7191" cy="442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f172a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b w:val="1"/>
      <w:bCs w:val="1"/>
      <w:color w:val="000000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FMwr9NRolbRyBlcMn0/2yIGbRg==">CgMxLjA4AHIhMXFqN0Q1Z29JdS1vUXV2b2xoVTdmZGRiVnFIQUxWLXJt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