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left"/>
        <w:rPr/>
      </w:pPr>
      <w:r w:rsidDel="00000000" w:rsidR="00000000" w:rsidRPr="00000000">
        <w:rPr/>
        <w:drawing>
          <wp:inline distB="0" distT="0" distL="114300" distR="114300">
            <wp:extent cx="1828800" cy="44958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28800" cy="4495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320" w:before="3400" w:line="240" w:lineRule="auto"/>
        <w:jc w:val="center"/>
        <w:rPr/>
      </w:pPr>
      <w:r w:rsidDel="00000000" w:rsidR="00000000" w:rsidRPr="00000000">
        <w:rPr>
          <w:rFonts w:ascii="Arial" w:cs="Arial" w:eastAsia="Arial" w:hAnsi="Arial"/>
          <w:b w:val="1"/>
          <w:bCs w:val="1"/>
          <w:color w:val="000000"/>
          <w:sz w:val="46"/>
          <w:szCs w:val="46"/>
          <w:rtl w:val="0"/>
        </w:rPr>
        <w:t xml:space="preserve">Plan de pruebas</w:t>
      </w:r>
      <w:r w:rsidDel="00000000" w:rsidR="00000000" w:rsidRPr="00000000">
        <w:rPr>
          <w:rtl w:val="0"/>
        </w:rPr>
      </w:r>
    </w:p>
    <w:p w:rsidR="00000000" w:rsidDel="00000000" w:rsidP="00000000" w:rsidRDefault="00000000" w:rsidRPr="00000000" w14:paraId="00000003">
      <w:pPr>
        <w:spacing w:after="140" w:before="0" w:line="240" w:lineRule="auto"/>
        <w:jc w:val="center"/>
        <w:rPr/>
      </w:pPr>
      <w:r w:rsidDel="00000000" w:rsidR="00000000" w:rsidRPr="00000000">
        <w:rPr>
          <w:rFonts w:ascii="Arial" w:cs="Arial" w:eastAsia="Arial" w:hAnsi="Arial"/>
          <w:b w:val="0"/>
          <w:bCs w:val="0"/>
          <w:color w:val="000000"/>
          <w:sz w:val="34"/>
          <w:szCs w:val="34"/>
          <w:rtl w:val="0"/>
        </w:rPr>
        <w:t xml:space="preserve">Aprueba Administración</w:t>
      </w:r>
      <w:r w:rsidDel="00000000" w:rsidR="00000000" w:rsidRPr="00000000">
        <w:rPr>
          <w:rtl w:val="0"/>
        </w:rPr>
      </w:r>
    </w:p>
    <w:p w:rsidR="00000000" w:rsidDel="00000000" w:rsidP="00000000" w:rsidRDefault="00000000" w:rsidRPr="00000000" w14:paraId="00000004">
      <w:pPr>
        <w:spacing w:after="2900" w:before="0" w:line="240" w:lineRule="auto"/>
        <w:jc w:val="center"/>
        <w:rPr/>
      </w:pPr>
      <w:r w:rsidDel="00000000" w:rsidR="00000000" w:rsidRPr="00000000">
        <w:rPr>
          <w:rFonts w:ascii="Arial" w:cs="Arial" w:eastAsia="Arial" w:hAnsi="Arial"/>
          <w:b w:val="0"/>
          <w:bCs w:val="0"/>
          <w:color w:val="000000"/>
          <w:sz w:val="28"/>
          <w:szCs w:val="28"/>
          <w:rtl w:val="0"/>
        </w:rPr>
        <w:t xml:space="preserve">Módulo de pago y suscripción</w:t>
      </w:r>
      <w:r w:rsidDel="00000000" w:rsidR="00000000" w:rsidRPr="00000000">
        <w:rPr>
          <w:rtl w:val="0"/>
        </w:rPr>
      </w:r>
    </w:p>
    <w:p w:rsidR="00000000" w:rsidDel="00000000" w:rsidP="00000000" w:rsidRDefault="00000000" w:rsidRPr="00000000" w14:paraId="00000005">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6">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7">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8">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9">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A">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B">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C">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D">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E">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F">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10">
      <w:pPr>
        <w:spacing w:after="160" w:before="0" w:line="240" w:lineRule="auto"/>
        <w:jc w:val="left"/>
        <w:rPr/>
      </w:pPr>
      <w:r w:rsidDel="00000000" w:rsidR="00000000" w:rsidRPr="00000000">
        <w:rPr>
          <w:rFonts w:ascii="Arial" w:cs="Arial" w:eastAsia="Arial" w:hAnsi="Arial"/>
          <w:b w:val="0"/>
          <w:bCs w:val="0"/>
          <w:color w:val="000000"/>
          <w:sz w:val="20"/>
          <w:szCs w:val="20"/>
          <w:rtl w:val="0"/>
        </w:rPr>
        <w:t xml:space="preserve">Integrantes: Sebastián Araya, César Garrido y Thiare Gómez</w:t>
      </w:r>
      <w:r w:rsidDel="00000000" w:rsidR="00000000" w:rsidRPr="00000000">
        <w:rPr>
          <w:rtl w:val="0"/>
        </w:rPr>
      </w:r>
    </w:p>
    <w:p w:rsidR="00000000" w:rsidDel="00000000" w:rsidP="00000000" w:rsidRDefault="00000000" w:rsidRPr="00000000" w14:paraId="00000011">
      <w:pPr>
        <w:spacing w:after="160" w:before="0" w:line="240" w:lineRule="auto"/>
        <w:jc w:val="left"/>
        <w:rPr/>
      </w:pPr>
      <w:r w:rsidDel="00000000" w:rsidR="00000000" w:rsidRPr="00000000">
        <w:rPr>
          <w:rFonts w:ascii="Arial" w:cs="Arial" w:eastAsia="Arial" w:hAnsi="Arial"/>
          <w:b w:val="0"/>
          <w:bCs w:val="0"/>
          <w:color w:val="000000"/>
          <w:sz w:val="20"/>
          <w:szCs w:val="20"/>
          <w:rtl w:val="0"/>
        </w:rPr>
        <w:t xml:space="preserve">Asignatura: Capstone PTY4614 · Sección 004D</w:t>
      </w:r>
      <w:r w:rsidDel="00000000" w:rsidR="00000000" w:rsidRPr="00000000">
        <w:rPr>
          <w:rtl w:val="0"/>
        </w:rPr>
      </w:r>
    </w:p>
    <w:p w:rsidR="00000000" w:rsidDel="00000000" w:rsidP="00000000" w:rsidRDefault="00000000" w:rsidRPr="00000000" w14:paraId="00000012">
      <w:pPr>
        <w:spacing w:after="160" w:before="0" w:line="240" w:lineRule="auto"/>
        <w:jc w:val="left"/>
        <w:rPr/>
      </w:pPr>
      <w:r w:rsidDel="00000000" w:rsidR="00000000" w:rsidRPr="00000000">
        <w:rPr>
          <w:rFonts w:ascii="Arial" w:cs="Arial" w:eastAsia="Arial" w:hAnsi="Arial"/>
          <w:b w:val="0"/>
          <w:bCs w:val="0"/>
          <w:color w:val="000000"/>
          <w:sz w:val="20"/>
          <w:szCs w:val="20"/>
          <w:rtl w:val="0"/>
        </w:rPr>
        <w:t xml:space="preserve">Institución: Duoc UC</w:t>
      </w:r>
      <w:r w:rsidDel="00000000" w:rsidR="00000000" w:rsidRPr="00000000">
        <w:rPr>
          <w:rtl w:val="0"/>
        </w:rPr>
      </w:r>
    </w:p>
    <w:p w:rsidR="00000000" w:rsidDel="00000000" w:rsidP="00000000" w:rsidRDefault="00000000" w:rsidRPr="00000000" w14:paraId="00000013">
      <w:pPr>
        <w:spacing w:after="0" w:before="0" w:line="240" w:lineRule="auto"/>
        <w:jc w:val="left"/>
        <w:rPr/>
      </w:pPr>
      <w:r w:rsidDel="00000000" w:rsidR="00000000" w:rsidRPr="00000000">
        <w:rPr>
          <w:rFonts w:ascii="Arial" w:cs="Arial" w:eastAsia="Arial" w:hAnsi="Arial"/>
          <w:b w:val="0"/>
          <w:bCs w:val="0"/>
          <w:color w:val="000000"/>
          <w:sz w:val="20"/>
          <w:szCs w:val="20"/>
          <w:rtl w:val="0"/>
        </w:rPr>
        <w:t xml:space="preserve">Fecha de referencia: 30 de octubre de 2026</w:t>
      </w:r>
      <w:r w:rsidDel="00000000" w:rsidR="00000000" w:rsidRPr="00000000">
        <w:rPr>
          <w:rtl w:val="0"/>
        </w:rPr>
      </w:r>
    </w:p>
    <w:p w:rsidR="00000000" w:rsidDel="00000000" w:rsidP="00000000" w:rsidRDefault="00000000" w:rsidRPr="00000000" w14:paraId="00000014">
      <w:pPr>
        <w:spacing w:after="120" w:line="259" w:lineRule="auto"/>
        <w:rPr/>
      </w:pPr>
      <w:r w:rsidDel="00000000" w:rsidR="00000000" w:rsidRPr="00000000">
        <w:rPr>
          <w:color w:val="000000"/>
          <w:rtl w:val="0"/>
        </w:rPr>
        <w:t xml:space="preserve">Corte vigente 30-10-2026. 57 casos principales: 30 aprobados, 17 parciales, 2 fallidos, 7 bloqueados y 1 no ejecutado. Pagos: 11 aprobados, 13 parciales y 1 no ejecutado. Interfaz: 9 aprobados, 3 parciales, 2 fallidos y 2 bloqueados. Datos y permisos: 10 aprobados, 1 parcial y 5 bloqueados. Los pendientes funcionales se conservan; el cierre interno no equivale a aprobación del producto. Ensayos de candidatos separados de la evidencia publicada.</w:t>
      </w:r>
      <w:r w:rsidDel="00000000" w:rsidR="00000000" w:rsidRPr="00000000">
        <w:rPr>
          <w:rtl w:val="0"/>
        </w:rPr>
      </w:r>
    </w:p>
    <w:p w:rsidR="00000000" w:rsidDel="00000000" w:rsidP="00000000" w:rsidRDefault="00000000" w:rsidRPr="00000000" w14:paraId="00000015">
      <w:pPr>
        <w:pStyle w:val="Heading1"/>
        <w:keepNext w:val="1"/>
        <w:spacing w:after="120" w:line="259" w:lineRule="auto"/>
        <w:rPr/>
      </w:pPr>
      <w:r w:rsidDel="00000000" w:rsidR="00000000" w:rsidRPr="00000000">
        <w:rPr>
          <w:color w:val="000000"/>
          <w:rtl w:val="0"/>
        </w:rPr>
        <w:t xml:space="preserve">1 Objetivo</w:t>
      </w:r>
      <w:r w:rsidDel="00000000" w:rsidR="00000000" w:rsidRPr="00000000">
        <w:rPr>
          <w:rtl w:val="0"/>
        </w:rPr>
      </w:r>
    </w:p>
    <w:p w:rsidR="00000000" w:rsidDel="00000000" w:rsidP="00000000" w:rsidRDefault="00000000" w:rsidRPr="00000000" w14:paraId="00000016">
      <w:pPr>
        <w:spacing w:after="120" w:line="259" w:lineRule="auto"/>
        <w:rPr/>
      </w:pPr>
      <w:r w:rsidDel="00000000" w:rsidR="00000000" w:rsidRPr="00000000">
        <w:rPr>
          <w:color w:val="000000"/>
          <w:rtl w:val="0"/>
        </w:rPr>
        <w:t xml:space="preserve">Comprobar las funciones actualmente disponibles del módulo de pagos y suscripciones de Aprueba en un ambiente de pruebas, contrastando el resultado del pago, la suscripción, la persistencia, la consulta administrativa y los beneficios del estudiante. Cada conclusión se respaldará con un caso, una ejecución identificada y sus evidencias.</w:t>
      </w:r>
      <w:r w:rsidDel="00000000" w:rsidR="00000000" w:rsidRPr="00000000">
        <w:rPr>
          <w:rtl w:val="0"/>
        </w:rPr>
      </w:r>
    </w:p>
    <w:p w:rsidR="00000000" w:rsidDel="00000000" w:rsidP="00000000" w:rsidRDefault="00000000" w:rsidRPr="00000000" w14:paraId="00000017">
      <w:pPr>
        <w:pStyle w:val="Heading1"/>
        <w:keepNext w:val="1"/>
        <w:spacing w:after="120" w:line="259" w:lineRule="auto"/>
        <w:rPr/>
      </w:pPr>
      <w:r w:rsidDel="00000000" w:rsidR="00000000" w:rsidRPr="00000000">
        <w:rPr>
          <w:color w:val="000000"/>
          <w:rtl w:val="0"/>
        </w:rPr>
        <w:t xml:space="preserve">2 Alcance e inventario inicial</w:t>
      </w:r>
      <w:r w:rsidDel="00000000" w:rsidR="00000000" w:rsidRPr="00000000">
        <w:rPr>
          <w:rtl w:val="0"/>
        </w:rPr>
      </w:r>
    </w:p>
    <w:p w:rsidR="00000000" w:rsidDel="00000000" w:rsidP="00000000" w:rsidRDefault="00000000" w:rsidRPr="00000000" w14:paraId="00000018">
      <w:pPr>
        <w:spacing w:after="120" w:line="259" w:lineRule="auto"/>
        <w:rPr/>
      </w:pPr>
      <w:r w:rsidDel="00000000" w:rsidR="00000000" w:rsidRPr="00000000">
        <w:rPr>
          <w:color w:val="000000"/>
          <w:rtl w:val="0"/>
        </w:rPr>
        <w:t xml:space="preserve">El avance reúne 25 casos de Pagos, 16 de Interfaz y 16 de Datos y permisos. PG22 está aprobado en el alcance del pago alternativo simulado; PG21 conserva su falta de ejecución por canal financiero no confirmado. La sección 9 relaciona funciones y requisitos. Esta base de 57 casos no equivale a una cobertura exhaustiva del producto.</w:t>
      </w:r>
      <w:r w:rsidDel="00000000" w:rsidR="00000000" w:rsidRPr="00000000">
        <w:rPr>
          <w:rtl w:val="0"/>
        </w:rPr>
      </w:r>
    </w:p>
    <w:tbl>
      <w:tblPr>
        <w:tblStyle w:val="Table1"/>
        <w:tblW w:w="963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928"/>
        <w:gridCol w:w="4337"/>
        <w:gridCol w:w="3373"/>
        <w:tblGridChange w:id="0">
          <w:tblGrid>
            <w:gridCol w:w="1928"/>
            <w:gridCol w:w="4337"/>
            <w:gridCol w:w="3373"/>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019">
            <w:pPr>
              <w:keepNext w:val="1"/>
              <w:spacing w:after="60" w:line="246.99999999999994" w:lineRule="auto"/>
              <w:rPr/>
            </w:pPr>
            <w:r w:rsidDel="00000000" w:rsidR="00000000" w:rsidRPr="00000000">
              <w:rPr>
                <w:rFonts w:ascii="Arial" w:cs="Arial" w:eastAsia="Arial" w:hAnsi="Arial"/>
                <w:b w:val="1"/>
                <w:bCs w:val="1"/>
                <w:color w:val="000000"/>
                <w:sz w:val="18"/>
                <w:szCs w:val="18"/>
                <w:rtl w:val="0"/>
              </w:rPr>
              <w:t xml:space="preserve">Paquete</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1A">
            <w:pPr>
              <w:keepNext w:val="1"/>
              <w:spacing w:after="60" w:line="246.99999999999994" w:lineRule="auto"/>
              <w:rPr/>
            </w:pPr>
            <w:r w:rsidDel="00000000" w:rsidR="00000000" w:rsidRPr="00000000">
              <w:rPr>
                <w:rFonts w:ascii="Arial" w:cs="Arial" w:eastAsia="Arial" w:hAnsi="Arial"/>
                <w:b w:val="1"/>
                <w:bCs w:val="1"/>
                <w:color w:val="000000"/>
                <w:sz w:val="18"/>
                <w:szCs w:val="18"/>
                <w:rtl w:val="0"/>
              </w:rPr>
              <w:t xml:space="preserve">Funciones previstas</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1B">
            <w:pPr>
              <w:keepNext w:val="1"/>
              <w:spacing w:after="60" w:line="246.99999999999994" w:lineRule="auto"/>
              <w:rPr/>
            </w:pPr>
            <w:r w:rsidDel="00000000" w:rsidR="00000000" w:rsidRPr="00000000">
              <w:rPr>
                <w:rFonts w:ascii="Arial" w:cs="Arial" w:eastAsia="Arial" w:hAnsi="Arial"/>
                <w:b w:val="1"/>
                <w:bCs w:val="1"/>
                <w:color w:val="000000"/>
                <w:sz w:val="18"/>
                <w:szCs w:val="18"/>
                <w:rtl w:val="0"/>
              </w:rPr>
              <w:t xml:space="preserve">Registro</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1C">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Pagos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1D">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Contratación mensual/anual; rechazo; cambio y recuperación; cancelación, reactivación, renovación y vencimiento; eventos y mediciones.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1E">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../Resultados de las pruebas/Adjuntos/Casos_y_resultados_de_pagos.xlsx</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1F">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Datos y permisos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20">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Persistencia, facturas, roles y propiedad; catálogo y sincronización según disponibilidad.</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21">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../Resultados de las pruebas/Adjuntos/Resultados_de_datos_y_permisos.xlsx</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22">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Interfaz</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23">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Sesión, navegación, historial, cuota, compatibilidad y accesibilidad básica.</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24">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../Resultados de las pruebas/Adjuntos/Casos_y_resultados_de_interfaz.xlsx</w:t>
            </w:r>
            <w:r w:rsidDel="00000000" w:rsidR="00000000" w:rsidRPr="00000000">
              <w:rPr>
                <w:rtl w:val="0"/>
              </w:rPr>
            </w:r>
          </w:p>
        </w:tc>
      </w:tr>
    </w:tbl>
    <w:p w:rsidR="00000000" w:rsidDel="00000000" w:rsidP="00000000" w:rsidRDefault="00000000" w:rsidRPr="00000000" w14:paraId="00000025">
      <w:pPr>
        <w:spacing w:after="120" w:line="259" w:lineRule="auto"/>
        <w:rPr/>
      </w:pPr>
      <w:r w:rsidDel="00000000" w:rsidR="00000000" w:rsidRPr="00000000">
        <w:rPr>
          <w:color w:val="000000"/>
          <w:rtl w:val="0"/>
        </w:rPr>
        <w:t xml:space="preserve">Para cada función se identifica RF/HU/CA, disponibilidad, caso, fuente y límite de evidencia. La matriz relaciona 24 RF, 24 HU y 96 CA con los casos existentes. Los avisos, decisiones y pruebas pendientes conservan sus responsables y estados. Véase la sección 9, Inventario y trazabilidad, y Adjuntos/Matriz_de_cobertura.xlsx.</w:t>
      </w:r>
      <w:r w:rsidDel="00000000" w:rsidR="00000000" w:rsidRPr="00000000">
        <w:rPr>
          <w:rtl w:val="0"/>
        </w:rPr>
      </w:r>
    </w:p>
    <w:p w:rsidR="00000000" w:rsidDel="00000000" w:rsidP="00000000" w:rsidRDefault="00000000" w:rsidRPr="00000000" w14:paraId="00000026">
      <w:pPr>
        <w:spacing w:after="120" w:line="259" w:lineRule="auto"/>
        <w:rPr/>
      </w:pPr>
      <w:r w:rsidDel="00000000" w:rsidR="00000000" w:rsidRPr="00000000">
        <w:rPr>
          <w:color w:val="000000"/>
          <w:rtl w:val="0"/>
        </w:rPr>
        <w:t xml:space="preserve">Los accesos asociados a un pago se comprueban dentro del paquete de pagos. El acceso por cuota gratuita se diferencia del beneficio ilimitado. Para planes que cubren varias materias se documentará una comprobación por cada materia incluida.</w:t>
      </w:r>
      <w:r w:rsidDel="00000000" w:rsidR="00000000" w:rsidRPr="00000000">
        <w:rPr>
          <w:rtl w:val="0"/>
        </w:rPr>
      </w:r>
    </w:p>
    <w:p w:rsidR="00000000" w:rsidDel="00000000" w:rsidP="00000000" w:rsidRDefault="00000000" w:rsidRPr="00000000" w14:paraId="00000027">
      <w:pPr>
        <w:spacing w:after="120" w:line="259" w:lineRule="auto"/>
        <w:rPr/>
      </w:pPr>
      <w:r w:rsidDel="00000000" w:rsidR="00000000" w:rsidRPr="00000000">
        <w:rPr>
          <w:color w:val="000000"/>
          <w:rtl w:val="0"/>
        </w:rPr>
        <w:t xml:space="preserve">La evaluación de Fase 2 no incluye modificaciones de código ni validaciones de versiones futuras. Los requisitos entregados por Alloxentric siguen dentro del alcance del proyecto aunque no estén implementados. Las ampliaciones sin confirmación no se consideran compromisos aceptados. Los casos no ejecutables se registran con su causa y estado.</w:t>
      </w:r>
      <w:r w:rsidDel="00000000" w:rsidR="00000000" w:rsidRPr="00000000">
        <w:rPr>
          <w:rtl w:val="0"/>
        </w:rPr>
      </w:r>
    </w:p>
    <w:p w:rsidR="00000000" w:rsidDel="00000000" w:rsidP="00000000" w:rsidRDefault="00000000" w:rsidRPr="00000000" w14:paraId="00000028">
      <w:pPr>
        <w:pStyle w:val="Heading1"/>
        <w:keepNext w:val="1"/>
        <w:spacing w:after="120" w:line="259" w:lineRule="auto"/>
        <w:rPr/>
      </w:pPr>
      <w:r w:rsidDel="00000000" w:rsidR="00000000" w:rsidRPr="00000000">
        <w:rPr>
          <w:color w:val="000000"/>
          <w:rtl w:val="0"/>
        </w:rPr>
        <w:t xml:space="preserve">3 Entorno y versión de prueba</w:t>
      </w:r>
      <w:r w:rsidDel="00000000" w:rsidR="00000000" w:rsidRPr="00000000">
        <w:rPr>
          <w:rtl w:val="0"/>
        </w:rPr>
      </w:r>
    </w:p>
    <w:p w:rsidR="00000000" w:rsidDel="00000000" w:rsidP="00000000" w:rsidRDefault="00000000" w:rsidRPr="00000000" w14:paraId="00000029">
      <w:pPr>
        <w:spacing w:after="120" w:line="259" w:lineRule="auto"/>
        <w:rPr/>
      </w:pPr>
      <w:r w:rsidDel="00000000" w:rsidR="00000000" w:rsidRPr="00000000">
        <w:rPr>
          <w:color w:val="000000"/>
          <w:rtl w:val="0"/>
        </w:rPr>
        <w:t xml:space="preserve">URLs utilizadas: https://aprueba-student.vercel.app, https://aprueba-admin.vercel.app y receptor https://aprueba-student-api.vercel.app/api/v1/webhooks/stripe. En la comprobación técnica del 29-10, los cuatro proyectos de Vercel figuraban READY. Es un registro de esa sesión; antes de ejecutar otra prueba confirmar nuevamente alias, ambiente, versión y cuenta.</w:t>
      </w:r>
      <w:r w:rsidDel="00000000" w:rsidR="00000000" w:rsidRPr="00000000">
        <w:rPr>
          <w:rtl w:val="0"/>
        </w:rPr>
      </w:r>
    </w:p>
    <w:tbl>
      <w:tblPr>
        <w:tblStyle w:val="Table2"/>
        <w:tblW w:w="963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13"/>
        <w:gridCol w:w="7325"/>
        <w:tblGridChange w:id="0">
          <w:tblGrid>
            <w:gridCol w:w="2313"/>
            <w:gridCol w:w="7325"/>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02A">
            <w:pPr>
              <w:keepNext w:val="1"/>
              <w:spacing w:after="60" w:line="246.99999999999994" w:lineRule="auto"/>
              <w:rPr/>
            </w:pPr>
            <w:r w:rsidDel="00000000" w:rsidR="00000000" w:rsidRPr="00000000">
              <w:rPr>
                <w:rFonts w:ascii="Arial" w:cs="Arial" w:eastAsia="Arial" w:hAnsi="Arial"/>
                <w:b w:val="1"/>
                <w:bCs w:val="1"/>
                <w:color w:val="000000"/>
                <w:sz w:val="18"/>
                <w:szCs w:val="18"/>
                <w:rtl w:val="0"/>
              </w:rPr>
              <w:t xml:space="preserve">Componente</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2B">
            <w:pPr>
              <w:keepNext w:val="1"/>
              <w:spacing w:after="60" w:line="246.99999999999994" w:lineRule="auto"/>
              <w:rPr/>
            </w:pPr>
            <w:r w:rsidDel="00000000" w:rsidR="00000000" w:rsidRPr="00000000">
              <w:rPr>
                <w:rFonts w:ascii="Arial" w:cs="Arial" w:eastAsia="Arial" w:hAnsi="Arial"/>
                <w:b w:val="1"/>
                <w:bCs w:val="1"/>
                <w:color w:val="000000"/>
                <w:sz w:val="18"/>
                <w:szCs w:val="18"/>
                <w:rtl w:val="0"/>
              </w:rPr>
              <w:t xml:space="preserve">Datos conocidos y pendientes</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2C">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Aplicación estudiante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2D">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https://aprueba-student.vercel.app. Revisión d1ac22791bdf6f276c8dcce3ec02d707daca3735 registrada el 29-10; confirmar nuevamente antes de otra sesión.</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2E">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Administración</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2F">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https://aprueba-admin.vercel.app. Revisión 31fb7f2866317b555e65b91c37256cff4e129ef3 registrada para admin y admin-api.</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30">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Backend y datos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31">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student-api d1ac227. Firestore aprueba-mvp-pruebas-2fc41, base (default), cotejado con exportaciones completas y extractos filtrados. Las fuentes compartidas excluyen datos de autenticación.</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32">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Stripe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33">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Sandbox acct_1UMr3HAhY3J8iTOw; livemode=false. Webhook we_1UMxFAAhY3J8iTOwX2zTpgY6 en https://aprueba-student-api.vercel.app/api/v1/webhooks/stripe. CLI oficial 1.55.3 autorizada; consultas GET reales, sin escrituras en la tanda técnica final.</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34">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Herramientas locales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35">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Node 24.22.1; Java 21; firebase-tools 15.34.2; Express 4.19.2; Stripe SDK 22.6.2; firebase-admin 14.3.0. Firestore Emulator 127.0.0.1:8187, proyecto demo-aprueba-pg16, edición standard solo local. Receptor mínimo: express.raw, middleware y handler originales; no inicia todo index.js.</w:t>
            </w:r>
            <w:r w:rsidDel="00000000" w:rsidR="00000000" w:rsidRPr="00000000">
              <w:rPr>
                <w:rtl w:val="0"/>
              </w:rPr>
            </w:r>
          </w:p>
        </w:tc>
      </w:tr>
    </w:tbl>
    <w:p w:rsidR="00000000" w:rsidDel="00000000" w:rsidP="00000000" w:rsidRDefault="00000000" w:rsidRPr="00000000" w14:paraId="00000036">
      <w:pPr>
        <w:spacing w:after="120" w:line="259" w:lineRule="auto"/>
        <w:rPr/>
      </w:pPr>
      <w:r w:rsidDel="00000000" w:rsidR="00000000" w:rsidRPr="00000000">
        <w:rPr>
          <w:color w:val="000000"/>
          <w:rtl w:val="0"/>
        </w:rPr>
        <w:t xml:space="preserve">Revisión publicada registrada: estudiante y student-api d1ac22791bdf6f276c8dcce3ec02d707daca3735; administración y admin-api 31fb7f2866317b555e65b91c37256cff4e129ef3. El ZIP de código d1ac227 recibido se verificó contra esa referencia. Frente al ZIP dec2868, los 77 archivos comparados mantienen idéntico el backend; solo difieren Onboarding.jsx y Settings.jsx del frontend. Las seis fuentes del receptor y servicio utilizadas por los auxiliares tienen huellas SHA256 coincidentes. No se infiere el inventario de dependencias instalado en Vercel desde las dependencias locales.</w:t>
      </w:r>
      <w:r w:rsidDel="00000000" w:rsidR="00000000" w:rsidRPr="00000000">
        <w:rPr>
          <w:rtl w:val="0"/>
        </w:rPr>
      </w:r>
    </w:p>
    <w:p w:rsidR="00000000" w:rsidDel="00000000" w:rsidP="00000000" w:rsidRDefault="00000000" w:rsidRPr="00000000" w14:paraId="00000037">
      <w:pPr>
        <w:spacing w:after="120" w:line="259" w:lineRule="auto"/>
        <w:rPr/>
      </w:pPr>
      <w:r w:rsidDel="00000000" w:rsidR="00000000" w:rsidRPr="00000000">
        <w:rPr>
          <w:color w:val="000000"/>
          <w:rtl w:val="0"/>
        </w:rPr>
        <w:t xml:space="preserve">Zona de registro: America/Santiago. La sesión del 28-10-2026 usó UTC-3; conservar también las marcas UTC originales. En una nueva ejecución registrar fecha y hora reales, zona y desfase aplicable. La fecha de revisión del documento no sustituye la fecha de ejecución.</w:t>
      </w:r>
      <w:r w:rsidDel="00000000" w:rsidR="00000000" w:rsidRPr="00000000">
        <w:rPr>
          <w:rtl w:val="0"/>
        </w:rPr>
      </w:r>
    </w:p>
    <w:p w:rsidR="00000000" w:rsidDel="00000000" w:rsidP="00000000" w:rsidRDefault="00000000" w:rsidRPr="00000000" w14:paraId="00000038">
      <w:pPr>
        <w:spacing w:after="120" w:line="259" w:lineRule="auto"/>
        <w:rPr/>
      </w:pPr>
      <w:r w:rsidDel="00000000" w:rsidR="00000000" w:rsidRPr="00000000">
        <w:rPr>
          <w:rtl w:val="0"/>
        </w:rPr>
        <w:t xml:space="preserve">Preparación local reproducible: extraer el backend del ZIP d1ac227 recibido. Usar los auxiliares y archivos de dependencias incluidos en Continuacion_tecnica_20261029/PG16_Emulador. Ejecutar npm ci --ignore-scripts --no-audit --no-fund desde deps y disponer de Java 21 y firebase-tools 15.34.2. Copiar el contenido del backend original en codigo, dejando codigo/src, y vincular codigo/node_modules a deps/node_modules según el sistema. Los auxiliares originales esperan esa estructura; resolver sus rutas locales antes de ejecutarlos. No alterar el backend para ajustar el ensayo.</w:t>
      </w:r>
    </w:p>
    <w:p w:rsidR="00000000" w:rsidDel="00000000" w:rsidP="00000000" w:rsidRDefault="00000000" w:rsidRPr="00000000" w14:paraId="00000039">
      <w:pPr>
        <w:spacing w:after="120" w:line="259" w:lineRule="auto"/>
        <w:rPr/>
      </w:pPr>
      <w:r w:rsidDel="00000000" w:rsidR="00000000" w:rsidRPr="00000000">
        <w:rPr>
          <w:rtl w:val="0"/>
        </w:rPr>
        <w:t xml:space="preserve">Iniciar Firestore Emulator con firebase.json en 127.0.0.1:8187 y proyecto demo-aprueba-pg16. Para el proceso de prueba fijar DATA_DRIVER=firestore, FIRESTORE_EMULATOR_HOST=127.0.0.1:8187 y GCLOUD_PROJECT=demo-aprueba-pg16. Comprobar aislamiento antes de cualquier escritura: nunca usar el proyecto remoto como destino del ejecutor. La edición standard y las reglas abiertas pertenecen al emulador; no acreditan la edición ni la seguridad de la base remota.</w:t>
      </w:r>
    </w:p>
    <w:p w:rsidR="00000000" w:rsidDel="00000000" w:rsidP="00000000" w:rsidRDefault="00000000" w:rsidRPr="00000000" w14:paraId="0000003A">
      <w:pPr>
        <w:spacing w:after="120" w:line="259" w:lineRule="auto"/>
        <w:rPr/>
      </w:pPr>
      <w:r w:rsidDel="00000000" w:rsidR="00000000" w:rsidRPr="00000000">
        <w:rPr>
          <w:rtl w:val="0"/>
        </w:rPr>
        <w:t xml:space="preserve">Para las consultas actuales, autorizar Stripe CLI desde el navegador habitual de la cuenta propietaria y comprobar que la sesión apunta solo al sandbox Aprueba. No copiar claves a scripts ni adjuntar la configuración privada. Ejecutar únicamente los GET previstos por ejecutar_webhooks_stripe_real.mjs. La entrega firmada se genera para el receptor local y no se debe dirigir al webhook compartido.</w:t>
      </w:r>
    </w:p>
    <w:p w:rsidR="00000000" w:rsidDel="00000000" w:rsidP="00000000" w:rsidRDefault="00000000" w:rsidRPr="00000000" w14:paraId="0000003B">
      <w:pPr>
        <w:spacing w:after="120" w:line="259" w:lineRule="auto"/>
        <w:rPr/>
      </w:pPr>
      <w:r w:rsidDel="00000000" w:rsidR="00000000" w:rsidRPr="00000000">
        <w:rPr>
          <w:rtl w:val="0"/>
        </w:rPr>
        <w:t xml:space="preserve">Antes de iniciar cada auxiliar, revisar su alcance y rutas, verificar huellas de las seis fuentes y confirmar el proyecto emulado. Al terminar, guardar JSON y log con fecha real, comparar estado anterior/posterior, registrar los límites y apagar receptor y emulador. Los JSON de esta sesión documentan resultados reales ya obtenidos; estos pasos sirven para reproducirlos y no representan una ejecución nueva.</w:t>
      </w:r>
    </w:p>
    <w:p w:rsidR="00000000" w:rsidDel="00000000" w:rsidP="00000000" w:rsidRDefault="00000000" w:rsidRPr="00000000" w14:paraId="0000003C">
      <w:pPr>
        <w:spacing w:after="120" w:line="259" w:lineRule="auto"/>
        <w:rPr/>
      </w:pPr>
      <w:r w:rsidDel="00000000" w:rsidR="00000000" w:rsidRPr="00000000">
        <w:rPr>
          <w:rtl w:val="0"/>
        </w:rPr>
        <w:t xml:space="preserve">Incidente observado el 29-10 a las 23:34 Chile y diagnosticado con capturas recibidas el 30-10 a las 00:09 Chile. Las capturas aportadas el 30-10-2026 a las 00:09 Chile identifican el límite agotado en Cloud Firestore API, proyecto aprueba-mvp-pruebas-2fc41, base (default): 50.055 lecturas frente a 50.000 gratuitas al día, indicador 100 % y Ajustable No. Las escrituras muestran 615 de 20.000. Es evidencia del bloqueo de entorno OBS-ENTORNO-01; no acredita un fallo de contraseña ni un resultado funcional nuevo. La documentación oficial establece un reinicio diario alrededor de medianoche del Pacífico: para el 30-10-2026 corresponde aproximadamente a las 04:00 America/Santiago. Es una referencia horaria, no una recuperación observada ni una garantía de minuto exacto. Comprobar disponibilidad antes de retomar. Fuente consultada el 30-10-2026: https://firebase.google.com/docs/firestore/quotas No activar facturación ni modificar datos o código para esta revisión.</w:t>
      </w:r>
    </w:p>
    <w:p w:rsidR="00000000" w:rsidDel="00000000" w:rsidP="00000000" w:rsidRDefault="00000000" w:rsidRPr="00000000" w14:paraId="0000003D">
      <w:pPr>
        <w:pStyle w:val="Heading1"/>
        <w:keepNext w:val="1"/>
        <w:spacing w:after="120" w:line="259" w:lineRule="auto"/>
        <w:rPr/>
      </w:pPr>
      <w:r w:rsidDel="00000000" w:rsidR="00000000" w:rsidRPr="00000000">
        <w:rPr>
          <w:color w:val="000000"/>
          <w:rtl w:val="0"/>
        </w:rPr>
        <w:t xml:space="preserve">4 Datos y preparación de sesiones</w:t>
      </w:r>
      <w:r w:rsidDel="00000000" w:rsidR="00000000" w:rsidRPr="00000000">
        <w:rPr>
          <w:rtl w:val="0"/>
        </w:rPr>
      </w:r>
    </w:p>
    <w:tbl>
      <w:tblPr>
        <w:tblStyle w:val="Table3"/>
        <w:tblW w:w="963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13"/>
        <w:gridCol w:w="7325"/>
        <w:tblGridChange w:id="0">
          <w:tblGrid>
            <w:gridCol w:w="2313"/>
            <w:gridCol w:w="7325"/>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03E">
            <w:pPr>
              <w:keepNext w:val="1"/>
              <w:spacing w:after="60" w:line="246.99999999999994" w:lineRule="auto"/>
              <w:rPr/>
            </w:pPr>
            <w:r w:rsidDel="00000000" w:rsidR="00000000" w:rsidRPr="00000000">
              <w:rPr>
                <w:rFonts w:ascii="Arial" w:cs="Arial" w:eastAsia="Arial" w:hAnsi="Arial"/>
                <w:b w:val="1"/>
                <w:bCs w:val="1"/>
                <w:color w:val="000000"/>
                <w:sz w:val="18"/>
                <w:szCs w:val="18"/>
                <w:rtl w:val="0"/>
              </w:rPr>
              <w:t xml:space="preserve">Cuenta de prueba</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3F">
            <w:pPr>
              <w:keepNext w:val="1"/>
              <w:spacing w:after="60" w:line="246.99999999999994" w:lineRule="auto"/>
              <w:rPr/>
            </w:pPr>
            <w:r w:rsidDel="00000000" w:rsidR="00000000" w:rsidRPr="00000000">
              <w:rPr>
                <w:rFonts w:ascii="Arial" w:cs="Arial" w:eastAsia="Arial" w:hAnsi="Arial"/>
                <w:b w:val="1"/>
                <w:bCs w:val="1"/>
                <w:color w:val="000000"/>
                <w:sz w:val="18"/>
                <w:szCs w:val="18"/>
                <w:rtl w:val="0"/>
              </w:rPr>
              <w:t xml:space="preserve">Estado requerido</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40">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Contratación mensual</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1">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A y B ya tienen operaciones pagadas documentadas; no reutilizarlas como cuentas gratuitas. Para una contratación inicial pendiente, comprobar cuenta sin membresía ni deuda y saldo a favor sin efecto sobre el importe requerido.</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42">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Cambio y recuperación</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3">
            <w:pPr>
              <w:keepNext w:val="0"/>
              <w:spacing w:after="60" w:line="246.99999999999994" w:lineRule="auto"/>
              <w:rPr/>
            </w:pPr>
            <w:sdt>
              <w:sdtPr>
                <w:id w:val="223178714"/>
                <w:tag w:val="goog_rdk_0"/>
              </w:sdtPr>
              <w:sdtContent>
                <w:r w:rsidDel="00000000" w:rsidR="00000000" w:rsidRPr="00000000">
                  <w:rPr>
                    <w:rFonts w:ascii="Arial Unicode MS" w:cs="Arial Unicode MS" w:eastAsia="Arial Unicode MS" w:hAnsi="Arial Unicode MS"/>
                    <w:b w:val="0"/>
                    <w:bCs w:val="0"/>
                    <w:color w:val="000000"/>
                    <w:sz w:val="18"/>
                    <w:szCs w:val="18"/>
                    <w:rtl w:val="0"/>
                  </w:rPr>
                  <w:t xml:space="preserve">A conserva la secuencia CP03 → CP03-R y la misma factura. La recuperación se evalúa sobre esa operación, sin generar una deuda nueva.</w:t>
                </w:r>
              </w:sdtContent>
            </w:sdt>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44">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Ofertas anuales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5">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C: Ciencias anual USD 10, PG06 aprobado. E: Todas anual USD 50, con compra, administración y tres materias acreditadas; PG07 parcial por M2/Historia.</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46">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Sesión e interfaz</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7">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D2: Prueba Fase2 D2. IF-02 e IF-15 documentados. Las cuentas B, C, D2 y E existen, pero su existencia no acredita las precondiciones de cada pago. Las credenciales no forman parte de la documentación.</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48">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Ciclo y entorno técnico</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9">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PG10/11/12 ejecutados parcialmente con renov@renov.com: reloj de Stripe asociado y secuencia del proveedor completada. Aprueba no comparte ese reloj. Cuenta final cancelada; no reutilizarla como suscripción activa. PG13 conserva objetos de A; los escenarios técnicos anteriores mantienen su alcance aislado.</w:t>
            </w:r>
            <w:r w:rsidDel="00000000" w:rsidR="00000000" w:rsidRPr="00000000">
              <w:rPr>
                <w:rtl w:val="0"/>
              </w:rPr>
            </w:r>
          </w:p>
        </w:tc>
      </w:tr>
    </w:tbl>
    <w:p w:rsidR="00000000" w:rsidDel="00000000" w:rsidP="00000000" w:rsidRDefault="00000000" w:rsidRPr="00000000" w14:paraId="0000004A">
      <w:pPr>
        <w:spacing w:after="120" w:line="259" w:lineRule="auto"/>
        <w:rPr/>
      </w:pPr>
      <w:r w:rsidDel="00000000" w:rsidR="00000000" w:rsidRPr="00000000">
        <w:rPr>
          <w:color w:val="000000"/>
          <w:rtl w:val="0"/>
        </w:rPr>
        <w:t xml:space="preserve">Las pruebas utilizan el sandbox Stripe acct_1UMr3HAhY3J8iTOw y objetos con livemode=false. El histórico distingue éxito terminado en 4242, rechazo inicial 0002 y rechazo posterior 0341. Catálogo consultado: una prueba USD 1 mensual / USD 10 anual; todas USD 5 mensual / USD 50 anual. Las evidencias acreditan PG06 y documentan PG07 hasta tres materias; PG07 conserva el límite de M2/Historia.</w:t>
      </w:r>
      <w:r w:rsidDel="00000000" w:rsidR="00000000" w:rsidRPr="00000000">
        <w:rPr>
          <w:rtl w:val="0"/>
        </w:rPr>
      </w:r>
    </w:p>
    <w:p w:rsidR="00000000" w:rsidDel="00000000" w:rsidP="00000000" w:rsidRDefault="00000000" w:rsidRPr="00000000" w14:paraId="0000004B">
      <w:pPr>
        <w:spacing w:after="120" w:line="259" w:lineRule="auto"/>
        <w:rPr/>
      </w:pPr>
      <w:r w:rsidDel="00000000" w:rsidR="00000000" w:rsidRPr="00000000">
        <w:rPr>
          <w:color w:val="000000"/>
          <w:rtl w:val="0"/>
        </w:rPr>
        <w:t xml:space="preserve">Antes de cada caso, comprobar entorno, versión disponible, cuenta y precondiciones. Registrar plan, cuota, periodo, deuda, saldo a favor e IDs. Para CP03 y PG-20 debe quedar un importe positivo debido hoy después de créditos y prorrateos; si queda cero, documentar la preparación y utilizar otra cuenta elegible. Después, conservar el estado y las evidencias que necesitan los casos dependientes. No editar datos para fabricar un resultado.</w:t>
      </w:r>
      <w:r w:rsidDel="00000000" w:rsidR="00000000" w:rsidRPr="00000000">
        <w:rPr>
          <w:rtl w:val="0"/>
        </w:rPr>
      </w:r>
    </w:p>
    <w:p w:rsidR="00000000" w:rsidDel="00000000" w:rsidP="00000000" w:rsidRDefault="00000000" w:rsidRPr="00000000" w14:paraId="0000004C">
      <w:pPr>
        <w:spacing w:after="120" w:line="259" w:lineRule="auto"/>
        <w:rPr/>
      </w:pPr>
      <w:r w:rsidDel="00000000" w:rsidR="00000000" w:rsidRPr="00000000">
        <w:rPr>
          <w:color w:val="000000"/>
          <w:rtl w:val="0"/>
        </w:rPr>
        <w:t xml:space="preserve">Las rutas de las capturas y registros están en la hoja Evidencias de cada libro y son relativas a la ubicación del libro. Cada registro identifica caso, ejecución, paso, descripción y archivo. Los registros técnicos de pagos están en Continuacion_tecnica_20261029/. Las exportaciones completas de Firestore y las credenciales quedan fuera de la entrega.</w:t>
      </w:r>
      <w:r w:rsidDel="00000000" w:rsidR="00000000" w:rsidRPr="00000000">
        <w:rPr>
          <w:rtl w:val="0"/>
        </w:rPr>
      </w:r>
    </w:p>
    <w:p w:rsidR="00000000" w:rsidDel="00000000" w:rsidP="00000000" w:rsidRDefault="00000000" w:rsidRPr="00000000" w14:paraId="0000004D">
      <w:pPr>
        <w:spacing w:after="120" w:line="259" w:lineRule="auto"/>
        <w:rPr/>
      </w:pPr>
      <w:r w:rsidDel="00000000" w:rsidR="00000000" w:rsidRPr="00000000">
        <w:rPr>
          <w:rtl w:val="0"/>
        </w:rPr>
        <w:t xml:space="preserve">Persistencia anual recuperada sin nuevas lecturas remotas: dos exportaciones completas ya recibidas, del 30-10 01:25–01:30Z (29-10 22:25–22:30 Chile), contienen 10 registros filtrados de C/E por fuente. Coinciden usuario, suscripción, factura, derecho activo, periodo, importe y checkout cerrado; los campos filtrados son idénticos en ambas fuentes. Los importes de factura en Aprueba están en USD y amountCents en centavos. Se excluyen autenticación, contactos y enlaces privados. Esto acredita campos persistidos de ese momento, sin sustituir la comprobación por interfaz.</w:t>
      </w:r>
    </w:p>
    <w:p w:rsidR="00000000" w:rsidDel="00000000" w:rsidP="00000000" w:rsidRDefault="00000000" w:rsidRPr="00000000" w14:paraId="0000004E">
      <w:pPr>
        <w:pStyle w:val="Heading1"/>
        <w:keepNext w:val="1"/>
        <w:spacing w:after="120" w:line="259" w:lineRule="auto"/>
        <w:rPr/>
      </w:pPr>
      <w:r w:rsidDel="00000000" w:rsidR="00000000" w:rsidRPr="00000000">
        <w:rPr>
          <w:color w:val="000000"/>
          <w:rtl w:val="0"/>
        </w:rPr>
        <w:t xml:space="preserve">5 Estrategia de ejecución y registro</w:t>
      </w:r>
      <w:r w:rsidDel="00000000" w:rsidR="00000000" w:rsidRPr="00000000">
        <w:rPr>
          <w:rtl w:val="0"/>
        </w:rPr>
      </w:r>
    </w:p>
    <w:p w:rsidR="00000000" w:rsidDel="00000000" w:rsidP="00000000" w:rsidRDefault="00000000" w:rsidRPr="00000000" w14:paraId="0000004F">
      <w:pPr>
        <w:spacing w:after="120" w:line="259" w:lineRule="auto"/>
        <w:rPr/>
      </w:pPr>
      <w:r w:rsidDel="00000000" w:rsidR="00000000" w:rsidRPr="00000000">
        <w:rPr>
          <w:color w:val="000000"/>
          <w:rtl w:val="0"/>
        </w:rPr>
        <w:t xml:space="preserve">La estrategia combina recorridos por interfaz y comprobaciones técnicas mediante accesos autorizados. Las ejecuciones se identifican por su fuente, entorno y responsable registrado. Contrastar la misma operación en estudiante, administración, Stripe y datos según el criterio del caso. Una pantalla de retorno o un HTTP satisfactorio no sustituyen la comprobación del efecto de negocio.</w:t>
      </w:r>
      <w:r w:rsidDel="00000000" w:rsidR="00000000" w:rsidRPr="00000000">
        <w:rPr>
          <w:rtl w:val="0"/>
        </w:rPr>
      </w:r>
    </w:p>
    <w:p w:rsidR="00000000" w:rsidDel="00000000" w:rsidP="00000000" w:rsidRDefault="00000000" w:rsidRPr="00000000" w14:paraId="00000050">
      <w:pPr>
        <w:spacing w:after="120" w:line="259" w:lineRule="auto"/>
        <w:rPr/>
      </w:pPr>
      <w:r w:rsidDel="00000000" w:rsidR="00000000" w:rsidRPr="00000000">
        <w:rPr>
          <w:color w:val="000000"/>
          <w:rtl w:val="0"/>
        </w:rPr>
        <w:t xml:space="preserve">La base de Pagos contiene 25 casos: PG-01 a PG-22 y CP02, CP03 y CP03-R. Los CP conservan sus identificadores y tienen ejecuciones al corte, además de antecedentes históricos separados. Interfaz aporta IF-01 a IF-16 y Datos y permisos DP-01 a DP-16. Las comprobaciones EX, UT y HTTP se informan aparte y no aumentan los 57 casos principales.</w:t>
      </w:r>
      <w:r w:rsidDel="00000000" w:rsidR="00000000" w:rsidRPr="00000000">
        <w:rPr>
          <w:rtl w:val="0"/>
        </w:rPr>
      </w:r>
    </w:p>
    <w:p w:rsidR="00000000" w:rsidDel="00000000" w:rsidP="00000000" w:rsidRDefault="00000000" w:rsidRPr="00000000" w14:paraId="00000051">
      <w:pPr>
        <w:spacing w:after="120" w:line="259" w:lineRule="auto"/>
        <w:rPr/>
      </w:pPr>
      <w:sdt>
        <w:sdtPr>
          <w:id w:val="1687451636"/>
          <w:tag w:val="goog_rdk_1"/>
        </w:sdtPr>
        <w:sdtContent>
          <w:r w:rsidDel="00000000" w:rsidR="00000000" w:rsidRPr="00000000">
            <w:rPr>
              <w:rFonts w:ascii="Arial Unicode MS" w:cs="Arial Unicode MS" w:eastAsia="Arial Unicode MS" w:hAnsi="Arial Unicode MS"/>
              <w:color w:val="000000"/>
              <w:rtl w:val="0"/>
            </w:rPr>
            <w:t xml:space="preserve">Secuencia relacionada: PG-01 o estado equivalente → CP03 → PG-04 → CP03-R → PG-05. Cancelación y reactivación: PG-08 → PG-09. El vencimiento PG-12 requiere otra cuenta cancelada que no se haya reactivado. Las demás pruebas se organizan con cuentas independientes cuando sea posible.</w:t>
          </w:r>
        </w:sdtContent>
      </w:sdt>
      <w:r w:rsidDel="00000000" w:rsidR="00000000" w:rsidRPr="00000000">
        <w:rPr>
          <w:rtl w:val="0"/>
        </w:rPr>
      </w:r>
    </w:p>
    <w:p w:rsidR="00000000" w:rsidDel="00000000" w:rsidP="00000000" w:rsidRDefault="00000000" w:rsidRPr="00000000" w14:paraId="00000052">
      <w:pPr>
        <w:spacing w:after="120" w:line="259" w:lineRule="auto"/>
        <w:rPr/>
      </w:pPr>
      <w:r w:rsidDel="00000000" w:rsidR="00000000" w:rsidRPr="00000000">
        <w:rPr>
          <w:color w:val="000000"/>
          <w:rtl w:val="0"/>
        </w:rPr>
        <w:t xml:space="preserve">El Excel contiene Casos, Pasos, Ejecuciones, Evidencias, Defectos y Cobertura. Conservar el guion y cada detalle de intento antes de repetirlo. Asignar IDs únicos; para repetir PG-08 o PG-09 utilizar E02 o superior, porque E01 ya existe. Las filas Preparada no son ejecuciones. Preparación; sin intento registra una precondición revisada sin confirmar la operación. Cobertura mantiene una sola situación por caso; el historial conserva todos los intentos.</w:t>
      </w:r>
      <w:r w:rsidDel="00000000" w:rsidR="00000000" w:rsidRPr="00000000">
        <w:rPr>
          <w:rtl w:val="0"/>
        </w:rPr>
      </w:r>
    </w:p>
    <w:p w:rsidR="00000000" w:rsidDel="00000000" w:rsidP="00000000" w:rsidRDefault="00000000" w:rsidRPr="00000000" w14:paraId="00000053">
      <w:pPr>
        <w:spacing w:after="120" w:line="259" w:lineRule="auto"/>
        <w:rPr/>
      </w:pPr>
      <w:r w:rsidDel="00000000" w:rsidR="00000000" w:rsidRPr="00000000">
        <w:rPr>
          <w:color w:val="000000"/>
          <w:rtl w:val="0"/>
        </w:rPr>
        <w:t xml:space="preserve">Los antecedentes históricos se cotejaron contra el informe original, sus 20 capturas incrustadas y nueve JSON. Se rotulan «Histórica cotejada» y conservan la fecha del 21-10-2026. No se incorporan como aprobación de la versión actual.</w:t>
      </w:r>
      <w:r w:rsidDel="00000000" w:rsidR="00000000" w:rsidRPr="00000000">
        <w:rPr>
          <w:rtl w:val="0"/>
        </w:rPr>
      </w:r>
    </w:p>
    <w:p w:rsidR="00000000" w:rsidDel="00000000" w:rsidP="00000000" w:rsidRDefault="00000000" w:rsidRPr="00000000" w14:paraId="00000054">
      <w:pPr>
        <w:spacing w:after="120" w:line="259" w:lineRule="auto"/>
        <w:rPr/>
      </w:pPr>
      <w:r w:rsidDel="00000000" w:rsidR="00000000" w:rsidRPr="00000000">
        <w:rPr>
          <w:color w:val="000000"/>
          <w:rtl w:val="0"/>
        </w:rPr>
        <w:t xml:space="preserve">La especificación disponible fija RNF-07: 95 % de respuestas propias de consulta o creación de sesión &lt;3 s, excluyendo interacción y latencia de Stripe. RNF-15: 95 % de acuses de recepción del webhook &lt;5 s. PG-18 y PG-19 quedan alineados con esos requisitos. El tiempo hasta aplicar un beneficio es una observación distinta, sin umbral definido en estas fuentes.</w:t>
      </w:r>
      <w:r w:rsidDel="00000000" w:rsidR="00000000" w:rsidRPr="00000000">
        <w:rPr>
          <w:rtl w:val="0"/>
        </w:rPr>
      </w:r>
    </w:p>
    <w:p w:rsidR="00000000" w:rsidDel="00000000" w:rsidP="00000000" w:rsidRDefault="00000000" w:rsidRPr="00000000" w14:paraId="00000055">
      <w:pPr>
        <w:pStyle w:val="Heading1"/>
        <w:keepNext w:val="1"/>
        <w:spacing w:after="120" w:line="259" w:lineRule="auto"/>
        <w:rPr/>
      </w:pPr>
      <w:r w:rsidDel="00000000" w:rsidR="00000000" w:rsidRPr="00000000">
        <w:rPr>
          <w:color w:val="000000"/>
          <w:rtl w:val="0"/>
        </w:rPr>
        <w:t xml:space="preserve">6 Criterios de entrada y cierre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Entrada: entorno de prueba y precondiciones comprobados; esperado definido; evidencia accesible. Registrar commit publicado cuando se pueda. Si no está identificado, puede documentarse una comprobación de interfaz con esa limitación, sin atribuirla a un commit ni usarla para demostrar ausencia de regresiones entre versiones. Los escenarios técnicos requieren además destino y aislamiento verificados.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Aprobado: todos los criterios del caso están comprobados y respaldados. Si solo se verificó una parte, separar el subcaso o declarar el límite sin aprobar el conjunto.</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Fallido: se observó una diferencia respecto de una regla definida. Registrar defecto con reproducción, esperado, observado e impacto.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Bloqueado: una condición comprobada impide ejecutar o evaluar. Registrar causa, evidencia y preparación necesaria. La falta de información en esta base no demuestra por sí sola un bloqueo del producto.</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ejecutado: todavía no hay una ejecución nueva documentada. No confundirlo con fallo ni con aprobación.</w:t>
      </w:r>
    </w:p>
    <w:p w:rsidR="00000000" w:rsidDel="00000000" w:rsidP="00000000" w:rsidRDefault="00000000" w:rsidRPr="00000000" w14:paraId="0000005B">
      <w:pPr>
        <w:spacing w:after="120" w:line="259" w:lineRule="auto"/>
        <w:rPr/>
      </w:pPr>
      <w:r w:rsidDel="00000000" w:rsidR="00000000" w:rsidRPr="00000000">
        <w:rPr>
          <w:color w:val="000000"/>
          <w:rtl w:val="0"/>
        </w:rPr>
        <w:t xml:space="preserve">El cierre documental exige un estado respaldado o un pendiente explicado para cada caso. 57 casos principales: 30 aprobados, 17 parciales, 2 fallidos, 7 bloqueados y 1 no ejecutado. Pagos: 11 aprobados, 13 parciales y 1 no ejecutado. No retirar casos del denominador sin una decisión de alcance documentada. CP02, CP03 y CP03-R forman parte de los 25 casos de Pagos. Las ejecuciones históricas del mismo caso, las 18 comprobaciones EX y los ensayos auxiliares no se suman como casos nuevos. La nueva ejecución de los ciclos del proveedor no cierra la validación temporal de Aprueba.</w:t>
      </w:r>
      <w:r w:rsidDel="00000000" w:rsidR="00000000" w:rsidRPr="00000000">
        <w:rPr>
          <w:rtl w:val="0"/>
        </w:rPr>
      </w:r>
    </w:p>
    <w:p w:rsidR="00000000" w:rsidDel="00000000" w:rsidP="00000000" w:rsidRDefault="00000000" w:rsidRPr="00000000" w14:paraId="0000005C">
      <w:pPr>
        <w:pStyle w:val="Heading1"/>
        <w:keepNext w:val="1"/>
        <w:spacing w:after="120" w:line="259" w:lineRule="auto"/>
        <w:rPr/>
      </w:pPr>
      <w:r w:rsidDel="00000000" w:rsidR="00000000" w:rsidRPr="00000000">
        <w:rPr>
          <w:color w:val="000000"/>
          <w:rtl w:val="0"/>
        </w:rPr>
        <w:t xml:space="preserve">7 Riesgos y datos pendientes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Simulación del tiempo: la suscripción A no tiene test_clock y el código de Aprueba consulta Date.now(). Avanzar solo un reloj Stripe no acredita el vencimiento en la aplicación. PG-10, PG-11 y PG-12 requieren un ciclo real o una simulación compatible con ambos relojes y con la política de gracia y reintentos confirmada.</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Reglas de negocio: conservar lo comprobado en requisitos y configuración actual. No añadir días de gracia ni asumir una política no confirmada. Cuando no pueda determinarse, registrar la limitación y el seguimiento futuro.</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Escenarios técnicos: ya existe un auxiliar separado con receptor HTTP y Firestore Emulator. PG-13 tiene reentrega real documentada; PG-14 y PG-15 usan GET actuales de Stripe y persistencia local; PG-16 comprueba rechazo HTTP y conservación del estado en su alcance delimitado. PG-17 recupera tras un fallo inducido, pero falta acreditar el registro persistente por intento de HU23/CA23.4 o resolver formalmente el alcance propuesto de RF23. No modificar ni desplegar Aprueba para cerrar documentación.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adicional: PG21 conserva la falta de canal/emisor acreditado y estado no ejecutado. PG22 acredita Link en sandbox dentro de su recorrido delimitado. No extenderlo a otras billeteras ni excluir requisitos sin fuente.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tres paquetes están disponibles. Datos y permisos fue recibido de César y se conserva en ../Resultados de las pruebas/Adjuntos/Resultados_de_datos_y_permisos.xlsx, con sus evidencias. Interfaz está en ../Resultados de las pruebas/Adjuntos/Casos_y_resultados_de_interfaz.xlsx. La consolidación usa una situación por caso y no deduce resultados de un paquete a partir de otro.</w:t>
      </w:r>
    </w:p>
    <w:p w:rsidR="00000000" w:rsidDel="00000000" w:rsidP="00000000" w:rsidRDefault="00000000" w:rsidRPr="00000000" w14:paraId="00000062">
      <w:pPr>
        <w:spacing w:after="120" w:line="259" w:lineRule="auto"/>
        <w:rPr/>
      </w:pPr>
      <w:r w:rsidDel="00000000" w:rsidR="00000000" w:rsidRPr="00000000">
        <w:rPr>
          <w:color w:val="000000"/>
          <w:rtl w:val="0"/>
        </w:rPr>
        <w:t xml:space="preserve">Ante un bloqueo, conservar caso y paso, esperado, observado, versión conocida, ambiente, hora y evidencia. La limitación se documenta para este avance; las nuevas ejecuciones e implementaciones corresponden a una versión futura.</w:t>
      </w:r>
      <w:r w:rsidDel="00000000" w:rsidR="00000000" w:rsidRPr="00000000">
        <w:rPr>
          <w:rtl w:val="0"/>
        </w:rPr>
      </w:r>
    </w:p>
    <w:p w:rsidR="00000000" w:rsidDel="00000000" w:rsidP="00000000" w:rsidRDefault="00000000" w:rsidRPr="00000000" w14:paraId="00000063">
      <w:pPr>
        <w:pStyle w:val="Heading1"/>
        <w:keepNext w:val="1"/>
        <w:spacing w:after="120" w:line="259" w:lineRule="auto"/>
        <w:rPr/>
      </w:pPr>
      <w:r w:rsidDel="00000000" w:rsidR="00000000" w:rsidRPr="00000000">
        <w:rPr>
          <w:color w:val="000000"/>
          <w:rtl w:val="0"/>
        </w:rPr>
        <w:t xml:space="preserve">8 Referencias</w:t>
      </w:r>
      <w:r w:rsidDel="00000000" w:rsidR="00000000" w:rsidRPr="00000000">
        <w:rPr>
          <w:rtl w:val="0"/>
        </w:rPr>
      </w:r>
    </w:p>
    <w:p w:rsidR="00000000" w:rsidDel="00000000" w:rsidP="00000000" w:rsidRDefault="00000000" w:rsidRPr="00000000" w14:paraId="00000064">
      <w:pPr>
        <w:spacing w:after="120" w:line="259" w:lineRule="auto"/>
        <w:rPr/>
      </w:pPr>
      <w:r w:rsidDel="00000000" w:rsidR="00000000" w:rsidRPr="00000000">
        <w:rPr>
          <w:color w:val="000000"/>
          <w:rtl w:val="0"/>
        </w:rPr>
        <w:t xml:space="preserve">Fuentes: Documento de requerimientos IEEE 830 e historias de usuario.docx, cuya línea base es del 10-09-2026; ../Resultados de las pruebas/Evidencias de prueba/Evidencias_de_pagos_21-10-2026.docx; y los estados históricos del proyecto. La trazabilidad de diseño no acredita implementación. HU23/CA23.4 pide conservar fecha, responsable, resultado y error de cada intento; RF23 figura como propuesta pendiente de validación.</w:t>
      </w:r>
      <w:r w:rsidDel="00000000" w:rsidR="00000000" w:rsidRPr="00000000">
        <w:rPr>
          <w:rtl w:val="0"/>
        </w:rPr>
      </w:r>
    </w:p>
    <w:p w:rsidR="00000000" w:rsidDel="00000000" w:rsidP="00000000" w:rsidRDefault="00000000" w:rsidRPr="00000000" w14:paraId="00000065">
      <w:pPr>
        <w:spacing w:after="120" w:line="259" w:lineRule="auto"/>
        <w:rPr/>
      </w:pPr>
      <w:r w:rsidDel="00000000" w:rsidR="00000000" w:rsidRPr="00000000">
        <w:rPr>
          <w:color w:val="000000"/>
          <w:rtl w:val="0"/>
        </w:rPr>
        <w:t xml:space="preserve">Registros asociados: ../Resultados de las pruebas/Adjuntos/Casos_y_resultados_de_pagos.xlsx, ../Resultados de las pruebas/Adjuntos/Casos_y_resultados_de_interfaz.xlsx, libro de Datos y permisos recibido e informe ../Resultados de las pruebas/Resultados_de_pruebas.docx. El informe vigente consolida el corte del 30-10-2026 y remite a los registros históricos. Las limitaciones de cobertura y reglas no se convierten en aprobaciones funcionales.</w:t>
      </w:r>
      <w:r w:rsidDel="00000000" w:rsidR="00000000" w:rsidRPr="00000000">
        <w:rPr>
          <w:rtl w:val="0"/>
        </w:rPr>
      </w:r>
    </w:p>
    <w:p w:rsidR="00000000" w:rsidDel="00000000" w:rsidP="00000000" w:rsidRDefault="00000000" w:rsidRPr="00000000" w14:paraId="00000066">
      <w:pPr>
        <w:pStyle w:val="Heading1"/>
        <w:keepNext w:val="1"/>
        <w:spacing w:after="120" w:line="259" w:lineRule="auto"/>
        <w:rPr/>
      </w:pPr>
      <w:r w:rsidDel="00000000" w:rsidR="00000000" w:rsidRPr="00000000">
        <w:rPr>
          <w:color w:val="000000"/>
          <w:rtl w:val="0"/>
        </w:rPr>
        <w:t xml:space="preserve">9 Inventario y trazabilidad</w:t>
      </w:r>
      <w:r w:rsidDel="00000000" w:rsidR="00000000" w:rsidRPr="00000000">
        <w:rPr>
          <w:rtl w:val="0"/>
        </w:rPr>
      </w:r>
    </w:p>
    <w:p w:rsidR="00000000" w:rsidDel="00000000" w:rsidP="00000000" w:rsidRDefault="00000000" w:rsidRPr="00000000" w14:paraId="00000067">
      <w:pPr>
        <w:spacing w:after="120" w:line="259" w:lineRule="auto"/>
        <w:rPr/>
      </w:pPr>
      <w:r w:rsidDel="00000000" w:rsidR="00000000" w:rsidRPr="00000000">
        <w:rPr>
          <w:color w:val="000000"/>
          <w:rtl w:val="0"/>
        </w:rPr>
        <w:t xml:space="preserve">La tabla relaciona funciones, requisitos y paquetes. Cada vínculo identifica criterios concretos; aprobar un caso no acredita todos los criterios de un requisito o historia. Los resultados se limitan a los recorridos descritos en sus registros.</w:t>
      </w:r>
      <w:r w:rsidDel="00000000" w:rsidR="00000000" w:rsidRPr="00000000">
        <w:rPr>
          <w:rtl w:val="0"/>
        </w:rPr>
      </w:r>
    </w:p>
    <w:tbl>
      <w:tblPr>
        <w:tblStyle w:val="Table4"/>
        <w:tblW w:w="963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928"/>
        <w:gridCol w:w="4337"/>
        <w:gridCol w:w="3373"/>
        <w:tblGridChange w:id="0">
          <w:tblGrid>
            <w:gridCol w:w="1928"/>
            <w:gridCol w:w="4337"/>
            <w:gridCol w:w="3373"/>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068">
            <w:pPr>
              <w:keepNext w:val="1"/>
              <w:spacing w:after="60" w:line="246.99999999999994" w:lineRule="auto"/>
              <w:rPr/>
            </w:pPr>
            <w:r w:rsidDel="00000000" w:rsidR="00000000" w:rsidRPr="00000000">
              <w:rPr>
                <w:rFonts w:ascii="Arial" w:cs="Arial" w:eastAsia="Arial" w:hAnsi="Arial"/>
                <w:b w:val="1"/>
                <w:bCs w:val="1"/>
                <w:color w:val="000000"/>
                <w:sz w:val="18"/>
                <w:szCs w:val="18"/>
                <w:rtl w:val="0"/>
              </w:rPr>
              <w:t xml:space="preserve">Funciones y requisitos</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69">
            <w:pPr>
              <w:keepNext w:val="1"/>
              <w:spacing w:after="60" w:line="246.99999999999994" w:lineRule="auto"/>
              <w:rPr/>
            </w:pPr>
            <w:r w:rsidDel="00000000" w:rsidR="00000000" w:rsidRPr="00000000">
              <w:rPr>
                <w:rFonts w:ascii="Arial" w:cs="Arial" w:eastAsia="Arial" w:hAnsi="Arial"/>
                <w:b w:val="1"/>
                <w:bCs w:val="1"/>
                <w:color w:val="000000"/>
                <w:sz w:val="18"/>
                <w:szCs w:val="18"/>
                <w:rtl w:val="0"/>
              </w:rPr>
              <w:t xml:space="preserve">Paquete y comprobación</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6A">
            <w:pPr>
              <w:keepNext w:val="1"/>
              <w:spacing w:after="60" w:line="246.99999999999994" w:lineRule="auto"/>
              <w:rPr/>
            </w:pPr>
            <w:r w:rsidDel="00000000" w:rsidR="00000000" w:rsidRPr="00000000">
              <w:rPr>
                <w:rFonts w:ascii="Arial" w:cs="Arial" w:eastAsia="Arial" w:hAnsi="Arial"/>
                <w:b w:val="1"/>
                <w:bCs w:val="1"/>
                <w:color w:val="000000"/>
                <w:sz w:val="18"/>
                <w:szCs w:val="18"/>
                <w:rtl w:val="0"/>
              </w:rPr>
              <w:t xml:space="preserve">Estado documental</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6B">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RF-01–04 Catálogo y contratación</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6C">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Pagos: PG-01–03, PG-06–07, CP02; Interfaz: recorrido sin pago</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6D">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Compra mensual y rechazo documentados. PG-02 y PG-05 parciales por cobertura de materias. PG06 aprobado; PG07 parcial por M2/Historia; manipulación de precio y retorno sin cobertura integral.</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6E">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RF-05–08 Confirmación, registro, beneficio y resultado</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6F">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Pagos: CP02/03/03-R, PG-04–05 y PG-13–17; Datos: persistencia</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0">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PG13 aprobado en su reentrega real delimitada. PG14, PG15 y PG16 parciales respecto del sistema publicado; mantienen resultados locales sobre módulos originales. PG17 parcial por auditoría y recuperación integral.</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71">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RF-09–10 Cancelar, reactivar y cambiar</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2">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Pagos: PG-08–09, PG-20 y CP03</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3">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PG-08/09 aprobados en su alcance; CP03 y recuperación documentados con cuenta A. PG-20 conserva cobertura parcial derivada de EX17 y acceso por materia pendiente.</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74">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RF-11–12 Consulta administrativa y auditoría</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5">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Datos y permisos; Pagos conserva vista de cada cobro</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6">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Diez DP aprobados, uno parcial y cinco bloqueados. DP06 acredita el login delimitado; DP07 sigue bloqueado. DP09/10 mantienen resultados y límites propios. Interfaz y API se evalúan por separado.</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77">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RF-13–14 y RF-16 Renovación, fallos y fin de beneficios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8">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Pagos: PG-10–12; CP03-R solo recuperación de un cambio</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9">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PG10/11/12 parciales: ciclo del proveedor documentado y límites de sincronización temporal con Aprueba. CP03-R acredita recuperación de un cambio, no sustituye la renovación.</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7A">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RF-15 Notificaciones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B">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Pagos: PG-21, vinculada a operaciones existentes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C">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PG-21 sin ejecución y canal/alcance por confirmar; no excluirlo sin decisión documentada.</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7D">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RF-17 Medio de pago</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E">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Pagos: CP03 y CP03-R; Datos: autorización</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7F">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Cambio de tarjeta y recuperación observados en su secuencia. No acredita controles de propiedad ajena no ejecutados.</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80">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RF-18–19 Reembolsos y disputas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81">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Datos y permisos: NDP04 si están disponibles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82">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Confirmar disponibilidad y compromiso; los bloqueos del libro DP se conservan, sin inferir implementación.</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83">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RF-20 Historial y comprobantes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84">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Interfaz: NIF02; Datos: NDP02/NDP03</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85">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IF-10 aprobado; IF-09 parcial por paginación. IF-03/IF-13 conservan fallos. Historial Stripe y Aprueba se evalúan por separado.</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86">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RF-21–24 Conciliación, exportación, reproceso y catálogo</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87">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Datos y permisos; Pagos comprueba efecto de eventos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88">
            <w:pPr>
              <w:keepNext w:val="0"/>
              <w:spacing w:after="60" w:line="246.99999999999994" w:lineRule="auto"/>
              <w:rPr/>
            </w:pPr>
            <w:r w:rsidDel="00000000" w:rsidR="00000000" w:rsidRPr="00000000">
              <w:rPr>
                <w:rFonts w:ascii="Arial" w:cs="Arial" w:eastAsia="Arial" w:hAnsi="Arial"/>
                <w:b w:val="0"/>
                <w:bCs w:val="0"/>
                <w:color w:val="000000"/>
                <w:sz w:val="18"/>
                <w:szCs w:val="18"/>
                <w:rtl w:val="0"/>
              </w:rPr>
              <w:t xml:space="preserve">DP12–DP15 bloqueados; DP16 parcial. RF23 propuesto y pendiente de validación; CA23.4 requiere evidencia persistente. No modificar alcance unilateralmente.</w:t>
            </w:r>
            <w:r w:rsidDel="00000000" w:rsidR="00000000" w:rsidRPr="00000000">
              <w:rPr>
                <w:rtl w:val="0"/>
              </w:rPr>
            </w:r>
          </w:p>
        </w:tc>
      </w:tr>
    </w:tbl>
    <w:p w:rsidR="00000000" w:rsidDel="00000000" w:rsidP="00000000" w:rsidRDefault="00000000" w:rsidRPr="00000000" w14:paraId="00000089">
      <w:pPr>
        <w:spacing w:after="120" w:line="259" w:lineRule="auto"/>
        <w:rPr/>
      </w:pPr>
      <w:r w:rsidDel="00000000" w:rsidR="00000000" w:rsidRPr="00000000">
        <w:rPr>
          <w:color w:val="000000"/>
          <w:rtl w:val="0"/>
        </w:rPr>
        <w:t xml:space="preserve">Cobertura incompleta: monto alterado, retorno manipulado y fallo de notificación requieren confirmar alcance y subcasos. PG-16 ya incluye formato inválido y un control válido de tipo no soportado que se ignora, dentro del receptor local. Esa ejecución no demuestra todos los controles del despliegue ni autorización de base de datos. PG-17 conserva pendiente de evidencia de auditoría según CA23.4.</w:t>
      </w:r>
      <w:r w:rsidDel="00000000" w:rsidR="00000000" w:rsidRPr="00000000">
        <w:rPr>
          <w:rtl w:val="0"/>
        </w:rPr>
      </w:r>
    </w:p>
    <w:p w:rsidR="00000000" w:rsidDel="00000000" w:rsidP="00000000" w:rsidRDefault="00000000" w:rsidRPr="00000000" w14:paraId="0000008A">
      <w:pPr>
        <w:pStyle w:val="Heading1"/>
        <w:keepNext w:val="1"/>
        <w:spacing w:after="120" w:line="259" w:lineRule="auto"/>
        <w:rPr/>
      </w:pPr>
      <w:r w:rsidDel="00000000" w:rsidR="00000000" w:rsidRPr="00000000">
        <w:rPr>
          <w:rtl w:val="0"/>
        </w:rPr>
        <w:t xml:space="preserve">10 Cierre documental y conservación</w:t>
      </w:r>
    </w:p>
    <w:p w:rsidR="00000000" w:rsidDel="00000000" w:rsidP="00000000" w:rsidRDefault="00000000" w:rsidRPr="00000000" w14:paraId="0000008B">
      <w:pPr>
        <w:spacing w:after="120" w:line="259" w:lineRule="auto"/>
        <w:rPr/>
      </w:pPr>
      <w:r w:rsidDel="00000000" w:rsidR="00000000" w:rsidRPr="00000000">
        <w:rPr>
          <w:rtl w:val="0"/>
        </w:rPr>
        <w:t xml:space="preserve">El cierre corresponde a evaluación y documentación, no a implementación ni aprobación funcional.</w:t>
      </w:r>
    </w:p>
    <w:p w:rsidR="00000000" w:rsidDel="00000000" w:rsidP="00000000" w:rsidRDefault="00000000" w:rsidRPr="00000000" w14:paraId="0000008C">
      <w:pPr>
        <w:spacing w:after="120" w:line="259" w:lineRule="auto"/>
        <w:rPr/>
      </w:pPr>
      <w:r w:rsidDel="00000000" w:rsidR="00000000" w:rsidRPr="00000000">
        <w:rPr>
          <w:rtl w:val="0"/>
        </w:rPr>
        <w:t xml:space="preserve">La evaluación describe el proyecto disponible al 30-10-2026. Los fallos y las limitaciones permanecen registrados. Las pruebas no ejecutadas conservan ese estado; lo concluido es su evaluación documental para el avance. No se requiere corregir o desplegar código para cerrar este corte.</w:t>
      </w:r>
    </w:p>
    <w:p w:rsidR="00000000" w:rsidDel="00000000" w:rsidP="00000000" w:rsidRDefault="00000000" w:rsidRPr="00000000" w14:paraId="0000008D">
      <w:pPr>
        <w:spacing w:after="120" w:line="259" w:lineRule="auto"/>
        <w:rPr/>
      </w:pPr>
      <w:r w:rsidDel="00000000" w:rsidR="00000000" w:rsidRPr="00000000">
        <w:rPr>
          <w:rtl w:val="0"/>
        </w:rPr>
        <w:t xml:space="preserve">PG14 y PG15 emplean módulos originales de d1ac227, receptor HTTP local, Firestore Emulator y consultas GET reales a Stripe sandbox. PG16 combina rechazo observado en el despliegue con controles locales del código original. Son resultados válidos dentro del entorno declarado, con cobertura parcial del sistema publicado. Los ensayos de correcciones candidatas se conservan por separado y no acreditan la versión actual.</w:t>
      </w:r>
    </w:p>
    <w:p w:rsidR="00000000" w:rsidDel="00000000" w:rsidP="00000000" w:rsidRDefault="00000000" w:rsidRPr="00000000" w14:paraId="0000008E">
      <w:pPr>
        <w:spacing w:after="120" w:line="259" w:lineRule="auto"/>
        <w:rPr/>
      </w:pPr>
      <w:r w:rsidDel="00000000" w:rsidR="00000000" w:rsidRPr="00000000">
        <w:rPr>
          <w:rtl w:val="0"/>
        </w:rPr>
        <w:t xml:space="preserve">La matriz de cobertura relaciona 24 RF, 24 HU y 96 criterios de aceptación con casos, evidencias y limitaciones. Los antecedentes históricos conservan su fecha y no sustituyen la situación funcional al corte.</w:t>
      </w:r>
    </w:p>
    <w:p w:rsidR="00000000" w:rsidDel="00000000" w:rsidP="00000000" w:rsidRDefault="00000000" w:rsidRPr="00000000" w14:paraId="0000008F">
      <w:pPr>
        <w:pStyle w:val="Heading1"/>
        <w:keepNext w:val="1"/>
        <w:spacing w:after="120" w:line="259" w:lineRule="auto"/>
        <w:rPr/>
      </w:pPr>
      <w:r w:rsidDel="00000000" w:rsidR="00000000" w:rsidRPr="00000000">
        <w:rPr>
          <w:rtl w:val="0"/>
        </w:rPr>
        <w:t xml:space="preserve">11 Seguimiento funcional futuro</w:t>
      </w:r>
    </w:p>
    <w:p w:rsidR="00000000" w:rsidDel="00000000" w:rsidP="00000000" w:rsidRDefault="00000000" w:rsidRPr="00000000" w14:paraId="00000090">
      <w:pPr>
        <w:spacing w:after="120" w:line="259" w:lineRule="auto"/>
        <w:rPr/>
      </w:pPr>
      <w:r w:rsidDel="00000000" w:rsidR="00000000" w:rsidRPr="00000000">
        <w:rPr>
          <w:rtl w:val="0"/>
        </w:rPr>
        <w:t xml:space="preserve">Se mantienen la dependencia externa de M2/Historia, la transición integral al vencer, la auditoría durable, rendimiento interno, avisos financieros, catálogo no habilitado, roles y combinaciones no probadas. No se condiciona el cierre del avance a resolverlos. Una prueba no ejecutada sigue no ejecutada, aunque su clasificación documental esté terminada.</w:t>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134" w:top="1134" w:left="1134" w:right="1134"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5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Aprueba Administración · Fase 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5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Aprueba Administración · Fase 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200" w:line="259" w:lineRule="auto"/>
    </w:pPr>
    <w:rPr>
      <w:rFonts w:ascii="Arial" w:cs="Arial" w:eastAsia="Arial" w:hAnsi="Arial"/>
      <w:b w:val="1"/>
      <w:bCs w:val="1"/>
      <w:color w:val="000000"/>
      <w:sz w:val="28"/>
      <w:szCs w:val="28"/>
    </w:rPr>
  </w:style>
  <w:style w:type="paragraph" w:styleId="Heading2">
    <w:name w:val="heading 2"/>
    <w:basedOn w:val="Normal"/>
    <w:next w:val="Normal"/>
    <w:pPr>
      <w:keepNext w:val="1"/>
      <w:keepLines w:val="1"/>
      <w:pageBreakBefore w:val="0"/>
      <w:spacing w:after="120" w:before="200" w:line="259" w:lineRule="auto"/>
    </w:pPr>
    <w:rPr>
      <w:rFonts w:ascii="Arial" w:cs="Arial" w:eastAsia="Arial" w:hAnsi="Arial"/>
      <w:b w:val="1"/>
      <w:bCs w:val="1"/>
      <w:color w:val="000000"/>
      <w:sz w:val="24"/>
      <w:szCs w:val="24"/>
    </w:rPr>
  </w:style>
  <w:style w:type="paragraph" w:styleId="Heading3">
    <w:name w:val="heading 3"/>
    <w:basedOn w:val="Normal"/>
    <w:next w:val="Normal"/>
    <w:pPr>
      <w:keepNext w:val="1"/>
      <w:keepLines w:val="1"/>
      <w:pageBreakBefore w:val="0"/>
      <w:spacing w:after="120" w:before="200" w:line="259" w:lineRule="auto"/>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0" w:before="200" w:lineRule="auto"/>
    </w:pPr>
    <w:rPr>
      <w:rFonts w:ascii="Arial" w:cs="Arial" w:eastAsia="Arial" w:hAnsi="Arial"/>
      <w:b w:val="1"/>
      <w:bCs w:val="1"/>
      <w:i w:val="1"/>
      <w:iCs w:val="1"/>
      <w:color w:val="000000"/>
    </w:rPr>
  </w:style>
  <w:style w:type="paragraph" w:styleId="Heading5">
    <w:name w:val="heading 5"/>
    <w:basedOn w:val="Normal"/>
    <w:next w:val="Normal"/>
    <w:pPr>
      <w:keepNext w:val="1"/>
      <w:keepLines w:val="1"/>
      <w:spacing w:after="0" w:before="200" w:lineRule="auto"/>
    </w:pPr>
    <w:rPr>
      <w:rFonts w:ascii="Arial" w:cs="Arial" w:eastAsia="Arial" w:hAnsi="Arial"/>
      <w:color w:val="000000"/>
    </w:rPr>
  </w:style>
  <w:style w:type="paragraph" w:styleId="Heading6">
    <w:name w:val="heading 6"/>
    <w:basedOn w:val="Normal"/>
    <w:next w:val="Normal"/>
    <w:pPr>
      <w:keepNext w:val="1"/>
      <w:keepLines w:val="1"/>
      <w:spacing w:after="0" w:before="200" w:lineRule="auto"/>
    </w:pPr>
    <w:rPr>
      <w:rFonts w:ascii="Arial" w:cs="Arial" w:eastAsia="Arial" w:hAnsi="Arial"/>
      <w:i w:val="1"/>
      <w:iCs w:val="1"/>
      <w:color w:val="000000"/>
    </w:rPr>
  </w:style>
  <w:style w:type="paragraph" w:styleId="Title">
    <w:name w:val="Title"/>
    <w:basedOn w:val="Normal"/>
    <w:next w:val="Normal"/>
    <w:pPr>
      <w:keepNext w:val="1"/>
      <w:keepLines w:val="1"/>
      <w:pageBreakBefore w:val="0"/>
      <w:spacing w:after="120" w:before="0" w:line="259" w:lineRule="auto"/>
    </w:pPr>
    <w:rPr>
      <w:rFonts w:ascii="Arial" w:cs="Arial" w:eastAsia="Arial" w:hAnsi="Arial"/>
      <w:b w:val="1"/>
      <w:bCs w:val="1"/>
      <w:color w:val="000000"/>
      <w:sz w:val="36"/>
      <w:szCs w:val="36"/>
    </w:rPr>
  </w:style>
  <w:style w:type="paragraph" w:styleId="Header">
    <w:name w:val="header"/>
    <w:basedOn w:val="Normal"/>
    <w:link w:val="HeaderChar"/>
    <w:uiPriority w:val="99"/>
    <w:unhideWhenUsed w:val="1"/>
    <w:rsid w:val="00E618BF"/>
    <w:pPr>
      <w:tabs>
        <w:tab w:val="center" w:pos="4680"/>
        <w:tab w:val="right" w:pos="9360"/>
      </w:tabs>
      <w:spacing w:after="120" w:before="0" w:line="259" w:lineRule="auto"/>
    </w:pPr>
    <w:rPr>
      <w:rFonts w:ascii="Arial" w:hAnsi="Arial"/>
      <w:b w:val="0"/>
      <w:color w:val="000000"/>
      <w:sz w:val="18"/>
    </w:rPr>
  </w:style>
  <w:style w:type="character" w:styleId="HeaderChar" w:customStyle="1">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val="1"/>
    <w:rsid w:val="00E618BF"/>
    <w:pPr>
      <w:tabs>
        <w:tab w:val="center" w:pos="4680"/>
        <w:tab w:val="right" w:pos="9360"/>
      </w:tabs>
      <w:spacing w:after="120" w:before="0" w:line="259" w:lineRule="auto"/>
    </w:pPr>
    <w:rPr>
      <w:rFonts w:ascii="Arial" w:hAnsi="Arial"/>
      <w:b w:val="0"/>
      <w:color w:val="000000"/>
      <w:sz w:val="18"/>
    </w:rPr>
  </w:style>
  <w:style w:type="character" w:styleId="FooterChar" w:customStyle="1">
    <w:name w:val="Footer Char"/>
    <w:basedOn w:val="DefaultParagraphFont"/>
    <w:link w:val="Footer"/>
    <w:uiPriority w:val="99"/>
    <w:rsid w:val="00E618BF"/>
    <w:rPr>
      <w:rFonts w:ascii="Arial" w:hAnsi="Arial"/>
      <w:color w:val="000000"/>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Arial" w:hAnsi="Arial"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Arial" w:hAnsi="Arial"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Arial" w:hAnsi="Arial"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rPr>
      <w:rFonts w:ascii="Arial" w:hAnsi="Arial"/>
      <w:color w:val="000000"/>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rPr>
      <w:rFonts w:ascii="Arial" w:hAnsi="Arial"/>
      <w:color w:val="000000"/>
    </w:rPr>
  </w:style>
  <w:style w:type="character" w:styleId="Heading1Char" w:customStyle="1">
    <w:name w:val="Heading 1 Char"/>
    <w:basedOn w:val="DefaultParagraphFont"/>
    <w:link w:val="Heading1"/>
    <w:uiPriority w:val="9"/>
    <w:rsid w:val="00FC693F"/>
    <w:rPr>
      <w:rFonts w:ascii="Arial" w:hAnsi="Arial" w:asciiTheme="majorHAnsi" w:cstheme="majorBidi" w:eastAsiaTheme="majorEastAsia" w:hAnsiTheme="majorHAnsi"/>
      <w:b w:val="1"/>
      <w:bCs w:val="1"/>
      <w:color w:val="000000"/>
      <w:sz w:val="28"/>
      <w:szCs w:val="28"/>
    </w:rPr>
  </w:style>
  <w:style w:type="character" w:styleId="Heading2Char" w:customStyle="1">
    <w:name w:val="Heading 2 Char"/>
    <w:basedOn w:val="DefaultParagraphFont"/>
    <w:link w:val="Heading2"/>
    <w:uiPriority w:val="9"/>
    <w:rsid w:val="00FC693F"/>
    <w:rPr>
      <w:rFonts w:ascii="Arial" w:hAnsi="Arial" w:asciiTheme="majorHAnsi" w:cstheme="majorBidi" w:eastAsiaTheme="majorEastAsia" w:hAnsiTheme="majorHAnsi"/>
      <w:b w:val="1"/>
      <w:bCs w:val="1"/>
      <w:color w:val="000000"/>
      <w:sz w:val="26"/>
      <w:szCs w:val="26"/>
    </w:rPr>
  </w:style>
  <w:style w:type="character" w:styleId="Heading3Char" w:customStyle="1">
    <w:name w:val="Heading 3 Char"/>
    <w:basedOn w:val="DefaultParagraphFont"/>
    <w:link w:val="Heading3"/>
    <w:uiPriority w:val="9"/>
    <w:rsid w:val="00FC693F"/>
    <w:rPr>
      <w:rFonts w:ascii="Arial" w:hAnsi="Arial" w:asciiTheme="majorHAnsi" w:cstheme="majorBidi" w:eastAsiaTheme="majorEastAsia" w:hAnsiTheme="majorHAnsi"/>
      <w:b w:val="1"/>
      <w:bCs w:val="1"/>
      <w:color w:val="000000"/>
    </w:rPr>
  </w:style>
  <w:style w:type="character" w:styleId="TitleChar" w:customStyle="1">
    <w:name w:val="Title Char"/>
    <w:basedOn w:val="DefaultParagraphFont"/>
    <w:link w:val="Title"/>
    <w:uiPriority w:val="10"/>
    <w:rsid w:val="00FC693F"/>
    <w:rPr>
      <w:rFonts w:ascii="Arial" w:hAnsi="Arial" w:asciiTheme="majorHAnsi" w:cstheme="majorBidi" w:eastAsiaTheme="majorEastAsia" w:hAnsiTheme="majorHAnsi"/>
      <w:color w:val="000000"/>
      <w:spacing w:val="5"/>
      <w:kern w:val="28"/>
      <w:sz w:val="52"/>
      <w:szCs w:val="52"/>
    </w:rPr>
  </w:style>
  <w:style w:type="character" w:styleId="SubtitleChar" w:customStyle="1">
    <w:name w:val="Subtitle Char"/>
    <w:basedOn w:val="DefaultParagraphFont"/>
    <w:link w:val="Subtitle"/>
    <w:uiPriority w:val="11"/>
    <w:rsid w:val="00FC693F"/>
    <w:rPr>
      <w:rFonts w:ascii="Arial" w:hAnsi="Arial" w:asciiTheme="majorHAnsi" w:cstheme="majorBidi" w:eastAsiaTheme="majorEastAsia" w:hAnsiTheme="majorHAnsi"/>
      <w:i w:val="1"/>
      <w:iCs w:val="1"/>
      <w:color w:val="000000"/>
      <w:spacing w:val="15"/>
      <w:sz w:val="24"/>
      <w:szCs w:val="24"/>
    </w:rPr>
  </w:style>
  <w:style w:type="paragraph" w:styleId="ListParagraph">
    <w:name w:val="List Paragraph"/>
    <w:basedOn w:val="Normal"/>
    <w:uiPriority w:val="34"/>
    <w:qFormat w:val="1"/>
    <w:rsid w:val="00FC693F"/>
    <w:pPr>
      <w:ind w:left="720"/>
      <w:contextualSpacing w:val="1"/>
    </w:pPr>
    <w:rPr>
      <w:rFonts w:ascii="Arial" w:hAnsi="Arial"/>
      <w:color w:val="000000"/>
    </w:rPr>
  </w:style>
  <w:style w:type="paragraph" w:styleId="BodyText">
    <w:name w:val="Body Text"/>
    <w:basedOn w:val="Normal"/>
    <w:link w:val="BodyTextChar"/>
    <w:uiPriority w:val="99"/>
    <w:unhideWhenUsed w:val="1"/>
    <w:rsid w:val="00AA1D8D"/>
    <w:pPr>
      <w:spacing w:after="120"/>
    </w:pPr>
    <w:rPr>
      <w:rFonts w:ascii="Arial" w:hAnsi="Arial"/>
      <w:color w:val="000000"/>
    </w:rPr>
  </w:style>
  <w:style w:type="character" w:styleId="BodyTextChar" w:customStyle="1">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val="1"/>
    <w:rsid w:val="00AA1D8D"/>
    <w:pPr>
      <w:spacing w:after="120" w:line="480" w:lineRule="auto"/>
    </w:pPr>
    <w:rPr>
      <w:rFonts w:ascii="Arial" w:hAnsi="Arial"/>
      <w:color w:val="000000"/>
    </w:rPr>
  </w:style>
  <w:style w:type="character" w:styleId="BodyText2Char" w:customStyle="1">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val="1"/>
    <w:rsid w:val="00AA1D8D"/>
    <w:pPr>
      <w:spacing w:after="120"/>
    </w:pPr>
    <w:rPr>
      <w:rFonts w:ascii="Arial" w:hAnsi="Arial"/>
      <w:color w:val="000000"/>
      <w:sz w:val="16"/>
      <w:szCs w:val="16"/>
    </w:rPr>
  </w:style>
  <w:style w:type="character" w:styleId="BodyText3Char" w:customStyle="1">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val="1"/>
    <w:rsid w:val="00AA1D8D"/>
    <w:pPr>
      <w:ind w:left="360" w:hanging="360"/>
      <w:contextualSpacing w:val="1"/>
    </w:pPr>
    <w:rPr>
      <w:rFonts w:ascii="Arial" w:hAnsi="Arial"/>
      <w:color w:val="000000"/>
    </w:rPr>
  </w:style>
  <w:style w:type="paragraph" w:styleId="List2">
    <w:name w:val="List 2"/>
    <w:basedOn w:val="Normal"/>
    <w:uiPriority w:val="99"/>
    <w:unhideWhenUsed w:val="1"/>
    <w:rsid w:val="00326F90"/>
    <w:pPr>
      <w:ind w:left="720" w:hanging="360"/>
      <w:contextualSpacing w:val="1"/>
    </w:pPr>
    <w:rPr>
      <w:rFonts w:ascii="Arial" w:hAnsi="Arial"/>
      <w:color w:val="000000"/>
    </w:rPr>
  </w:style>
  <w:style w:type="paragraph" w:styleId="List3">
    <w:name w:val="List 3"/>
    <w:basedOn w:val="Normal"/>
    <w:uiPriority w:val="99"/>
    <w:unhideWhenUsed w:val="1"/>
    <w:rsid w:val="00326F90"/>
    <w:pPr>
      <w:ind w:left="1080" w:hanging="360"/>
      <w:contextualSpacing w:val="1"/>
    </w:pPr>
    <w:rPr>
      <w:rFonts w:ascii="Arial" w:hAnsi="Arial"/>
      <w:color w:val="000000"/>
    </w:rPr>
  </w:style>
  <w:style w:type="paragraph" w:styleId="ListBullet">
    <w:name w:val="List Bullet"/>
    <w:basedOn w:val="Normal"/>
    <w:uiPriority w:val="99"/>
    <w:unhideWhenUsed w:val="1"/>
    <w:rsid w:val="00326F90"/>
    <w:pPr>
      <w:numPr>
        <w:numId w:val="1"/>
      </w:numPr>
      <w:contextualSpacing w:val="1"/>
    </w:pPr>
    <w:rPr>
      <w:rFonts w:ascii="Arial" w:hAnsi="Arial"/>
      <w:color w:val="000000"/>
    </w:rPr>
  </w:style>
  <w:style w:type="paragraph" w:styleId="ListBullet2">
    <w:name w:val="List Bullet 2"/>
    <w:basedOn w:val="Normal"/>
    <w:uiPriority w:val="99"/>
    <w:unhideWhenUsed w:val="1"/>
    <w:rsid w:val="00326F90"/>
    <w:pPr>
      <w:numPr>
        <w:numId w:val="2"/>
      </w:numPr>
      <w:contextualSpacing w:val="1"/>
    </w:pPr>
    <w:rPr>
      <w:rFonts w:ascii="Arial" w:hAnsi="Arial"/>
      <w:color w:val="000000"/>
    </w:rPr>
  </w:style>
  <w:style w:type="paragraph" w:styleId="ListBullet3">
    <w:name w:val="List Bullet 3"/>
    <w:basedOn w:val="Normal"/>
    <w:uiPriority w:val="99"/>
    <w:unhideWhenUsed w:val="1"/>
    <w:rsid w:val="00326F90"/>
    <w:pPr>
      <w:numPr>
        <w:numId w:val="3"/>
      </w:numPr>
      <w:contextualSpacing w:val="1"/>
    </w:pPr>
    <w:rPr>
      <w:rFonts w:ascii="Arial" w:hAnsi="Arial"/>
      <w:color w:val="000000"/>
    </w:rPr>
  </w:style>
  <w:style w:type="paragraph" w:styleId="ListNumber">
    <w:name w:val="List Number"/>
    <w:basedOn w:val="Normal"/>
    <w:uiPriority w:val="99"/>
    <w:unhideWhenUsed w:val="1"/>
    <w:rsid w:val="00326F90"/>
    <w:pPr>
      <w:numPr>
        <w:numId w:val="5"/>
      </w:numPr>
      <w:contextualSpacing w:val="1"/>
    </w:pPr>
    <w:rPr>
      <w:rFonts w:ascii="Arial" w:hAnsi="Arial"/>
      <w:color w:val="000000"/>
    </w:rPr>
  </w:style>
  <w:style w:type="paragraph" w:styleId="ListNumber2">
    <w:name w:val="List Number 2"/>
    <w:basedOn w:val="Normal"/>
    <w:uiPriority w:val="99"/>
    <w:unhideWhenUsed w:val="1"/>
    <w:rsid w:val="0029639D"/>
    <w:pPr>
      <w:numPr>
        <w:numId w:val="6"/>
      </w:numPr>
      <w:contextualSpacing w:val="1"/>
    </w:pPr>
    <w:rPr>
      <w:rFonts w:ascii="Arial" w:hAnsi="Arial"/>
      <w:color w:val="000000"/>
    </w:rPr>
  </w:style>
  <w:style w:type="paragraph" w:styleId="ListNumber3">
    <w:name w:val="List Number 3"/>
    <w:basedOn w:val="Normal"/>
    <w:uiPriority w:val="99"/>
    <w:unhideWhenUsed w:val="1"/>
    <w:rsid w:val="0029639D"/>
    <w:pPr>
      <w:numPr>
        <w:numId w:val="7"/>
      </w:numPr>
      <w:contextualSpacing w:val="1"/>
    </w:pPr>
    <w:rPr>
      <w:rFonts w:ascii="Arial" w:hAnsi="Arial"/>
      <w:color w:val="000000"/>
    </w:rPr>
  </w:style>
  <w:style w:type="paragraph" w:styleId="ListContinue">
    <w:name w:val="List Continue"/>
    <w:basedOn w:val="Normal"/>
    <w:uiPriority w:val="99"/>
    <w:unhideWhenUsed w:val="1"/>
    <w:rsid w:val="0029639D"/>
    <w:pPr>
      <w:spacing w:after="120"/>
      <w:ind w:left="360"/>
      <w:contextualSpacing w:val="1"/>
    </w:pPr>
    <w:rPr>
      <w:rFonts w:ascii="Arial" w:hAnsi="Arial"/>
      <w:color w:val="000000"/>
    </w:rPr>
  </w:style>
  <w:style w:type="paragraph" w:styleId="ListContinue2">
    <w:name w:val="List Continue 2"/>
    <w:basedOn w:val="Normal"/>
    <w:uiPriority w:val="99"/>
    <w:unhideWhenUsed w:val="1"/>
    <w:rsid w:val="0029639D"/>
    <w:pPr>
      <w:spacing w:after="120"/>
      <w:ind w:left="720"/>
      <w:contextualSpacing w:val="1"/>
    </w:pPr>
    <w:rPr>
      <w:rFonts w:ascii="Arial" w:hAnsi="Arial"/>
      <w:color w:val="000000"/>
    </w:rPr>
  </w:style>
  <w:style w:type="paragraph" w:styleId="ListContinue3">
    <w:name w:val="List Continue 3"/>
    <w:basedOn w:val="Normal"/>
    <w:uiPriority w:val="99"/>
    <w:unhideWhenUsed w:val="1"/>
    <w:rsid w:val="0029639D"/>
    <w:pPr>
      <w:spacing w:after="120"/>
      <w:ind w:left="1080"/>
      <w:contextualSpacing w:val="1"/>
    </w:pPr>
    <w:rPr>
      <w:rFonts w:ascii="Arial" w:hAnsi="Arial"/>
      <w:color w:val="000000"/>
    </w:r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styleId="MacroTextChar" w:customStyle="1">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val="1"/>
    <w:rsid w:val="00FC693F"/>
    <w:rPr>
      <w:rFonts w:ascii="Arial" w:hAnsi="Arial"/>
      <w:i w:val="1"/>
      <w:iCs w:val="1"/>
      <w:color w:val="000000"/>
    </w:rPr>
  </w:style>
  <w:style w:type="character" w:styleId="QuoteChar" w:customStyle="1">
    <w:name w:val="Quote Char"/>
    <w:basedOn w:val="DefaultParagraphFont"/>
    <w:link w:val="Quote"/>
    <w:uiPriority w:val="29"/>
    <w:rsid w:val="00FC693F"/>
    <w:rPr>
      <w:rFonts w:ascii="Arial" w:hAnsi="Arial"/>
      <w:i w:val="1"/>
      <w:iCs w:val="1"/>
      <w:color w:val="000000"/>
    </w:rPr>
  </w:style>
  <w:style w:type="character" w:styleId="Heading4Char" w:customStyle="1">
    <w:name w:val="Heading 4 Char"/>
    <w:basedOn w:val="DefaultParagraphFont"/>
    <w:link w:val="Heading4"/>
    <w:uiPriority w:val="9"/>
    <w:semiHidden w:val="1"/>
    <w:rsid w:val="00FC693F"/>
    <w:rPr>
      <w:rFonts w:ascii="Arial" w:hAnsi="Arial" w:asciiTheme="majorHAnsi" w:cstheme="majorBidi" w:eastAsiaTheme="majorEastAsia" w:hAnsiTheme="majorHAnsi"/>
      <w:b w:val="1"/>
      <w:bCs w:val="1"/>
      <w:i w:val="1"/>
      <w:iCs w:val="1"/>
      <w:color w:val="000000"/>
    </w:rPr>
  </w:style>
  <w:style w:type="character" w:styleId="Heading5Char" w:customStyle="1">
    <w:name w:val="Heading 5 Char"/>
    <w:basedOn w:val="DefaultParagraphFont"/>
    <w:link w:val="Heading5"/>
    <w:uiPriority w:val="9"/>
    <w:semiHidden w:val="1"/>
    <w:rsid w:val="00FC693F"/>
    <w:rPr>
      <w:rFonts w:ascii="Arial" w:hAnsi="Arial" w:asciiTheme="majorHAnsi" w:cstheme="majorBidi" w:eastAsiaTheme="majorEastAsia" w:hAnsiTheme="majorHAnsi"/>
      <w:color w:val="000000"/>
    </w:rPr>
  </w:style>
  <w:style w:type="character" w:styleId="Heading6Char" w:customStyle="1">
    <w:name w:val="Heading 6 Char"/>
    <w:basedOn w:val="DefaultParagraphFont"/>
    <w:link w:val="Heading6"/>
    <w:uiPriority w:val="9"/>
    <w:semiHidden w:val="1"/>
    <w:rsid w:val="00FC693F"/>
    <w:rPr>
      <w:rFonts w:ascii="Arial" w:hAnsi="Arial" w:asciiTheme="majorHAnsi" w:cstheme="majorBidi" w:eastAsiaTheme="majorEastAsia" w:hAnsiTheme="majorHAnsi"/>
      <w:i w:val="1"/>
      <w:iCs w:val="1"/>
      <w:color w:val="000000"/>
    </w:rPr>
  </w:style>
  <w:style w:type="character" w:styleId="Heading7Char" w:customStyle="1">
    <w:name w:val="Heading 7 Char"/>
    <w:basedOn w:val="DefaultParagraphFont"/>
    <w:link w:val="Heading7"/>
    <w:uiPriority w:val="9"/>
    <w:semiHidden w:val="1"/>
    <w:rsid w:val="00FC693F"/>
    <w:rPr>
      <w:rFonts w:ascii="Arial" w:hAnsi="Arial" w:asciiTheme="majorHAnsi" w:cstheme="majorBidi" w:eastAsiaTheme="majorEastAsia" w:hAnsiTheme="majorHAnsi"/>
      <w:i w:val="1"/>
      <w:iCs w:val="1"/>
      <w:color w:val="000000"/>
    </w:rPr>
  </w:style>
  <w:style w:type="character" w:styleId="Heading8Char" w:customStyle="1">
    <w:name w:val="Heading 8 Char"/>
    <w:basedOn w:val="DefaultParagraphFont"/>
    <w:link w:val="Heading8"/>
    <w:uiPriority w:val="9"/>
    <w:semiHidden w:val="1"/>
    <w:rsid w:val="00FC693F"/>
    <w:rPr>
      <w:rFonts w:ascii="Arial" w:hAnsi="Arial" w:asciiTheme="majorHAnsi" w:cstheme="majorBidi" w:eastAsiaTheme="majorEastAsia" w:hAnsiTheme="majorHAnsi"/>
      <w:color w:val="000000"/>
      <w:sz w:val="20"/>
      <w:szCs w:val="20"/>
    </w:rPr>
  </w:style>
  <w:style w:type="character" w:styleId="Heading9Char" w:customStyle="1">
    <w:name w:val="Heading 9 Char"/>
    <w:basedOn w:val="DefaultParagraphFont"/>
    <w:link w:val="Heading9"/>
    <w:uiPriority w:val="9"/>
    <w:semiHidden w:val="1"/>
    <w:rsid w:val="00FC693F"/>
    <w:rPr>
      <w:rFonts w:ascii="Arial" w:hAnsi="Arial" w:asciiTheme="majorHAnsi" w:cstheme="majorBidi" w:eastAsiaTheme="majorEastAsia" w:hAnsiTheme="majorHAnsi"/>
      <w:i w:val="1"/>
      <w:iCs w:val="1"/>
      <w:color w:val="000000"/>
      <w:sz w:val="20"/>
      <w:szCs w:val="20"/>
    </w:rPr>
  </w:style>
  <w:style w:type="paragraph" w:styleId="Caption">
    <w:name w:val="caption"/>
    <w:basedOn w:val="Normal"/>
    <w:next w:val="Normal"/>
    <w:uiPriority w:val="35"/>
    <w:semiHidden w:val="1"/>
    <w:unhideWhenUsed w:val="1"/>
    <w:qFormat w:val="1"/>
    <w:rsid w:val="00FC693F"/>
    <w:pPr>
      <w:spacing w:after="120" w:line="240" w:lineRule="auto"/>
    </w:pPr>
    <w:rPr>
      <w:rFonts w:ascii="Arial" w:hAnsi="Arial"/>
      <w:b w:val="1"/>
      <w:bCs w:val="1"/>
      <w:color w:val="000000"/>
      <w:sz w:val="20"/>
      <w:szCs w:val="18"/>
    </w:rPr>
  </w:style>
  <w:style w:type="character" w:styleId="Strong">
    <w:name w:val="Strong"/>
    <w:basedOn w:val="DefaultParagraphFont"/>
    <w:uiPriority w:val="22"/>
    <w:qFormat w:val="1"/>
    <w:rsid w:val="00FC693F"/>
    <w:rPr>
      <w:rFonts w:ascii="Arial" w:hAnsi="Arial"/>
      <w:b w:val="1"/>
      <w:bCs w:val="1"/>
      <w:color w:val="000000"/>
    </w:rPr>
  </w:style>
  <w:style w:type="character" w:styleId="Emphasis">
    <w:name w:val="Emphasis"/>
    <w:basedOn w:val="DefaultParagraphFont"/>
    <w:uiPriority w:val="20"/>
    <w:qFormat w:val="1"/>
    <w:rsid w:val="00FC693F"/>
    <w:rPr>
      <w:rFonts w:ascii="Arial" w:hAnsi="Arial"/>
      <w:i w:val="1"/>
      <w:iCs w:val="1"/>
      <w:color w:val="000000"/>
    </w:rPr>
  </w:style>
  <w:style w:type="paragraph" w:styleId="IntenseQuote">
    <w:name w:val="Intense Quote"/>
    <w:basedOn w:val="Normal"/>
    <w:next w:val="Normal"/>
    <w:link w:val="IntenseQuoteChar"/>
    <w:uiPriority w:val="30"/>
    <w:qFormat w:val="1"/>
    <w:rsid w:val="00FC693F"/>
    <w:pPr>
      <w:spacing w:after="280" w:before="200"/>
      <w:ind w:left="936" w:right="936"/>
    </w:pPr>
    <w:rPr>
      <w:rFonts w:ascii="Arial" w:hAnsi="Arial"/>
      <w:b w:val="1"/>
      <w:bCs w:val="1"/>
      <w:i w:val="1"/>
      <w:iCs w:val="1"/>
      <w:color w:val="000000"/>
    </w:rPr>
  </w:style>
  <w:style w:type="character" w:styleId="IntenseQuoteChar" w:customStyle="1">
    <w:name w:val="Intense Quote Char"/>
    <w:basedOn w:val="DefaultParagraphFont"/>
    <w:link w:val="IntenseQuote"/>
    <w:uiPriority w:val="30"/>
    <w:rsid w:val="00FC693F"/>
    <w:rPr>
      <w:rFonts w:ascii="Arial" w:hAnsi="Arial"/>
      <w:b w:val="1"/>
      <w:bCs w:val="1"/>
      <w:i w:val="1"/>
      <w:iCs w:val="1"/>
      <w:color w:val="000000"/>
    </w:rPr>
  </w:style>
  <w:style w:type="character" w:styleId="SubtleEmphasis">
    <w:name w:val="Subtle Emphasis"/>
    <w:basedOn w:val="DefaultParagraphFont"/>
    <w:uiPriority w:val="19"/>
    <w:qFormat w:val="1"/>
    <w:rsid w:val="00FC693F"/>
    <w:rPr>
      <w:rFonts w:ascii="Arial" w:hAnsi="Arial"/>
      <w:i w:val="1"/>
      <w:iCs w:val="1"/>
      <w:color w:val="000000"/>
    </w:rPr>
  </w:style>
  <w:style w:type="character" w:styleId="IntenseEmphasis">
    <w:name w:val="Intense Emphasis"/>
    <w:basedOn w:val="DefaultParagraphFont"/>
    <w:uiPriority w:val="21"/>
    <w:qFormat w:val="1"/>
    <w:rsid w:val="00FC693F"/>
    <w:rPr>
      <w:rFonts w:ascii="Arial" w:hAnsi="Arial"/>
      <w:b w:val="1"/>
      <w:bCs w:val="1"/>
      <w:i w:val="1"/>
      <w:iCs w:val="1"/>
      <w:color w:val="000000"/>
    </w:rPr>
  </w:style>
  <w:style w:type="character" w:styleId="SubtleReference">
    <w:name w:val="Subtle Reference"/>
    <w:basedOn w:val="DefaultParagraphFont"/>
    <w:uiPriority w:val="31"/>
    <w:qFormat w:val="1"/>
    <w:rsid w:val="00FC693F"/>
    <w:rPr>
      <w:rFonts w:ascii="Arial" w:hAnsi="Arial"/>
      <w:smallCaps w:val="1"/>
      <w:color w:val="000000"/>
      <w:u w:val="single"/>
    </w:rPr>
  </w:style>
  <w:style w:type="character" w:styleId="IntenseReference">
    <w:name w:val="Intense Reference"/>
    <w:basedOn w:val="DefaultParagraphFont"/>
    <w:uiPriority w:val="32"/>
    <w:qFormat w:val="1"/>
    <w:rsid w:val="00FC693F"/>
    <w:rPr>
      <w:rFonts w:ascii="Arial" w:hAnsi="Arial"/>
      <w:b w:val="1"/>
      <w:bCs w:val="1"/>
      <w:smallCaps w:val="1"/>
      <w:color w:val="000000"/>
      <w:spacing w:val="5"/>
      <w:u w:val="single"/>
    </w:rPr>
  </w:style>
  <w:style w:type="character" w:styleId="BookTitle">
    <w:name w:val="Book Title"/>
    <w:basedOn w:val="DefaultParagraphFont"/>
    <w:uiPriority w:val="33"/>
    <w:qFormat w:val="1"/>
    <w:rsid w:val="00FC693F"/>
    <w:rPr>
      <w:rFonts w:ascii="Arial" w:hAnsi="Arial"/>
      <w:b w:val="1"/>
      <w:bCs w:val="1"/>
      <w:smallCaps w:val="1"/>
      <w:color w:val="000000"/>
      <w:spacing w:val="5"/>
    </w:rPr>
  </w:style>
  <w:style w:type="paragraph" w:styleId="TOCHeading">
    <w:name w:val="TOC Heading"/>
    <w:basedOn w:val="Heading1"/>
    <w:next w:val="Normal"/>
    <w:uiPriority w:val="39"/>
    <w:semiHidden w:val="1"/>
    <w:unhideWhenUsed w:val="1"/>
    <w:qFormat w:val="1"/>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120" w:before="0" w:line="259" w:lineRule="auto"/>
    </w:pPr>
    <w:rPr>
      <w:rFonts w:ascii="Arial" w:cs="Arial" w:eastAsia="Arial" w:hAnsi="Arial"/>
      <w:b w:val="0"/>
      <w:bCs w:val="0"/>
      <w:i w:val="1"/>
      <w:iCs w:val="1"/>
      <w:color w:val="000000"/>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G3wksLUwmgrGIvRhab4bzAL86A==">CgMxLjAaJAoBMBIfCh0IB0IZCgVBcmlhbBIQQXJpYWwgVW5pY29kZSBNUxodCgExEhgKFggHQhISEEFyaWFsIFVuaWNvZGUgTVM4AHIhMXRBT1pyUVZpR2k3cHBtWWE1OFlRTkZMVDRCTWZxSkpT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Aprueba Administración</dc:creator>
</cp:coreProperties>
</file>